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color w:val="auto"/>
          <w:sz w:val="44"/>
          <w:szCs w:val="44"/>
          <w:lang w:eastAsia="zh-CN"/>
        </w:rPr>
      </w:pPr>
    </w:p>
    <w:p>
      <w:pPr>
        <w:jc w:val="center"/>
        <w:rPr>
          <w:rFonts w:hint="default" w:ascii="Times New Roman" w:hAnsi="Times New Roman" w:cs="Times New Roman"/>
          <w:b/>
          <w:bCs/>
          <w:color w:val="auto"/>
          <w:sz w:val="52"/>
          <w:szCs w:val="52"/>
          <w:lang w:eastAsia="zh-CN"/>
        </w:rPr>
      </w:pPr>
    </w:p>
    <w:p>
      <w:pPr>
        <w:jc w:val="center"/>
        <w:rPr>
          <w:rFonts w:hint="default" w:ascii="Times New Roman" w:hAnsi="Times New Roman" w:cs="Times New Roman"/>
          <w:b/>
          <w:bCs/>
          <w:color w:val="auto"/>
          <w:sz w:val="52"/>
          <w:szCs w:val="52"/>
          <w:lang w:eastAsia="zh-CN"/>
        </w:rPr>
      </w:pPr>
    </w:p>
    <w:p>
      <w:pPr>
        <w:jc w:val="center"/>
        <w:rPr>
          <w:rFonts w:hint="default" w:ascii="Times New Roman" w:hAnsi="Times New Roman" w:cs="Times New Roman"/>
          <w:b/>
          <w:bCs/>
          <w:color w:val="auto"/>
          <w:sz w:val="52"/>
          <w:szCs w:val="52"/>
          <w:lang w:eastAsia="zh-CN"/>
        </w:rPr>
      </w:pPr>
      <w:r>
        <w:rPr>
          <w:rFonts w:hint="default" w:ascii="Times New Roman" w:hAnsi="Times New Roman" w:cs="Times New Roman"/>
          <w:b/>
          <w:bCs/>
          <w:color w:val="auto"/>
          <w:sz w:val="52"/>
          <w:szCs w:val="52"/>
          <w:lang w:eastAsia="zh-CN"/>
        </w:rPr>
        <w:t>建设项目环境影响报告表</w:t>
      </w:r>
    </w:p>
    <w:p>
      <w:pPr>
        <w:jc w:val="center"/>
        <w:rPr>
          <w:rFonts w:hint="default" w:ascii="Times New Roman" w:hAnsi="Times New Roman" w:cs="Times New Roman"/>
          <w:color w:val="auto"/>
          <w:sz w:val="44"/>
          <w:szCs w:val="44"/>
          <w:lang w:eastAsia="zh-CN"/>
        </w:rPr>
      </w:pPr>
      <w:r>
        <w:rPr>
          <w:rFonts w:hint="default" w:ascii="Times New Roman" w:hAnsi="Times New Roman" w:cs="Times New Roman"/>
          <w:color w:val="auto"/>
          <w:sz w:val="44"/>
          <w:szCs w:val="44"/>
          <w:lang w:eastAsia="zh-CN"/>
        </w:rPr>
        <w:t>（污染影响类）</w:t>
      </w:r>
    </w:p>
    <w:p>
      <w:pPr>
        <w:jc w:val="center"/>
        <w:rPr>
          <w:rFonts w:hint="default" w:ascii="Times New Roman" w:hAnsi="Times New Roman" w:cs="Times New Roman"/>
          <w:color w:val="auto"/>
          <w:sz w:val="44"/>
          <w:szCs w:val="44"/>
          <w:lang w:eastAsia="zh-CN"/>
        </w:rPr>
      </w:pPr>
    </w:p>
    <w:p>
      <w:pPr>
        <w:jc w:val="center"/>
        <w:rPr>
          <w:rFonts w:hint="default" w:ascii="Times New Roman" w:hAnsi="Times New Roman" w:cs="Times New Roman"/>
          <w:color w:val="auto"/>
          <w:sz w:val="44"/>
          <w:szCs w:val="44"/>
          <w:lang w:eastAsia="zh-CN"/>
        </w:rPr>
      </w:pPr>
    </w:p>
    <w:p>
      <w:pPr>
        <w:jc w:val="center"/>
        <w:rPr>
          <w:rFonts w:hint="default" w:ascii="Times New Roman" w:hAnsi="Times New Roman" w:cs="Times New Roman"/>
          <w:color w:val="auto"/>
          <w:sz w:val="44"/>
          <w:szCs w:val="44"/>
          <w:lang w:eastAsia="zh-CN"/>
        </w:rPr>
      </w:pPr>
    </w:p>
    <w:p>
      <w:pPr>
        <w:jc w:val="both"/>
        <w:rPr>
          <w:rFonts w:hint="default" w:ascii="Times New Roman" w:hAnsi="Times New Roman" w:cs="Times New Roman"/>
          <w:color w:val="auto"/>
          <w:sz w:val="28"/>
          <w:szCs w:val="28"/>
          <w:lang w:eastAsia="zh-CN"/>
        </w:rPr>
      </w:pPr>
    </w:p>
    <w:p>
      <w:pPr>
        <w:jc w:val="both"/>
        <w:rPr>
          <w:rFonts w:hint="default" w:ascii="Times New Roman" w:hAnsi="Times New Roman" w:cs="Times New Roman"/>
          <w:color w:val="auto"/>
          <w:sz w:val="28"/>
          <w:szCs w:val="28"/>
          <w:lang w:eastAsia="zh-CN"/>
        </w:rPr>
      </w:pPr>
    </w:p>
    <w:p>
      <w:pPr>
        <w:jc w:val="both"/>
        <w:rPr>
          <w:rFonts w:hint="default" w:ascii="Times New Roman" w:hAnsi="Times New Roman" w:cs="Times New Roman"/>
          <w:color w:val="auto"/>
          <w:sz w:val="28"/>
          <w:szCs w:val="28"/>
          <w:lang w:eastAsia="zh-CN"/>
        </w:rPr>
      </w:pPr>
    </w:p>
    <w:p>
      <w:pPr>
        <w:jc w:val="both"/>
        <w:rPr>
          <w:rFonts w:hint="default" w:ascii="Times New Roman" w:hAnsi="Times New Roman" w:cs="Times New Roman"/>
          <w:color w:val="auto"/>
          <w:sz w:val="24"/>
          <w:szCs w:val="24"/>
          <w:u w:val="single"/>
          <w:lang w:val="en-US" w:eastAsia="zh-CN"/>
        </w:rPr>
      </w:pPr>
      <w:r>
        <w:rPr>
          <w:rFonts w:hint="default" w:ascii="Times New Roman" w:hAnsi="Times New Roman" w:cs="Times New Roman"/>
          <w:color w:val="auto"/>
          <w:sz w:val="28"/>
          <w:szCs w:val="28"/>
          <w:lang w:eastAsia="zh-CN"/>
        </w:rPr>
        <w:t>项目名称：</w:t>
      </w:r>
      <w:r>
        <w:rPr>
          <w:rFonts w:hint="eastAsia" w:ascii="Times New Roman" w:hAnsi="Times New Roman" w:cs="Times New Roman"/>
          <w:color w:val="auto"/>
          <w:sz w:val="24"/>
          <w:szCs w:val="24"/>
          <w:u w:val="single"/>
          <w:lang w:val="en-US" w:eastAsia="zh-CN"/>
        </w:rPr>
        <w:t xml:space="preserve"> </w:t>
      </w:r>
      <w:r>
        <w:rPr>
          <w:rFonts w:hint="eastAsia" w:ascii="Times New Roman" w:hAnsi="Times New Roman" w:cs="Times New Roman"/>
          <w:color w:val="auto"/>
          <w:sz w:val="18"/>
          <w:szCs w:val="18"/>
          <w:u w:val="single"/>
          <w:lang w:val="en-US" w:eastAsia="zh-CN"/>
        </w:rPr>
        <w:t>年产500套矿山电厂环保降尘设备6000台矿山皮带输送类配套设备项目（重新报批）</w:t>
      </w:r>
      <w:r>
        <w:rPr>
          <w:rFonts w:hint="eastAsia" w:ascii="Times New Roman" w:hAnsi="Times New Roman" w:cs="Times New Roman"/>
          <w:color w:val="auto"/>
          <w:sz w:val="24"/>
          <w:szCs w:val="24"/>
          <w:u w:val="single"/>
          <w:lang w:val="en-US" w:eastAsia="zh-CN"/>
        </w:rPr>
        <w:t xml:space="preserve">              </w:t>
      </w:r>
    </w:p>
    <w:p>
      <w:pPr>
        <w:jc w:val="both"/>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eastAsia="zh-CN"/>
        </w:rPr>
        <w:t>建设单位（盖章）：</w:t>
      </w:r>
      <w:r>
        <w:rPr>
          <w:rFonts w:hint="default"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lang w:val="en-US" w:eastAsia="zh-CN"/>
        </w:rPr>
        <w:t xml:space="preserve"> 安徽戈巴迪智能装备股份有限公司</w:t>
      </w:r>
      <w:r>
        <w:rPr>
          <w:rFonts w:hint="default"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lang w:val="en-US" w:eastAsia="zh-CN"/>
        </w:rPr>
        <w:t xml:space="preserve">        </w:t>
      </w:r>
    </w:p>
    <w:p>
      <w:pPr>
        <w:jc w:val="both"/>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编制日期</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lang w:val="en-US" w:eastAsia="zh-CN"/>
        </w:rPr>
        <w:t xml:space="preserve">        2024年03月</w:t>
      </w:r>
      <w:r>
        <w:rPr>
          <w:rFonts w:hint="default"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lang w:val="en-US" w:eastAsia="zh-CN"/>
        </w:rPr>
        <w:t xml:space="preserve"> </w:t>
      </w:r>
      <w:r>
        <w:rPr>
          <w:rFonts w:hint="default"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lang w:val="en-US" w:eastAsia="zh-CN"/>
        </w:rPr>
        <w:t xml:space="preserve">            </w:t>
      </w:r>
    </w:p>
    <w:p>
      <w:pPr>
        <w:jc w:val="center"/>
        <w:rPr>
          <w:rFonts w:hint="default" w:ascii="Times New Roman" w:hAnsi="Times New Roman" w:cs="Times New Roman"/>
          <w:color w:val="auto"/>
          <w:sz w:val="28"/>
          <w:szCs w:val="28"/>
          <w:lang w:eastAsia="zh-CN"/>
        </w:rPr>
      </w:pPr>
    </w:p>
    <w:p>
      <w:pPr>
        <w:jc w:val="center"/>
        <w:rPr>
          <w:rFonts w:hint="default" w:ascii="Times New Roman" w:hAnsi="Times New Roman" w:cs="Times New Roman"/>
          <w:color w:val="auto"/>
          <w:sz w:val="28"/>
          <w:szCs w:val="28"/>
          <w:lang w:eastAsia="zh-CN"/>
        </w:rPr>
      </w:pPr>
    </w:p>
    <w:p>
      <w:pPr>
        <w:jc w:val="center"/>
        <w:rPr>
          <w:rFonts w:hint="default" w:ascii="Times New Roman" w:hAnsi="Times New Roman" w:cs="Times New Roman"/>
          <w:color w:val="auto"/>
          <w:sz w:val="28"/>
          <w:szCs w:val="28"/>
          <w:lang w:eastAsia="zh-CN"/>
        </w:rPr>
      </w:pPr>
    </w:p>
    <w:p>
      <w:pPr>
        <w:jc w:val="center"/>
        <w:rPr>
          <w:rFonts w:hint="default" w:ascii="Times New Roman" w:hAnsi="Times New Roman" w:cs="Times New Roman"/>
          <w:color w:val="auto"/>
          <w:sz w:val="28"/>
          <w:szCs w:val="28"/>
          <w:lang w:eastAsia="zh-CN"/>
        </w:rPr>
      </w:pPr>
    </w:p>
    <w:p>
      <w:pPr>
        <w:jc w:val="center"/>
        <w:rPr>
          <w:rFonts w:hint="default" w:ascii="Times New Roman" w:hAnsi="Times New Roman" w:cs="Times New Roman"/>
          <w:color w:val="auto"/>
          <w:sz w:val="28"/>
          <w:szCs w:val="28"/>
          <w:lang w:eastAsia="zh-CN"/>
        </w:rPr>
      </w:pPr>
    </w:p>
    <w:p>
      <w:pPr>
        <w:jc w:val="center"/>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eastAsia="zh-CN"/>
        </w:rPr>
        <w:t>中华人民共和国生态环境部制</w:t>
      </w:r>
    </w:p>
    <w:p>
      <w:pPr>
        <w:spacing w:line="240" w:lineRule="auto"/>
        <w:jc w:val="left"/>
        <w:rPr>
          <w:rFonts w:hint="eastAsia"/>
          <w:b/>
          <w:bCs/>
          <w:color w:val="auto"/>
          <w:sz w:val="28"/>
          <w:szCs w:val="28"/>
          <w:lang w:eastAsia="zh-CN"/>
        </w:rPr>
        <w:sectPr>
          <w:pgSz w:w="11906" w:h="16838"/>
          <w:pgMar w:top="1440" w:right="1800" w:bottom="1440" w:left="1800" w:header="851" w:footer="992" w:gutter="0"/>
          <w:cols w:space="425" w:num="1"/>
          <w:docGrid w:type="lines" w:linePitch="312" w:charSpace="0"/>
        </w:sectPr>
      </w:pPr>
    </w:p>
    <w:p>
      <w:pPr>
        <w:spacing w:line="240" w:lineRule="auto"/>
        <w:jc w:val="left"/>
        <w:rPr>
          <w:rFonts w:hint="eastAsia"/>
          <w:b/>
          <w:bCs/>
          <w:color w:val="auto"/>
          <w:sz w:val="28"/>
          <w:szCs w:val="28"/>
          <w:lang w:eastAsia="zh-CN"/>
        </w:rPr>
      </w:pPr>
      <w:r>
        <w:rPr>
          <w:rFonts w:hint="eastAsia"/>
          <w:b/>
          <w:bCs/>
          <w:color w:val="auto"/>
          <w:sz w:val="28"/>
          <w:szCs w:val="28"/>
          <w:lang w:eastAsia="zh-CN"/>
        </w:rPr>
        <w:t>一、建设项目基本情况</w:t>
      </w:r>
    </w:p>
    <w:tbl>
      <w:tblPr>
        <w:tblStyle w:val="25"/>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895"/>
        <w:gridCol w:w="2256"/>
        <w:gridCol w:w="37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建设项目名称</w:t>
            </w:r>
          </w:p>
        </w:tc>
        <w:tc>
          <w:tcPr>
            <w:tcW w:w="892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4"/>
                <w:szCs w:val="24"/>
                <w:vertAlign w:val="baseline"/>
                <w:lang w:eastAsia="zh-CN"/>
              </w:rPr>
            </w:pPr>
            <w:r>
              <w:rPr>
                <w:rFonts w:hint="eastAsia" w:ascii="Times New Roman" w:hAnsi="Times New Roman" w:cs="Times New Roman"/>
                <w:color w:val="auto"/>
                <w:sz w:val="24"/>
                <w:szCs w:val="24"/>
                <w:u w:val="none"/>
                <w:lang w:val="en-US" w:eastAsia="zh-CN"/>
              </w:rPr>
              <w:t>年产500套矿山电厂环保降尘设备6000台矿山皮带输送类配套设备项目（重新报批）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项目代码</w:t>
            </w:r>
          </w:p>
        </w:tc>
        <w:tc>
          <w:tcPr>
            <w:tcW w:w="892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ab/>
            </w:r>
            <w:r>
              <w:rPr>
                <w:rFonts w:hint="eastAsia" w:ascii="Times New Roman" w:hAnsi="Times New Roman" w:cs="Times New Roman"/>
                <w:color w:val="auto"/>
                <w:sz w:val="24"/>
                <w:szCs w:val="24"/>
                <w:vertAlign w:val="baseline"/>
                <w:lang w:val="en-US" w:eastAsia="zh-CN"/>
              </w:rPr>
              <w:t>2107-341322-04-01-907119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建设单位联系人</w:t>
            </w:r>
          </w:p>
        </w:tc>
        <w:tc>
          <w:tcPr>
            <w:tcW w:w="28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陈刚</w:t>
            </w:r>
          </w:p>
        </w:tc>
        <w:tc>
          <w:tcPr>
            <w:tcW w:w="22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联系方式</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eastAsia" w:ascii="Times New Roman" w:hAnsi="Times New Roman" w:eastAsia="宋体" w:cs="Times New Roman"/>
                <w:color w:val="auto"/>
                <w:sz w:val="24"/>
                <w:szCs w:val="24"/>
                <w:lang w:val="en-US" w:eastAsia="zh-CN"/>
              </w:rPr>
              <w:t>159****</w:t>
            </w:r>
            <w:bookmarkStart w:id="0" w:name="_GoBack"/>
            <w:bookmarkEnd w:id="0"/>
            <w:r>
              <w:rPr>
                <w:rFonts w:hint="eastAsia" w:ascii="Times New Roman" w:hAnsi="Times New Roman" w:eastAsia="宋体" w:cs="Times New Roman"/>
                <w:color w:val="auto"/>
                <w:sz w:val="24"/>
                <w:szCs w:val="24"/>
                <w:lang w:val="en-US" w:eastAsia="zh-CN"/>
              </w:rPr>
              <w:t>4669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建设地点</w:t>
            </w:r>
          </w:p>
        </w:tc>
        <w:tc>
          <w:tcPr>
            <w:tcW w:w="892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安徽萧县经济开发区白土镇智能制造产业园纬三路与青峰路交叉口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地理坐标</w:t>
            </w:r>
          </w:p>
        </w:tc>
        <w:tc>
          <w:tcPr>
            <w:tcW w:w="892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lang w:val="en-US" w:eastAsia="zh-CN"/>
              </w:rPr>
              <w:t>117</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lang w:val="en-US" w:eastAsia="zh-CN"/>
              </w:rPr>
              <w:t>3</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lang w:val="en-US" w:eastAsia="zh-CN"/>
              </w:rPr>
              <w:t>54.991</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lang w:val="en-US" w:eastAsia="zh-CN"/>
              </w:rPr>
              <w:t>34</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lang w:val="en-US" w:eastAsia="zh-CN"/>
              </w:rPr>
              <w:t>6</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lang w:val="en-US" w:eastAsia="zh-CN"/>
              </w:rPr>
              <w:t>26.430</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eastAsia="宋体" w:cs="宋体"/>
                <w:color w:val="auto"/>
                <w:sz w:val="24"/>
                <w:szCs w:val="24"/>
                <w:lang w:val="en-US" w:eastAsia="zh-CN"/>
              </w:rPr>
            </w:pPr>
            <w:r>
              <w:rPr>
                <w:rFonts w:hint="default" w:eastAsia="宋体" w:cs="宋体"/>
                <w:color w:val="auto"/>
                <w:sz w:val="24"/>
                <w:szCs w:val="24"/>
                <w:lang w:val="en-US" w:eastAsia="zh-CN"/>
              </w:rPr>
              <w:t>国民经济行业类别</w:t>
            </w:r>
          </w:p>
        </w:tc>
        <w:tc>
          <w:tcPr>
            <w:tcW w:w="28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宋体"/>
                <w:color w:val="auto"/>
                <w:sz w:val="24"/>
                <w:szCs w:val="24"/>
                <w:lang w:eastAsia="zh-CN"/>
              </w:rPr>
            </w:pPr>
            <w:r>
              <w:rPr>
                <w:rFonts w:hint="eastAsia" w:ascii="Times New Roman" w:hAnsi="Times New Roman" w:cs="Times New Roman"/>
                <w:color w:val="auto"/>
                <w:sz w:val="24"/>
                <w:szCs w:val="24"/>
                <w:vertAlign w:val="baseline"/>
                <w:lang w:eastAsia="zh-CN"/>
              </w:rPr>
              <w:t>矿山机械制造【</w:t>
            </w:r>
            <w:r>
              <w:rPr>
                <w:rFonts w:hint="eastAsia" w:ascii="Times New Roman" w:hAnsi="Times New Roman" w:cs="Times New Roman"/>
                <w:color w:val="auto"/>
                <w:sz w:val="24"/>
                <w:szCs w:val="24"/>
                <w:vertAlign w:val="baseline"/>
                <w:lang w:val="en-US" w:eastAsia="zh-CN"/>
              </w:rPr>
              <w:t>C3511</w:t>
            </w:r>
            <w:r>
              <w:rPr>
                <w:rFonts w:hint="eastAsia" w:ascii="Times New Roman" w:hAnsi="Times New Roman" w:cs="Times New Roman"/>
                <w:color w:val="auto"/>
                <w:sz w:val="24"/>
                <w:szCs w:val="24"/>
                <w:vertAlign w:val="baseline"/>
                <w:lang w:eastAsia="zh-CN"/>
              </w:rPr>
              <w:t>】</w:t>
            </w:r>
          </w:p>
        </w:tc>
        <w:tc>
          <w:tcPr>
            <w:tcW w:w="22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建设项目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行业类别</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rPr>
              <w:t>三十</w:t>
            </w:r>
            <w:r>
              <w:rPr>
                <w:rFonts w:hint="eastAsia" w:ascii="Times New Roman" w:hAnsi="Times New Roman" w:cs="Times New Roman"/>
                <w:color w:val="auto"/>
                <w:sz w:val="24"/>
                <w:szCs w:val="24"/>
                <w:vertAlign w:val="baseline"/>
                <w:lang w:eastAsia="zh-CN"/>
              </w:rPr>
              <w:t>二</w:t>
            </w:r>
            <w:r>
              <w:rPr>
                <w:rFonts w:hint="default" w:ascii="Times New Roman" w:hAnsi="Times New Roman" w:cs="Times New Roman"/>
                <w:color w:val="auto"/>
                <w:sz w:val="24"/>
                <w:szCs w:val="24"/>
                <w:vertAlign w:val="baseline"/>
              </w:rPr>
              <w:t>、</w:t>
            </w:r>
            <w:r>
              <w:rPr>
                <w:rFonts w:hint="eastAsia" w:ascii="Times New Roman" w:hAnsi="Times New Roman" w:cs="Times New Roman"/>
                <w:color w:val="auto"/>
                <w:sz w:val="24"/>
                <w:szCs w:val="24"/>
                <w:vertAlign w:val="baseline"/>
                <w:lang w:eastAsia="zh-CN"/>
              </w:rPr>
              <w:t>专用</w:t>
            </w:r>
            <w:r>
              <w:rPr>
                <w:rFonts w:hint="default" w:ascii="Times New Roman" w:hAnsi="Times New Roman" w:cs="Times New Roman"/>
                <w:color w:val="auto"/>
                <w:sz w:val="24"/>
                <w:szCs w:val="24"/>
                <w:vertAlign w:val="baseline"/>
              </w:rPr>
              <w:t>设备制造业</w:t>
            </w:r>
            <w:r>
              <w:rPr>
                <w:rFonts w:hint="eastAsia" w:ascii="Times New Roman" w:hAnsi="Times New Roman" w:cs="Times New Roman"/>
                <w:color w:val="auto"/>
                <w:sz w:val="24"/>
                <w:szCs w:val="24"/>
                <w:vertAlign w:val="baseline"/>
                <w:lang w:val="en-US" w:eastAsia="zh-CN"/>
              </w:rPr>
              <w:t>35-70-采矿、冶金、建筑专用设备制造351；环保、邮政、社会公共服务及其他专用设备制造359”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建设性质</w:t>
            </w:r>
          </w:p>
        </w:tc>
        <w:tc>
          <w:tcPr>
            <w:tcW w:w="289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☑新建（迁建）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□改建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□扩建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□技术改造</w:t>
            </w:r>
          </w:p>
        </w:tc>
        <w:tc>
          <w:tcPr>
            <w:tcW w:w="22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建设项目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申报情形</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vertAlign w:val="baseline"/>
                <w:lang w:val="en-US" w:eastAsia="zh-CN"/>
              </w:rPr>
              <w:t>首次申报项目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□不予批准后再次申报项目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□超五年重新审核项目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☑重大变动重</w:t>
            </w:r>
            <w:r>
              <w:rPr>
                <w:rFonts w:hint="default" w:ascii="Times New Roman" w:hAnsi="Times New Roman" w:cs="Times New Roman"/>
                <w:color w:val="auto"/>
                <w:sz w:val="24"/>
                <w:szCs w:val="24"/>
                <w:vertAlign w:val="baseline"/>
                <w:lang w:val="en-US" w:eastAsia="zh-CN"/>
              </w:rPr>
              <w:t>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项目审批（核准/备案）部门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（选填）</w:t>
            </w:r>
          </w:p>
        </w:tc>
        <w:tc>
          <w:tcPr>
            <w:tcW w:w="28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萧县</w:t>
            </w:r>
            <w:r>
              <w:rPr>
                <w:rFonts w:hint="default" w:ascii="Times New Roman" w:hAnsi="Times New Roman" w:cs="Times New Roman"/>
                <w:color w:val="auto"/>
                <w:sz w:val="24"/>
                <w:szCs w:val="24"/>
                <w:vertAlign w:val="baseline"/>
                <w:lang w:val="en-US" w:eastAsia="zh-CN"/>
              </w:rPr>
              <w:t>发展和改革委员会</w:t>
            </w:r>
          </w:p>
        </w:tc>
        <w:tc>
          <w:tcPr>
            <w:tcW w:w="22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项目审批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（核准/备案）文号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（选填）</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萧发改政务【2021】336号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总投资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（万元）</w:t>
            </w:r>
          </w:p>
        </w:tc>
        <w:tc>
          <w:tcPr>
            <w:tcW w:w="28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13000</w:t>
            </w:r>
          </w:p>
        </w:tc>
        <w:tc>
          <w:tcPr>
            <w:tcW w:w="22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环保投资（万元）</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环保投资占比（%）</w:t>
            </w:r>
          </w:p>
        </w:tc>
        <w:tc>
          <w:tcPr>
            <w:tcW w:w="28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1.0</w:t>
            </w:r>
          </w:p>
        </w:tc>
        <w:tc>
          <w:tcPr>
            <w:tcW w:w="22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施工工期</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2个月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是否开工建设</w:t>
            </w:r>
          </w:p>
        </w:tc>
        <w:tc>
          <w:tcPr>
            <w:tcW w:w="289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□否</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vertAlign w:val="baseline"/>
              </w:rPr>
            </w:pPr>
            <w:r>
              <w:rPr>
                <w:rFonts w:hint="eastAsia" w:ascii="宋体" w:hAnsi="宋体" w:eastAsia="宋体" w:cs="宋体"/>
                <w:color w:val="auto"/>
                <w:sz w:val="24"/>
                <w:szCs w:val="24"/>
                <w:vertAlign w:val="baseline"/>
                <w:lang w:val="en-US" w:eastAsia="zh-CN"/>
              </w:rPr>
              <w:t>☑是</w:t>
            </w:r>
            <w:r>
              <w:rPr>
                <w:rFonts w:hint="eastAsia"/>
                <w:color w:val="auto"/>
                <w:sz w:val="24"/>
                <w:u w:val="single"/>
              </w:rPr>
              <w:t>厂房已建设完成，部分设备</w:t>
            </w:r>
            <w:r>
              <w:rPr>
                <w:rFonts w:hint="eastAsia"/>
                <w:color w:val="auto"/>
                <w:sz w:val="24"/>
                <w:u w:val="single"/>
                <w:lang w:eastAsia="zh-CN"/>
              </w:rPr>
              <w:t>已</w:t>
            </w:r>
            <w:r>
              <w:rPr>
                <w:rFonts w:hint="eastAsia"/>
                <w:color w:val="auto"/>
                <w:sz w:val="24"/>
                <w:u w:val="single"/>
              </w:rPr>
              <w:t>安装完成</w:t>
            </w:r>
            <w:r>
              <w:rPr>
                <w:color w:val="auto"/>
                <w:sz w:val="24"/>
                <w:u w:val="single"/>
              </w:rPr>
              <w:t xml:space="preserve">  </w:t>
            </w:r>
          </w:p>
        </w:tc>
        <w:tc>
          <w:tcPr>
            <w:tcW w:w="22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用地（用海）面积（m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vertAlign w:val="baseline"/>
                <w:lang w:val="en-US" w:eastAsia="zh-CN"/>
              </w:rPr>
              <w:t>）</w:t>
            </w:r>
          </w:p>
        </w:tc>
        <w:tc>
          <w:tcPr>
            <w:tcW w:w="37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20399.0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专项评价设置情况</w:t>
            </w:r>
          </w:p>
        </w:tc>
        <w:tc>
          <w:tcPr>
            <w:tcW w:w="892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表1.1  专项评价设置原则表</w:t>
            </w:r>
          </w:p>
          <w:tbl>
            <w:tblPr>
              <w:tblStyle w:val="25"/>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3"/>
              <w:gridCol w:w="4146"/>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专项评价的类别</w:t>
                  </w:r>
                </w:p>
              </w:tc>
              <w:tc>
                <w:tcPr>
                  <w:tcW w:w="4146"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设置原则</w:t>
                  </w:r>
                </w:p>
              </w:tc>
              <w:tc>
                <w:tcPr>
                  <w:tcW w:w="2878"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大气</w:t>
                  </w:r>
                </w:p>
              </w:tc>
              <w:tc>
                <w:tcPr>
                  <w:tcW w:w="4146"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排放废气含有毒有害污染物</w:t>
                  </w:r>
                  <w:r>
                    <w:rPr>
                      <w:rFonts w:hint="eastAsia" w:ascii="Times New Roman" w:hAnsi="Times New Roman" w:cs="Times New Roman"/>
                      <w:color w:val="auto"/>
                      <w:sz w:val="21"/>
                      <w:szCs w:val="21"/>
                      <w:vertAlign w:val="superscript"/>
                      <w:lang w:val="en-US" w:eastAsia="zh-CN"/>
                    </w:rPr>
                    <w:t>1</w:t>
                  </w:r>
                  <w:r>
                    <w:rPr>
                      <w:rFonts w:hint="default" w:ascii="Times New Roman" w:hAnsi="Times New Roman" w:cs="Times New Roman"/>
                      <w:color w:val="auto"/>
                      <w:sz w:val="21"/>
                      <w:szCs w:val="21"/>
                      <w:lang w:val="en-US" w:eastAsia="zh-CN"/>
                    </w:rPr>
                    <w:t>、二噁英、苯并[a]芘、氰化物、氯气且厂界外</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00米范围内有环境空气保护目</w:t>
                  </w:r>
                  <w:r>
                    <w:rPr>
                      <w:rFonts w:hint="eastAsia"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标的建设项目</w:t>
                  </w:r>
                  <w:r>
                    <w:rPr>
                      <w:rFonts w:hint="eastAsia" w:ascii="Times New Roman" w:hAnsi="Times New Roman" w:cs="Times New Roman"/>
                      <w:color w:val="auto"/>
                      <w:sz w:val="21"/>
                      <w:szCs w:val="21"/>
                      <w:lang w:val="en-US" w:eastAsia="zh-CN"/>
                    </w:rPr>
                    <w:t>。</w:t>
                  </w:r>
                </w:p>
              </w:tc>
              <w:tc>
                <w:tcPr>
                  <w:tcW w:w="2878"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项目运营期废气主要为非甲烷总烃、颗粒物、二氧化硫、氮氧化物、二硫化碳（CS</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lang w:val="en-US" w:eastAsia="zh-CN"/>
                    </w:rPr>
                    <w:t>）、臭气浓度和</w:t>
                  </w:r>
                  <w:r>
                    <w:rPr>
                      <w:rFonts w:hint="default" w:ascii="Times New Roman" w:hAnsi="Times New Roman" w:cs="Times New Roman"/>
                      <w:b w:val="0"/>
                      <w:bCs w:val="0"/>
                      <w:color w:val="auto"/>
                      <w:sz w:val="21"/>
                      <w:szCs w:val="21"/>
                      <w:lang w:val="en-US" w:eastAsia="zh-CN"/>
                    </w:rPr>
                    <w:t>二苯基甲烷二异氰酸酯（MDI）</w:t>
                  </w:r>
                  <w:r>
                    <w:rPr>
                      <w:rFonts w:hint="eastAsia" w:ascii="Times New Roman" w:hAnsi="Times New Roman" w:cs="Times New Roman"/>
                      <w:color w:val="auto"/>
                      <w:sz w:val="21"/>
                      <w:szCs w:val="21"/>
                      <w:lang w:val="en-US" w:eastAsia="zh-CN"/>
                    </w:rPr>
                    <w:t>，故无需设置大气专项评价。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地表水</w:t>
                  </w:r>
                </w:p>
              </w:tc>
              <w:tc>
                <w:tcPr>
                  <w:tcW w:w="4146"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新增工业废水直排建设项目（槽罐车外送污水处理厂的除外）；新增废水直排的污水集中处理厂</w:t>
                  </w:r>
                  <w:r>
                    <w:rPr>
                      <w:rFonts w:hint="eastAsia" w:ascii="Times New Roman" w:hAnsi="Times New Roman" w:cs="Times New Roman"/>
                      <w:color w:val="auto"/>
                      <w:sz w:val="21"/>
                      <w:szCs w:val="21"/>
                      <w:lang w:val="en-US" w:eastAsia="zh-CN"/>
                    </w:rPr>
                    <w:t>。</w:t>
                  </w:r>
                </w:p>
              </w:tc>
              <w:tc>
                <w:tcPr>
                  <w:tcW w:w="2878"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项目</w:t>
                  </w:r>
                  <w:r>
                    <w:rPr>
                      <w:rFonts w:hint="eastAsia" w:ascii="Times New Roman" w:hAnsi="Times New Roman" w:cs="Times New Roman"/>
                      <w:color w:val="auto"/>
                      <w:sz w:val="21"/>
                      <w:szCs w:val="21"/>
                      <w:lang w:eastAsia="zh-CN"/>
                    </w:rPr>
                    <w:t>运营期无生产性废水产生及排放</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生活污水经厂区</w:t>
                  </w:r>
                  <w:r>
                    <w:rPr>
                      <w:rFonts w:hint="default" w:ascii="Times New Roman" w:hAnsi="Times New Roman" w:cs="Times New Roman"/>
                      <w:color w:val="auto"/>
                      <w:sz w:val="21"/>
                      <w:szCs w:val="21"/>
                      <w:lang w:eastAsia="zh-CN"/>
                    </w:rPr>
                    <w:t>自建</w:t>
                  </w:r>
                  <w:r>
                    <w:rPr>
                      <w:rFonts w:hint="eastAsia" w:ascii="Times New Roman" w:hAnsi="Times New Roman" w:cs="Times New Roman"/>
                      <w:color w:val="auto"/>
                      <w:sz w:val="21"/>
                      <w:szCs w:val="21"/>
                      <w:lang w:eastAsia="zh-CN"/>
                    </w:rPr>
                    <w:t>“隔油池</w:t>
                  </w:r>
                  <w:r>
                    <w:rPr>
                      <w:rFonts w:hint="eastAsia" w:ascii="Times New Roman" w:hAnsi="Times New Roman" w:cs="Times New Roman"/>
                      <w:color w:val="auto"/>
                      <w:sz w:val="21"/>
                      <w:szCs w:val="21"/>
                      <w:lang w:val="en-US" w:eastAsia="zh-CN"/>
                    </w:rPr>
                    <w:t>+化粪池</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预</w:t>
                  </w:r>
                  <w:r>
                    <w:rPr>
                      <w:rFonts w:hint="default" w:ascii="Times New Roman" w:hAnsi="Times New Roman" w:cs="Times New Roman"/>
                      <w:color w:val="auto"/>
                      <w:sz w:val="21"/>
                      <w:szCs w:val="21"/>
                    </w:rPr>
                    <w:t>处理达《污水综合排放标准》（GB8978-1996）表4中三级标准及</w:t>
                  </w:r>
                  <w:r>
                    <w:rPr>
                      <w:rFonts w:hint="eastAsia" w:ascii="宋体" w:hAnsi="宋体" w:eastAsia="宋体" w:cs="宋体"/>
                      <w:color w:val="auto"/>
                      <w:sz w:val="21"/>
                      <w:szCs w:val="21"/>
                      <w:lang w:val="en-US" w:eastAsia="zh-CN"/>
                    </w:rPr>
                    <w:t>萧县清源污水处理有限公司</w:t>
                  </w:r>
                  <w:r>
                    <w:rPr>
                      <w:rFonts w:hint="default" w:ascii="Times New Roman" w:hAnsi="Times New Roman" w:cs="Times New Roman"/>
                      <w:color w:val="auto"/>
                      <w:sz w:val="21"/>
                      <w:szCs w:val="21"/>
                    </w:rPr>
                    <w:t>接管</w:t>
                  </w:r>
                  <w:r>
                    <w:rPr>
                      <w:rFonts w:hint="eastAsia" w:ascii="Times New Roman" w:hAnsi="Times New Roman" w:cs="Times New Roman"/>
                      <w:color w:val="auto"/>
                      <w:sz w:val="21"/>
                      <w:szCs w:val="21"/>
                      <w:lang w:eastAsia="zh-CN"/>
                    </w:rPr>
                    <w:t>限值后</w:t>
                  </w:r>
                  <w:r>
                    <w:rPr>
                      <w:rFonts w:hint="default" w:ascii="Times New Roman" w:hAnsi="Times New Roman" w:cs="Times New Roman"/>
                      <w:color w:val="auto"/>
                      <w:sz w:val="21"/>
                      <w:szCs w:val="21"/>
                    </w:rPr>
                    <w:t>排入</w:t>
                  </w:r>
                  <w:r>
                    <w:rPr>
                      <w:rFonts w:hint="eastAsia" w:ascii="宋体" w:hAnsi="宋体" w:eastAsia="宋体" w:cs="宋体"/>
                      <w:color w:val="auto"/>
                      <w:sz w:val="21"/>
                      <w:szCs w:val="21"/>
                      <w:lang w:val="en-US" w:eastAsia="zh-CN"/>
                    </w:rPr>
                    <w:t>萧县清源污水处理有限公司</w:t>
                  </w:r>
                  <w:r>
                    <w:rPr>
                      <w:rFonts w:hint="default" w:ascii="Times New Roman" w:hAnsi="Times New Roman" w:cs="Times New Roman"/>
                      <w:color w:val="auto"/>
                      <w:sz w:val="21"/>
                      <w:szCs w:val="21"/>
                    </w:rPr>
                    <w:t>处理达《城镇污水处理厂污染物排放标准》（GB18918-2002）表1中一级</w:t>
                  </w:r>
                  <w:r>
                    <w:rPr>
                      <w:rFonts w:hint="default" w:ascii="Times New Roman" w:hAnsi="Times New Roman" w:cs="Times New Roman"/>
                      <w:color w:val="auto"/>
                      <w:sz w:val="21"/>
                      <w:szCs w:val="21"/>
                      <w:lang w:eastAsia="zh-CN"/>
                    </w:rPr>
                    <w:t>标准</w:t>
                  </w:r>
                  <w:r>
                    <w:rPr>
                      <w:rFonts w:hint="default" w:ascii="Times New Roman" w:hAnsi="Times New Roman" w:cs="Times New Roman"/>
                      <w:color w:val="auto"/>
                      <w:sz w:val="21"/>
                      <w:szCs w:val="21"/>
                    </w:rPr>
                    <w:t>A标准后排入</w:t>
                  </w:r>
                  <w:r>
                    <w:rPr>
                      <w:rFonts w:hint="eastAsia" w:ascii="Times New Roman" w:hAnsi="Times New Roman" w:cs="Times New Roman"/>
                      <w:color w:val="auto"/>
                      <w:sz w:val="21"/>
                      <w:szCs w:val="21"/>
                      <w:lang w:eastAsia="zh-CN"/>
                    </w:rPr>
                    <w:t>倒流河，</w:t>
                  </w:r>
                  <w:r>
                    <w:rPr>
                      <w:rFonts w:hint="eastAsia" w:ascii="Times New Roman" w:hAnsi="Times New Roman" w:cs="Times New Roman"/>
                      <w:color w:val="auto"/>
                      <w:sz w:val="21"/>
                      <w:szCs w:val="21"/>
                      <w:lang w:val="en-US" w:eastAsia="zh-CN"/>
                    </w:rPr>
                    <w:t>无需设置地表水专项评价。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环境风险</w:t>
                  </w:r>
                </w:p>
              </w:tc>
              <w:tc>
                <w:tcPr>
                  <w:tcW w:w="4146"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有毒有害和易燃易爆危险物质存储量超过临界量</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的建设项目</w:t>
                  </w:r>
                  <w:r>
                    <w:rPr>
                      <w:rFonts w:hint="eastAsia" w:ascii="Times New Roman" w:hAnsi="Times New Roman" w:cs="Times New Roman"/>
                      <w:color w:val="auto"/>
                      <w:sz w:val="21"/>
                      <w:szCs w:val="21"/>
                      <w:lang w:val="en-US" w:eastAsia="zh-CN"/>
                    </w:rPr>
                    <w:t>。</w:t>
                  </w:r>
                </w:p>
              </w:tc>
              <w:tc>
                <w:tcPr>
                  <w:tcW w:w="2878"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项目运营期有害有害和易燃易爆危险物质存储量未超过临界量，无需设置环境风险专项评价。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生态</w:t>
                  </w:r>
                </w:p>
              </w:tc>
              <w:tc>
                <w:tcPr>
                  <w:tcW w:w="4146"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取水口下游500米范围内有重要水生生物的自然产卵场、索饵场、越冬场和洄游通道的新增河道取水的污染类建设项目</w:t>
                  </w:r>
                  <w:r>
                    <w:rPr>
                      <w:rFonts w:hint="eastAsia" w:ascii="Times New Roman" w:hAnsi="Times New Roman" w:cs="Times New Roman"/>
                      <w:color w:val="auto"/>
                      <w:sz w:val="21"/>
                      <w:szCs w:val="21"/>
                      <w:lang w:val="en-US" w:eastAsia="zh-CN"/>
                    </w:rPr>
                    <w:t>。</w:t>
                  </w:r>
                </w:p>
              </w:tc>
              <w:tc>
                <w:tcPr>
                  <w:tcW w:w="2878"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不涉及，无需设置生态专项评价。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海洋</w:t>
                  </w:r>
                </w:p>
              </w:tc>
              <w:tc>
                <w:tcPr>
                  <w:tcW w:w="4146"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直接向海排放污染物的海洋工程建设项目</w:t>
                  </w:r>
                  <w:r>
                    <w:rPr>
                      <w:rFonts w:hint="eastAsia" w:ascii="Times New Roman" w:hAnsi="Times New Roman" w:cs="Times New Roman"/>
                      <w:color w:val="auto"/>
                      <w:sz w:val="21"/>
                      <w:szCs w:val="21"/>
                      <w:lang w:val="en-US" w:eastAsia="zh-CN"/>
                    </w:rPr>
                    <w:t>。</w:t>
                  </w:r>
                </w:p>
              </w:tc>
              <w:tc>
                <w:tcPr>
                  <w:tcW w:w="2878"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不涉及，无需设置海洋专项评价。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7" w:type="dxa"/>
                  <w:gridSpan w:val="3"/>
                  <w:vAlign w:val="center"/>
                </w:tcPr>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b/>
                      <w:bCs/>
                      <w:color w:val="auto"/>
                      <w:sz w:val="21"/>
                      <w:szCs w:val="21"/>
                      <w:lang w:val="en-US" w:eastAsia="zh-CN"/>
                    </w:rPr>
                    <w:t>注：</w:t>
                  </w:r>
                  <w:r>
                    <w:rPr>
                      <w:rFonts w:hint="eastAsia" w:ascii="Times New Roman" w:hAnsi="Times New Roman" w:cs="Times New Roman"/>
                      <w:color w:val="auto"/>
                      <w:sz w:val="21"/>
                      <w:szCs w:val="21"/>
                      <w:lang w:val="en-US" w:eastAsia="zh-CN"/>
                    </w:rPr>
                    <w:t>1.废气中有毒有害污染物指纳入《有毒有害大气污染物名录》的污染物（不包括无排放标准的污染物）。</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2.环境空气保护目标指自然保护区、风景名胜区、居住区、文化区和农村地区中人群较集中的区域。</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3.临界量及其计算方法可参考《建设项目环境风险评价技术导则》（HJ169-2018）附录B、附录C。</w:t>
                  </w:r>
                </w:p>
              </w:tc>
            </w:tr>
          </w:tbl>
          <w:p>
            <w:pPr>
              <w:pStyle w:val="35"/>
              <w:ind w:left="0" w:leftChars="0" w:firstLine="0" w:firstLineChars="0"/>
              <w:rPr>
                <w:rFonts w:hint="default"/>
                <w:color w:val="auto"/>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规划情况</w:t>
            </w:r>
          </w:p>
        </w:tc>
        <w:tc>
          <w:tcPr>
            <w:tcW w:w="8929"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bCs/>
                <w:color w:val="auto"/>
                <w:sz w:val="24"/>
                <w:szCs w:val="24"/>
                <w:lang w:val="en-US" w:eastAsia="zh-CN"/>
              </w:rPr>
              <w:t>规划名称：</w:t>
            </w:r>
            <w:r>
              <w:rPr>
                <w:rFonts w:hint="eastAsia" w:ascii="Times New Roman" w:hAnsi="Times New Roman" w:cs="Times New Roman"/>
                <w:b w:val="0"/>
                <w:bCs w:val="0"/>
                <w:color w:val="auto"/>
                <w:sz w:val="24"/>
                <w:szCs w:val="24"/>
                <w:lang w:val="en-US" w:eastAsia="zh-CN"/>
              </w:rPr>
              <w:t>《</w:t>
            </w:r>
            <w:r>
              <w:rPr>
                <w:rFonts w:hint="eastAsia"/>
                <w:color w:val="auto"/>
                <w:sz w:val="24"/>
                <w:szCs w:val="24"/>
                <w:lang w:val="en-US" w:eastAsia="zh-CN"/>
              </w:rPr>
              <w:t>白土镇智能制造产业园控制性详细规划</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审批机关：</w:t>
            </w:r>
            <w:r>
              <w:rPr>
                <w:rFonts w:hint="eastAsia" w:ascii="Times New Roman" w:hAnsi="Times New Roman" w:cs="Times New Roman"/>
                <w:b w:val="0"/>
                <w:bCs w:val="0"/>
                <w:color w:val="auto"/>
                <w:sz w:val="24"/>
                <w:szCs w:val="24"/>
                <w:lang w:val="en-US" w:eastAsia="zh-CN"/>
              </w:rPr>
              <w:t>萧县人民政府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审批文件名称和文号：</w:t>
            </w:r>
            <w:r>
              <w:rPr>
                <w:rFonts w:hint="eastAsia" w:ascii="Times New Roman" w:hAnsi="Times New Roman" w:cs="Times New Roman"/>
                <w:b w:val="0"/>
                <w:bCs w:val="0"/>
                <w:color w:val="auto"/>
                <w:sz w:val="24"/>
                <w:szCs w:val="24"/>
                <w:lang w:val="en-US" w:eastAsia="zh-CN"/>
              </w:rPr>
              <w:t>《关于&lt;</w:t>
            </w:r>
            <w:r>
              <w:rPr>
                <w:rFonts w:hint="eastAsia"/>
                <w:color w:val="auto"/>
                <w:sz w:val="24"/>
                <w:szCs w:val="24"/>
                <w:lang w:val="en-US" w:eastAsia="zh-CN"/>
              </w:rPr>
              <w:t>白土镇智能制造产业园控制性详细规划</w:t>
            </w:r>
            <w:r>
              <w:rPr>
                <w:rFonts w:hint="eastAsia" w:ascii="Times New Roman" w:hAnsi="Times New Roman" w:cs="Times New Roman"/>
                <w:b w:val="0"/>
                <w:bCs w:val="0"/>
                <w:color w:val="auto"/>
                <w:sz w:val="24"/>
                <w:szCs w:val="24"/>
                <w:lang w:val="en-US" w:eastAsia="zh-CN"/>
              </w:rPr>
              <w:t>&gt;的批复》（萧政秘【2021】42号）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规划环境影响评价情况</w:t>
            </w:r>
          </w:p>
        </w:tc>
        <w:tc>
          <w:tcPr>
            <w:tcW w:w="8929"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color w:val="auto"/>
                <w:sz w:val="24"/>
                <w:szCs w:val="24"/>
                <w:lang w:val="en-US" w:eastAsia="zh-CN"/>
              </w:rPr>
            </w:pPr>
            <w:r>
              <w:rPr>
                <w:rFonts w:hint="default"/>
                <w:b/>
                <w:bCs/>
                <w:color w:val="auto"/>
                <w:sz w:val="24"/>
                <w:szCs w:val="24"/>
                <w:lang w:val="en-US" w:eastAsia="zh-CN"/>
              </w:rPr>
              <w:t>文件名称：</w:t>
            </w:r>
            <w:r>
              <w:rPr>
                <w:rFonts w:hint="default"/>
                <w:color w:val="auto"/>
                <w:sz w:val="24"/>
                <w:szCs w:val="24"/>
                <w:lang w:val="en-US" w:eastAsia="zh-CN"/>
              </w:rPr>
              <w:t>《</w:t>
            </w:r>
            <w:r>
              <w:rPr>
                <w:rFonts w:hint="eastAsia"/>
                <w:color w:val="auto"/>
                <w:sz w:val="24"/>
                <w:szCs w:val="24"/>
                <w:lang w:val="en-US" w:eastAsia="zh-CN"/>
              </w:rPr>
              <w:t>白土镇智能制造产业园控制性详细规划环境影响报告书</w:t>
            </w:r>
            <w:r>
              <w:rPr>
                <w:rFonts w:hint="default"/>
                <w:color w:val="auto"/>
                <w:sz w:val="24"/>
                <w:szCs w:val="24"/>
                <w:lang w:val="en-US" w:eastAsia="zh-CN"/>
              </w:rPr>
              <w:t>》</w:t>
            </w:r>
          </w:p>
          <w:p>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eastAsia"/>
                <w:color w:val="auto"/>
                <w:sz w:val="24"/>
                <w:szCs w:val="24"/>
                <w:lang w:val="en-US" w:eastAsia="zh-CN"/>
              </w:rPr>
            </w:pPr>
            <w:r>
              <w:rPr>
                <w:rFonts w:hint="default"/>
                <w:b/>
                <w:bCs/>
                <w:color w:val="auto"/>
                <w:sz w:val="24"/>
                <w:szCs w:val="24"/>
                <w:lang w:val="en-US" w:eastAsia="zh-CN"/>
              </w:rPr>
              <w:t>审查机关：</w:t>
            </w:r>
            <w:r>
              <w:rPr>
                <w:rFonts w:hint="eastAsia"/>
                <w:color w:val="auto"/>
                <w:sz w:val="24"/>
                <w:szCs w:val="24"/>
                <w:lang w:val="en-US" w:eastAsia="zh-CN"/>
              </w:rPr>
              <w:t>宿州市萧县生态环境分局</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审查文件及文号：</w:t>
            </w:r>
            <w:r>
              <w:rPr>
                <w:rFonts w:hint="default" w:ascii="Times New Roman" w:hAnsi="Times New Roman" w:cs="Times New Roman"/>
                <w:color w:val="auto"/>
                <w:sz w:val="24"/>
                <w:szCs w:val="24"/>
                <w:lang w:val="en-US" w:eastAsia="zh-CN"/>
              </w:rPr>
              <w:t>《关于&lt;</w:t>
            </w:r>
            <w:r>
              <w:rPr>
                <w:rFonts w:hint="eastAsia"/>
                <w:color w:val="auto"/>
                <w:sz w:val="24"/>
                <w:szCs w:val="24"/>
                <w:lang w:val="en-US" w:eastAsia="zh-CN"/>
              </w:rPr>
              <w:t>萧县经济开发区白土镇智能制造产业园控制性详细规划环境影响报告书</w:t>
            </w:r>
            <w:r>
              <w:rPr>
                <w:rFonts w:hint="default" w:ascii="Times New Roman" w:hAnsi="Times New Roman" w:cs="Times New Roman"/>
                <w:color w:val="auto"/>
                <w:sz w:val="24"/>
                <w:szCs w:val="24"/>
                <w:lang w:val="en-US" w:eastAsia="zh-CN"/>
              </w:rPr>
              <w:t>&gt;</w:t>
            </w:r>
            <w:r>
              <w:rPr>
                <w:rFonts w:hint="eastAsia" w:ascii="Times New Roman" w:hAnsi="Times New Roman" w:cs="Times New Roman"/>
                <w:color w:val="auto"/>
                <w:sz w:val="24"/>
                <w:szCs w:val="24"/>
                <w:lang w:val="en-US" w:eastAsia="zh-CN"/>
              </w:rPr>
              <w:t>的审查意见</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萧环函</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2023</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号</w:t>
            </w:r>
            <w:r>
              <w:rPr>
                <w:rFonts w:hint="eastAsia" w:ascii="Times New Roman" w:hAnsi="Times New Roman" w:cs="Times New Roman"/>
                <w:color w:val="auto"/>
                <w:sz w:val="24"/>
                <w:szCs w:val="24"/>
                <w:lang w:val="en-US" w:eastAsia="zh-CN"/>
              </w:rPr>
              <w:t>，宿州市萧县生态环境分局，2023年01月30日</w:t>
            </w:r>
            <w:r>
              <w:rPr>
                <w:rFonts w:hint="default" w:ascii="Times New Roman" w:hAnsi="Times New Roman" w:cs="Times New Roman"/>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规划及规划环境影响评价符合性分析</w:t>
            </w:r>
          </w:p>
        </w:tc>
        <w:tc>
          <w:tcPr>
            <w:tcW w:w="8929"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w:t>
            </w:r>
            <w:r>
              <w:rPr>
                <w:rFonts w:hint="eastAsia" w:ascii="Times New Roman" w:hAnsi="Times New Roman" w:cs="Times New Roman"/>
                <w:b/>
                <w:bCs/>
                <w:color w:val="auto"/>
                <w:sz w:val="24"/>
                <w:szCs w:val="24"/>
                <w:lang w:val="en-US" w:eastAsia="zh-CN"/>
              </w:rPr>
              <w:t>规划符合性分析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（1）规划范围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规划地块位于白土镇镇区东至规划水渠，西至皇藏大道，北至青云路，南至纬二路，本次项目研究范围内总用地面积72.58公顷（合1088.7亩），本规划年限为2019-2030年。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sz w:val="24"/>
                <w:szCs w:val="24"/>
                <w:lang w:val="en-US" w:eastAsia="zh-CN"/>
              </w:rPr>
              <w:t>2）性质与定位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z w:val="24"/>
                <w:szCs w:val="24"/>
                <w:lang w:val="en-US" w:eastAsia="zh-CN"/>
              </w:rPr>
            </w:pPr>
            <w:r>
              <w:rPr>
                <w:rFonts w:ascii="CIDFont + F3" w:hAnsi="CIDFont + F3" w:eastAsia="CIDFont + F3" w:cs="CIDFont + F3"/>
                <w:b w:val="0"/>
                <w:bCs w:val="0"/>
                <w:i w:val="0"/>
                <w:iCs w:val="0"/>
                <w:color w:val="auto"/>
                <w:sz w:val="24"/>
                <w:szCs w:val="24"/>
              </w:rPr>
              <w:t>将白土镇智能制造产业园打造成布局优化、产业集聚、用地集聚、用地集约、匀度发展为特色的新型高端装备智造现代产业园。白土镇智能制造产业园产业发展定位为工程机械、矿山机械装备制造业、积极培育机械研发及再制造业</w:t>
            </w:r>
            <w:r>
              <w:rPr>
                <w:rFonts w:hint="default" w:ascii="Times New Roman" w:hAnsi="Times New Roman"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sz w:val="24"/>
                <w:szCs w:val="24"/>
                <w:lang w:val="en-US" w:eastAsia="zh-CN"/>
              </w:rPr>
              <w:t>3）产业定位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CIDFont + F3" w:hAnsi="CIDFont + F3" w:eastAsia="CIDFont + F3" w:cs="CIDFont + F3"/>
                <w:b w:val="0"/>
                <w:bCs w:val="0"/>
                <w:i w:val="0"/>
                <w:iCs w:val="0"/>
                <w:color w:val="auto"/>
                <w:sz w:val="24"/>
                <w:szCs w:val="24"/>
                <w:lang w:val="en-US" w:eastAsia="zh-CN"/>
              </w:rPr>
            </w:pPr>
            <w:r>
              <w:rPr>
                <w:rFonts w:ascii="CIDFont + F3" w:hAnsi="CIDFont + F3" w:eastAsia="CIDFont + F3" w:cs="CIDFont + F3"/>
                <w:b w:val="0"/>
                <w:bCs w:val="0"/>
                <w:i w:val="0"/>
                <w:iCs w:val="0"/>
                <w:color w:val="auto"/>
                <w:sz w:val="24"/>
                <w:szCs w:val="24"/>
              </w:rPr>
              <w:t>为将白土镇智能制造产业园打造成布局优化、产业集聚、用地集聚、用地集</w:t>
            </w:r>
            <w:r>
              <w:rPr>
                <w:rFonts w:ascii="CIDFont + F3" w:hAnsi="CIDFont + F3" w:eastAsia="CIDFont + F3" w:cs="CIDFont + F3"/>
                <w:b w:val="0"/>
                <w:bCs w:val="0"/>
                <w:i w:val="0"/>
                <w:iCs w:val="0"/>
                <w:color w:val="auto"/>
                <w:sz w:val="24"/>
                <w:szCs w:val="24"/>
              </w:rPr>
              <w:br w:type="textWrapping"/>
            </w:r>
            <w:r>
              <w:rPr>
                <w:rFonts w:ascii="CIDFont + F3" w:hAnsi="CIDFont + F3" w:eastAsia="CIDFont + F3" w:cs="CIDFont + F3"/>
                <w:b w:val="0"/>
                <w:bCs w:val="0"/>
                <w:i w:val="0"/>
                <w:iCs w:val="0"/>
                <w:color w:val="auto"/>
                <w:sz w:val="24"/>
                <w:szCs w:val="24"/>
              </w:rPr>
              <w:t>约、匀度发展为特色的新型高端装备智造现代</w:t>
            </w:r>
            <w:r>
              <w:rPr>
                <w:rFonts w:hint="default" w:ascii="Times New Roman" w:hAnsi="Times New Roman" w:eastAsia="CIDFont + F3" w:cs="Times New Roman"/>
                <w:b w:val="0"/>
                <w:bCs w:val="0"/>
                <w:i w:val="0"/>
                <w:iCs w:val="0"/>
                <w:color w:val="auto"/>
                <w:sz w:val="24"/>
                <w:szCs w:val="24"/>
              </w:rPr>
              <w:t>产业园。</w:t>
            </w:r>
            <w:r>
              <w:rPr>
                <w:rFonts w:hint="default" w:ascii="Times New Roman" w:hAnsi="Times New Roman" w:eastAsia="宋体" w:cs="Times New Roman"/>
                <w:b w:val="0"/>
                <w:bCs w:val="0"/>
                <w:i w:val="0"/>
                <w:iCs w:val="0"/>
                <w:color w:val="auto"/>
                <w:sz w:val="24"/>
                <w:szCs w:val="24"/>
                <w:lang w:val="en-US" w:eastAsia="zh-CN"/>
              </w:rPr>
              <w:t>2021</w:t>
            </w:r>
            <w:r>
              <w:rPr>
                <w:rFonts w:hint="default" w:ascii="Times New Roman" w:hAnsi="Times New Roman" w:eastAsia="CIDFont + F3" w:cs="Times New Roman"/>
                <w:b w:val="0"/>
                <w:bCs w:val="0"/>
                <w:i w:val="0"/>
                <w:iCs w:val="0"/>
                <w:color w:val="auto"/>
                <w:sz w:val="24"/>
                <w:szCs w:val="24"/>
              </w:rPr>
              <w:t>年11月萧县</w:t>
            </w:r>
            <w:r>
              <w:rPr>
                <w:rFonts w:ascii="CIDFont + F3" w:hAnsi="CIDFont + F3" w:eastAsia="CIDFont + F3" w:cs="CIDFont + F3"/>
                <w:b w:val="0"/>
                <w:bCs w:val="0"/>
                <w:i w:val="0"/>
                <w:iCs w:val="0"/>
                <w:color w:val="auto"/>
                <w:sz w:val="24"/>
                <w:szCs w:val="24"/>
              </w:rPr>
              <w:t>经济开</w:t>
            </w:r>
            <w:r>
              <w:rPr>
                <w:rFonts w:ascii="CIDFont + F3" w:hAnsi="CIDFont + F3" w:eastAsia="CIDFont + F3" w:cs="CIDFont + F3"/>
                <w:b w:val="0"/>
                <w:bCs w:val="0"/>
                <w:i w:val="0"/>
                <w:iCs w:val="0"/>
                <w:color w:val="auto"/>
                <w:sz w:val="24"/>
                <w:szCs w:val="24"/>
              </w:rPr>
              <w:br w:type="textWrapping"/>
            </w:r>
            <w:r>
              <w:rPr>
                <w:rFonts w:ascii="CIDFont + F3" w:hAnsi="CIDFont + F3" w:eastAsia="CIDFont + F3" w:cs="CIDFont + F3"/>
                <w:b w:val="0"/>
                <w:bCs w:val="0"/>
                <w:i w:val="0"/>
                <w:iCs w:val="0"/>
                <w:color w:val="auto"/>
                <w:sz w:val="24"/>
                <w:szCs w:val="24"/>
              </w:rPr>
              <w:t>发区管理委员会委托编制了《白土镇智能制造产业园控制性详细规划》，白土镇</w:t>
            </w:r>
            <w:r>
              <w:rPr>
                <w:rFonts w:ascii="CIDFont + F3" w:hAnsi="CIDFont + F3" w:eastAsia="CIDFont + F3" w:cs="CIDFont + F3"/>
                <w:b w:val="0"/>
                <w:bCs w:val="0"/>
                <w:i w:val="0"/>
                <w:iCs w:val="0"/>
                <w:color w:val="auto"/>
                <w:sz w:val="24"/>
                <w:szCs w:val="24"/>
              </w:rPr>
              <w:br w:type="textWrapping"/>
            </w:r>
            <w:r>
              <w:rPr>
                <w:rFonts w:ascii="CIDFont + F3" w:hAnsi="CIDFont + F3" w:eastAsia="CIDFont + F3" w:cs="CIDFont + F3"/>
                <w:b w:val="0"/>
                <w:bCs w:val="0"/>
                <w:i w:val="0"/>
                <w:iCs w:val="0"/>
                <w:color w:val="auto"/>
                <w:sz w:val="24"/>
                <w:szCs w:val="24"/>
              </w:rPr>
              <w:t xml:space="preserve">智能制造产业园产业发展定位为机械制造业。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项目产品为</w:t>
            </w:r>
            <w:r>
              <w:rPr>
                <w:rFonts w:hint="eastAsia" w:ascii="Times New Roman" w:hAnsi="Times New Roman" w:cs="Times New Roman"/>
                <w:color w:val="auto"/>
                <w:sz w:val="24"/>
                <w:szCs w:val="24"/>
                <w:lang w:val="en-US" w:eastAsia="zh-CN"/>
              </w:rPr>
              <w:t>矿山电厂环保除尘设备和矿山皮带输送类配套设备（皮带输送清扫器和工业毛刷设备），属于</w:t>
            </w:r>
            <w:r>
              <w:rPr>
                <w:rFonts w:hint="eastAsia" w:ascii="Times New Roman" w:hAnsi="Times New Roman" w:cs="Times New Roman"/>
                <w:color w:val="auto"/>
                <w:sz w:val="24"/>
                <w:szCs w:val="24"/>
                <w:vertAlign w:val="baseline"/>
                <w:lang w:eastAsia="zh-CN"/>
              </w:rPr>
              <w:t>矿山机械制造【</w:t>
            </w:r>
            <w:r>
              <w:rPr>
                <w:rFonts w:hint="eastAsia" w:ascii="Times New Roman" w:hAnsi="Times New Roman" w:cs="Times New Roman"/>
                <w:color w:val="auto"/>
                <w:sz w:val="24"/>
                <w:szCs w:val="24"/>
                <w:vertAlign w:val="baseline"/>
                <w:lang w:val="en-US" w:eastAsia="zh-CN"/>
              </w:rPr>
              <w:t>C3511</w:t>
            </w:r>
            <w:r>
              <w:rPr>
                <w:rFonts w:hint="eastAsia" w:ascii="Times New Roman" w:hAnsi="Times New Roman" w:cs="Times New Roman"/>
                <w:color w:val="auto"/>
                <w:sz w:val="24"/>
                <w:szCs w:val="24"/>
                <w:vertAlign w:val="baseline"/>
                <w:lang w:eastAsia="zh-CN"/>
              </w:rPr>
              <w:t>】，</w:t>
            </w:r>
            <w:r>
              <w:rPr>
                <w:rFonts w:hint="eastAsia" w:ascii="Times New Roman" w:hAnsi="Times New Roman" w:cs="Times New Roman"/>
                <w:color w:val="auto"/>
                <w:sz w:val="24"/>
                <w:szCs w:val="24"/>
                <w:lang w:val="en-US" w:eastAsia="zh-CN"/>
              </w:rPr>
              <w:t>符合</w:t>
            </w:r>
            <w:r>
              <w:rPr>
                <w:rFonts w:hint="eastAsia"/>
                <w:color w:val="auto"/>
                <w:sz w:val="24"/>
                <w:szCs w:val="24"/>
                <w:lang w:val="en-US" w:eastAsia="zh-CN"/>
              </w:rPr>
              <w:t>白土镇智能制造产业园产业发展定位</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为</w:t>
            </w:r>
            <w:r>
              <w:rPr>
                <w:rFonts w:hint="eastAsia" w:ascii="Times New Roman" w:hAnsi="Times New Roman" w:cs="Times New Roman"/>
                <w:color w:val="auto"/>
                <w:sz w:val="24"/>
                <w:szCs w:val="24"/>
                <w:lang w:val="en-US" w:eastAsia="zh-CN"/>
              </w:rPr>
              <w:t>优先及允许进入类别，</w:t>
            </w:r>
            <w:r>
              <w:rPr>
                <w:rFonts w:hint="eastAsia" w:ascii="Times New Roman" w:hAnsi="Times New Roman" w:eastAsia="宋体" w:cs="Times New Roman"/>
                <w:color w:val="auto"/>
                <w:sz w:val="24"/>
                <w:szCs w:val="24"/>
                <w:lang w:eastAsia="zh-CN"/>
              </w:rPr>
              <w:t>符合</w:t>
            </w:r>
            <w:r>
              <w:rPr>
                <w:rFonts w:hint="eastAsia"/>
                <w:color w:val="auto"/>
                <w:sz w:val="24"/>
                <w:szCs w:val="24"/>
                <w:lang w:val="en-US" w:eastAsia="zh-CN"/>
              </w:rPr>
              <w:t>白土镇智能制造产业园控制性详细规划</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2、与《关于&lt;</w:t>
            </w:r>
            <w:r>
              <w:rPr>
                <w:rFonts w:hint="eastAsia"/>
                <w:b/>
                <w:bCs/>
                <w:color w:val="auto"/>
                <w:sz w:val="24"/>
                <w:szCs w:val="24"/>
                <w:lang w:val="en-US" w:eastAsia="zh-CN"/>
              </w:rPr>
              <w:t>萧县经济开发区白土镇智能制造产业园控制性详细规划环境影响报告书</w:t>
            </w:r>
            <w:r>
              <w:rPr>
                <w:rFonts w:hint="default" w:ascii="Times New Roman" w:hAnsi="Times New Roman" w:cs="Times New Roman"/>
                <w:b/>
                <w:bCs/>
                <w:color w:val="auto"/>
                <w:sz w:val="24"/>
                <w:szCs w:val="24"/>
                <w:lang w:val="en-US" w:eastAsia="zh-CN"/>
              </w:rPr>
              <w:t>&gt;</w:t>
            </w:r>
            <w:r>
              <w:rPr>
                <w:rFonts w:hint="eastAsia" w:ascii="Times New Roman" w:hAnsi="Times New Roman" w:cs="Times New Roman"/>
                <w:b/>
                <w:bCs/>
                <w:color w:val="auto"/>
                <w:sz w:val="24"/>
                <w:szCs w:val="24"/>
                <w:lang w:val="en-US" w:eastAsia="zh-CN"/>
              </w:rPr>
              <w:t>的审查意见</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萧环函</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2023</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号</w:t>
            </w:r>
            <w:r>
              <w:rPr>
                <w:rFonts w:hint="eastAsia" w:ascii="Times New Roman" w:hAnsi="Times New Roman" w:cs="Times New Roman"/>
                <w:b/>
                <w:bCs/>
                <w:color w:val="auto"/>
                <w:sz w:val="24"/>
                <w:szCs w:val="24"/>
                <w:lang w:val="en-US" w:eastAsia="zh-CN"/>
              </w:rPr>
              <w:t>，宿州市萧县生态环境分局，2023年01月30日</w:t>
            </w:r>
            <w:r>
              <w:rPr>
                <w:rFonts w:hint="default" w:ascii="Times New Roman" w:hAnsi="Times New Roman" w:cs="Times New Roman"/>
                <w:b/>
                <w:bCs/>
                <w:color w:val="auto"/>
                <w:sz w:val="24"/>
                <w:szCs w:val="24"/>
                <w:lang w:val="en-US" w:eastAsia="zh-CN"/>
              </w:rPr>
              <w:t>）的相符性分析</w:t>
            </w:r>
          </w:p>
          <w:p>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本项目与</w:t>
            </w:r>
            <w:r>
              <w:rPr>
                <w:rFonts w:hint="default" w:ascii="Times New Roman" w:hAnsi="Times New Roman" w:cs="Times New Roman"/>
                <w:color w:val="auto"/>
                <w:sz w:val="24"/>
                <w:szCs w:val="24"/>
                <w:lang w:val="en-US" w:eastAsia="zh-CN"/>
              </w:rPr>
              <w:t>《关于&lt;</w:t>
            </w:r>
            <w:r>
              <w:rPr>
                <w:rFonts w:hint="eastAsia"/>
                <w:color w:val="auto"/>
                <w:sz w:val="24"/>
                <w:szCs w:val="24"/>
                <w:lang w:val="en-US" w:eastAsia="zh-CN"/>
              </w:rPr>
              <w:t>萧县经济开发区白土镇智能制造产业园控制性详细规划环境影响报告书</w:t>
            </w:r>
            <w:r>
              <w:rPr>
                <w:rFonts w:hint="default" w:ascii="Times New Roman" w:hAnsi="Times New Roman" w:cs="Times New Roman"/>
                <w:color w:val="auto"/>
                <w:sz w:val="24"/>
                <w:szCs w:val="24"/>
                <w:lang w:val="en-US" w:eastAsia="zh-CN"/>
              </w:rPr>
              <w:t>&gt;</w:t>
            </w:r>
            <w:r>
              <w:rPr>
                <w:rFonts w:hint="eastAsia" w:ascii="Times New Roman" w:hAnsi="Times New Roman" w:cs="Times New Roman"/>
                <w:color w:val="auto"/>
                <w:sz w:val="24"/>
                <w:szCs w:val="24"/>
                <w:lang w:val="en-US" w:eastAsia="zh-CN"/>
              </w:rPr>
              <w:t>的审查意见</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萧环函</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2023</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号</w:t>
            </w:r>
            <w:r>
              <w:rPr>
                <w:rFonts w:hint="eastAsia" w:ascii="Times New Roman" w:hAnsi="Times New Roman" w:cs="Times New Roman"/>
                <w:color w:val="auto"/>
                <w:sz w:val="24"/>
                <w:szCs w:val="24"/>
                <w:lang w:val="en-US" w:eastAsia="zh-CN"/>
              </w:rPr>
              <w:t>，宿州市萧县生态环境分局，2023年01月30日</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相符性分析见下表</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2</w:t>
            </w:r>
            <w:r>
              <w:rPr>
                <w:rFonts w:hint="default" w:ascii="Times New Roman" w:hAnsi="Times New Roman" w:cs="Times New Roman"/>
                <w:color w:val="auto"/>
                <w:sz w:val="24"/>
                <w:szCs w:val="24"/>
              </w:rPr>
              <w:t>所示。</w:t>
            </w:r>
          </w:p>
          <w:p>
            <w:pPr>
              <w:pStyle w:val="32"/>
              <w:spacing w:line="240" w:lineRule="auto"/>
              <w:ind w:left="0" w:leftChars="0" w:firstLine="0" w:firstLineChars="0"/>
              <w:jc w:val="center"/>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lang w:val="en-US" w:eastAsia="zh-CN"/>
              </w:rPr>
              <w:t>表1.</w:t>
            </w:r>
            <w:r>
              <w:rPr>
                <w:rFonts w:hint="eastAsia" w:ascii="Times New Roman" w:hAnsi="Times New Roman" w:cs="Times New Roman"/>
                <w:b/>
                <w:bCs/>
                <w:color w:val="auto"/>
                <w:sz w:val="15"/>
                <w:szCs w:val="15"/>
                <w:lang w:val="en-US" w:eastAsia="zh-CN"/>
              </w:rPr>
              <w:t>2  与</w:t>
            </w:r>
            <w:r>
              <w:rPr>
                <w:rFonts w:hint="default" w:ascii="Times New Roman" w:hAnsi="Times New Roman" w:cs="Times New Roman"/>
                <w:b/>
                <w:bCs/>
                <w:color w:val="auto"/>
                <w:sz w:val="15"/>
                <w:szCs w:val="15"/>
                <w:lang w:val="en-US" w:eastAsia="zh-CN"/>
              </w:rPr>
              <w:t>《关于&lt;</w:t>
            </w:r>
            <w:r>
              <w:rPr>
                <w:rFonts w:hint="eastAsia"/>
                <w:b/>
                <w:bCs/>
                <w:color w:val="auto"/>
                <w:sz w:val="15"/>
                <w:szCs w:val="15"/>
                <w:lang w:val="en-US" w:eastAsia="zh-CN"/>
              </w:rPr>
              <w:t>萧县经济开发区白土镇智能制造产业园控制性详细规划环境影响报告书</w:t>
            </w:r>
            <w:r>
              <w:rPr>
                <w:rFonts w:hint="default" w:ascii="Times New Roman" w:hAnsi="Times New Roman" w:cs="Times New Roman"/>
                <w:b/>
                <w:bCs/>
                <w:color w:val="auto"/>
                <w:sz w:val="15"/>
                <w:szCs w:val="15"/>
                <w:lang w:val="en-US" w:eastAsia="zh-CN"/>
              </w:rPr>
              <w:t>&gt;</w:t>
            </w:r>
            <w:r>
              <w:rPr>
                <w:rFonts w:hint="eastAsia" w:ascii="Times New Roman" w:hAnsi="Times New Roman" w:cs="Times New Roman"/>
                <w:b/>
                <w:bCs/>
                <w:color w:val="auto"/>
                <w:sz w:val="15"/>
                <w:szCs w:val="15"/>
                <w:lang w:val="en-US" w:eastAsia="zh-CN"/>
              </w:rPr>
              <w:t>的审查意见</w:t>
            </w:r>
            <w:r>
              <w:rPr>
                <w:rFonts w:hint="default" w:ascii="Times New Roman" w:hAnsi="Times New Roman" w:cs="Times New Roman"/>
                <w:b/>
                <w:bCs/>
                <w:color w:val="auto"/>
                <w:sz w:val="15"/>
                <w:szCs w:val="15"/>
                <w:lang w:val="en-US" w:eastAsia="zh-CN"/>
              </w:rPr>
              <w:t>》</w:t>
            </w:r>
            <w:r>
              <w:rPr>
                <w:rFonts w:hint="default" w:ascii="Times New Roman" w:hAnsi="Times New Roman" w:cs="Times New Roman"/>
                <w:b/>
                <w:bCs/>
                <w:color w:val="auto"/>
                <w:sz w:val="15"/>
                <w:szCs w:val="15"/>
              </w:rPr>
              <w:t>相符性分析</w:t>
            </w:r>
          </w:p>
          <w:tbl>
            <w:tblPr>
              <w:tblStyle w:val="24"/>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4799"/>
              <w:gridCol w:w="2490"/>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668" w:type="dxa"/>
                  <w:gridSpan w:val="2"/>
                  <w:noWrap w:val="0"/>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《关于&lt;</w:t>
                  </w:r>
                  <w:r>
                    <w:rPr>
                      <w:rFonts w:hint="eastAsia"/>
                      <w:color w:val="auto"/>
                      <w:sz w:val="21"/>
                      <w:szCs w:val="21"/>
                      <w:lang w:val="en-US" w:eastAsia="zh-CN"/>
                    </w:rPr>
                    <w:t>萧县经济开发区白土镇智能制造产业园控制性详细规划环境影响报告书</w:t>
                  </w:r>
                  <w:r>
                    <w:rPr>
                      <w:rFonts w:hint="default" w:ascii="Times New Roman" w:hAnsi="Times New Roman" w:cs="Times New Roman"/>
                      <w:color w:val="auto"/>
                      <w:sz w:val="21"/>
                      <w:szCs w:val="21"/>
                      <w:lang w:val="en-US" w:eastAsia="zh-CN"/>
                    </w:rPr>
                    <w:t>&gt;</w:t>
                  </w:r>
                  <w:r>
                    <w:rPr>
                      <w:rFonts w:hint="eastAsia" w:ascii="Times New Roman" w:hAnsi="Times New Roman" w:cs="Times New Roman"/>
                      <w:color w:val="auto"/>
                      <w:sz w:val="21"/>
                      <w:szCs w:val="21"/>
                      <w:lang w:val="en-US" w:eastAsia="zh-CN"/>
                    </w:rPr>
                    <w:t>的审查意见</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内容</w:t>
                  </w:r>
                </w:p>
              </w:tc>
              <w:tc>
                <w:tcPr>
                  <w:tcW w:w="2490" w:type="dxa"/>
                  <w:noWrap w:val="0"/>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本项目情况</w:t>
                  </w:r>
                </w:p>
              </w:tc>
              <w:tc>
                <w:tcPr>
                  <w:tcW w:w="629" w:type="dxa"/>
                  <w:noWrap w:val="0"/>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869" w:type="dxa"/>
                  <w:vMerge w:val="restart"/>
                  <w:noWrap w:val="0"/>
                  <w:vAlign w:val="center"/>
                </w:tcPr>
                <w:p>
                  <w:pPr>
                    <w:pStyle w:val="3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1、环境基础设施</w:t>
                  </w:r>
                </w:p>
              </w:tc>
              <w:tc>
                <w:tcPr>
                  <w:tcW w:w="479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水资源开发及供给。严格控制高耗水、高耗能的项目入区；建立可持续的水资源利用模式，提高工业用水重复率，优化配置各种水资源，积极推进区内企业工业废水的再生回用，逐步建立中水回用系统。</w:t>
                  </w:r>
                </w:p>
              </w:tc>
              <w:tc>
                <w:tcPr>
                  <w:tcW w:w="2490"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运营期用水主要为职工生活用水和</w:t>
                  </w:r>
                  <w:r>
                    <w:rPr>
                      <w:rFonts w:hint="eastAsia" w:ascii="Times New Roman" w:hAnsi="Times New Roman" w:cs="Times New Roman"/>
                      <w:color w:val="auto"/>
                      <w:sz w:val="21"/>
                      <w:szCs w:val="21"/>
                      <w:lang w:val="en-US" w:eastAsia="zh-CN"/>
                    </w:rPr>
                    <w:t>矿山皮带输送类配套设备（工业毛刷设备）</w:t>
                  </w:r>
                  <w:r>
                    <w:rPr>
                      <w:rFonts w:hint="eastAsia" w:cs="Times New Roman"/>
                      <w:color w:val="auto"/>
                      <w:sz w:val="21"/>
                      <w:szCs w:val="21"/>
                      <w:lang w:val="en-US" w:eastAsia="zh-CN"/>
                    </w:rPr>
                    <w:t>冷却用水，用水量小，不属于高耗水和高耗能项目</w:t>
                  </w:r>
                  <w:r>
                    <w:rPr>
                      <w:rFonts w:hint="default" w:ascii="Times New Roman" w:hAnsi="Times New Roman" w:eastAsia="宋体" w:cs="Times New Roman"/>
                      <w:color w:val="auto"/>
                      <w:sz w:val="21"/>
                      <w:szCs w:val="21"/>
                      <w:lang w:val="en-US" w:eastAsia="zh-CN"/>
                    </w:rPr>
                    <w:t>。</w:t>
                  </w:r>
                </w:p>
              </w:tc>
              <w:tc>
                <w:tcPr>
                  <w:tcW w:w="629" w:type="dxa"/>
                  <w:noWrap w:val="0"/>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69" w:type="dxa"/>
                  <w:vMerge w:val="continue"/>
                  <w:noWrap w:val="0"/>
                  <w:vAlign w:val="center"/>
                </w:tcPr>
                <w:p>
                  <w:pPr>
                    <w:pStyle w:val="39"/>
                    <w:rPr>
                      <w:rFonts w:hint="default" w:ascii="Times New Roman" w:hAnsi="Times New Roman" w:eastAsia="宋体" w:cs="Times New Roman"/>
                      <w:color w:val="auto"/>
                      <w:sz w:val="21"/>
                      <w:szCs w:val="21"/>
                      <w:lang w:val="en-US" w:eastAsia="zh-CN"/>
                    </w:rPr>
                  </w:pPr>
                </w:p>
              </w:tc>
              <w:tc>
                <w:tcPr>
                  <w:tcW w:w="479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排水及污水处理。按照“雨污分流”原则设计和建设排水系统，完善规划区配套管网建设，实现规划区生产废水和生活污水全部进入污水处理厂处理后排放，污水处理厂执行《城镇污水处理厂污染物排放标准》（GB18918-2002）中一级A标准。</w:t>
                  </w:r>
                </w:p>
              </w:tc>
              <w:tc>
                <w:tcPr>
                  <w:tcW w:w="2490"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项目</w:t>
                  </w:r>
                  <w:r>
                    <w:rPr>
                      <w:rFonts w:hint="eastAsia" w:ascii="Times New Roman" w:hAnsi="Times New Roman" w:cs="Times New Roman"/>
                      <w:color w:val="auto"/>
                      <w:sz w:val="21"/>
                      <w:szCs w:val="21"/>
                      <w:lang w:eastAsia="zh-CN"/>
                    </w:rPr>
                    <w:t>运营期无生产性废水产生及排放</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生活污水经厂区</w:t>
                  </w:r>
                  <w:r>
                    <w:rPr>
                      <w:rFonts w:hint="default" w:ascii="Times New Roman" w:hAnsi="Times New Roman" w:cs="Times New Roman"/>
                      <w:color w:val="auto"/>
                      <w:sz w:val="21"/>
                      <w:szCs w:val="21"/>
                      <w:lang w:eastAsia="zh-CN"/>
                    </w:rPr>
                    <w:t>自建</w:t>
                  </w:r>
                  <w:r>
                    <w:rPr>
                      <w:rFonts w:hint="eastAsia" w:ascii="Times New Roman" w:hAnsi="Times New Roman" w:cs="Times New Roman"/>
                      <w:color w:val="auto"/>
                      <w:sz w:val="21"/>
                      <w:szCs w:val="21"/>
                      <w:lang w:eastAsia="zh-CN"/>
                    </w:rPr>
                    <w:t>“</w:t>
                  </w:r>
                  <w:r>
                    <w:rPr>
                      <w:rFonts w:hint="eastAsia" w:cs="Times New Roman"/>
                      <w:color w:val="auto"/>
                      <w:sz w:val="21"/>
                      <w:szCs w:val="21"/>
                      <w:lang w:eastAsia="zh-CN"/>
                    </w:rPr>
                    <w:t>隔油池</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化粪池</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预</w:t>
                  </w:r>
                  <w:r>
                    <w:rPr>
                      <w:rFonts w:hint="default" w:ascii="Times New Roman" w:hAnsi="Times New Roman" w:cs="Times New Roman"/>
                      <w:color w:val="auto"/>
                      <w:sz w:val="21"/>
                      <w:szCs w:val="21"/>
                    </w:rPr>
                    <w:t>处理达《污水综合排放标准》（GB8978-1996）表4中三级标准及</w:t>
                  </w:r>
                  <w:r>
                    <w:rPr>
                      <w:rFonts w:hint="eastAsia" w:ascii="宋体" w:hAnsi="宋体" w:eastAsia="宋体" w:cs="宋体"/>
                      <w:color w:val="auto"/>
                      <w:sz w:val="21"/>
                      <w:szCs w:val="21"/>
                      <w:lang w:val="en-US" w:eastAsia="zh-CN"/>
                    </w:rPr>
                    <w:t>萧县清源污水处理有限公司</w:t>
                  </w:r>
                  <w:r>
                    <w:rPr>
                      <w:rFonts w:hint="default" w:ascii="Times New Roman" w:hAnsi="Times New Roman" w:cs="Times New Roman"/>
                      <w:color w:val="auto"/>
                      <w:sz w:val="21"/>
                      <w:szCs w:val="21"/>
                    </w:rPr>
                    <w:t>接管</w:t>
                  </w:r>
                  <w:r>
                    <w:rPr>
                      <w:rFonts w:hint="eastAsia" w:ascii="Times New Roman" w:hAnsi="Times New Roman" w:cs="Times New Roman"/>
                      <w:color w:val="auto"/>
                      <w:sz w:val="21"/>
                      <w:szCs w:val="21"/>
                      <w:lang w:eastAsia="zh-CN"/>
                    </w:rPr>
                    <w:t>限值后</w:t>
                  </w:r>
                  <w:r>
                    <w:rPr>
                      <w:rFonts w:hint="default" w:ascii="Times New Roman" w:hAnsi="Times New Roman" w:cs="Times New Roman"/>
                      <w:color w:val="auto"/>
                      <w:sz w:val="21"/>
                      <w:szCs w:val="21"/>
                    </w:rPr>
                    <w:t>排入</w:t>
                  </w:r>
                  <w:r>
                    <w:rPr>
                      <w:rFonts w:hint="eastAsia" w:ascii="宋体" w:hAnsi="宋体" w:eastAsia="宋体" w:cs="宋体"/>
                      <w:color w:val="auto"/>
                      <w:sz w:val="21"/>
                      <w:szCs w:val="21"/>
                      <w:lang w:val="en-US" w:eastAsia="zh-CN"/>
                    </w:rPr>
                    <w:t>萧县清源污水处理有限公司</w:t>
                  </w:r>
                  <w:r>
                    <w:rPr>
                      <w:rFonts w:hint="default" w:ascii="Times New Roman" w:hAnsi="Times New Roman" w:cs="Times New Roman"/>
                      <w:color w:val="auto"/>
                      <w:sz w:val="21"/>
                      <w:szCs w:val="21"/>
                    </w:rPr>
                    <w:t>处理达《城镇污水处理厂污染物排放标准》（GB18918-2002）表1中一级</w:t>
                  </w:r>
                  <w:r>
                    <w:rPr>
                      <w:rFonts w:hint="default" w:ascii="Times New Roman" w:hAnsi="Times New Roman" w:cs="Times New Roman"/>
                      <w:color w:val="auto"/>
                      <w:sz w:val="21"/>
                      <w:szCs w:val="21"/>
                      <w:lang w:eastAsia="zh-CN"/>
                    </w:rPr>
                    <w:t>标准</w:t>
                  </w:r>
                  <w:r>
                    <w:rPr>
                      <w:rFonts w:hint="default" w:ascii="Times New Roman" w:hAnsi="Times New Roman" w:cs="Times New Roman"/>
                      <w:color w:val="auto"/>
                      <w:sz w:val="21"/>
                      <w:szCs w:val="21"/>
                    </w:rPr>
                    <w:t>A标准后排入</w:t>
                  </w:r>
                  <w:r>
                    <w:rPr>
                      <w:rFonts w:hint="eastAsia" w:ascii="Times New Roman" w:hAnsi="Times New Roman" w:cs="Times New Roman"/>
                      <w:color w:val="auto"/>
                      <w:sz w:val="21"/>
                      <w:szCs w:val="21"/>
                      <w:lang w:eastAsia="zh-CN"/>
                    </w:rPr>
                    <w:t>倒流河</w:t>
                  </w:r>
                  <w:r>
                    <w:rPr>
                      <w:rFonts w:hint="eastAsia" w:cs="Times New Roman"/>
                      <w:color w:val="auto"/>
                      <w:sz w:val="21"/>
                      <w:szCs w:val="21"/>
                      <w:lang w:eastAsia="zh-CN"/>
                    </w:rPr>
                    <w:t>。</w:t>
                  </w:r>
                </w:p>
              </w:tc>
              <w:tc>
                <w:tcPr>
                  <w:tcW w:w="629" w:type="dxa"/>
                  <w:noWrap w:val="0"/>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869" w:type="dxa"/>
                  <w:vMerge w:val="continue"/>
                  <w:noWrap w:val="0"/>
                  <w:vAlign w:val="center"/>
                </w:tcPr>
                <w:p>
                  <w:pPr>
                    <w:pStyle w:val="39"/>
                    <w:rPr>
                      <w:rFonts w:hint="default" w:ascii="Times New Roman" w:hAnsi="Times New Roman" w:eastAsia="宋体" w:cs="Times New Roman"/>
                      <w:color w:val="auto"/>
                      <w:sz w:val="21"/>
                      <w:szCs w:val="21"/>
                      <w:lang w:val="en-US" w:eastAsia="zh-CN"/>
                    </w:rPr>
                  </w:pPr>
                </w:p>
              </w:tc>
              <w:tc>
                <w:tcPr>
                  <w:tcW w:w="479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园区要从严从紧从实控制“两高项目”，坚决遏制高耗能、高排放项目盲目发展，减污降碳，推动绿色转型和绿色低碳发展。同时入驻企业要严格使用低VOCs原辅料，强化无组织排放控制，提升VOCs治理能力，实现VOCs排放量明显下降。严格禁止区内新建燃煤、燃重油等重污染燃料锅炉或工业炉窑，需要自建锅炉或工业炉窑的项目，必须使用天然气等清洁能源，切实发挥“绿色屏障”源头控制作用。园区规划燃气种类为天然气，应加快供气管网建设。</w:t>
                  </w:r>
                </w:p>
              </w:tc>
              <w:tc>
                <w:tcPr>
                  <w:tcW w:w="2490"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eastAsia="zh-CN"/>
                    </w:rPr>
                    <w:t>对照《</w:t>
                  </w:r>
                  <w:r>
                    <w:rPr>
                      <w:rFonts w:hint="eastAsia" w:ascii="Times New Roman" w:hAnsi="Times New Roman" w:cs="Times New Roman"/>
                      <w:b w:val="0"/>
                      <w:bCs w:val="0"/>
                      <w:color w:val="auto"/>
                      <w:sz w:val="21"/>
                      <w:szCs w:val="21"/>
                    </w:rPr>
                    <w:t>关于印发&lt;安徽省“两高”项目管理目录（试行）&gt;的通知》（皖节能【2022】2号，2022年06月21日，安徽省节能减排及应对气候变化工作领导小组）</w:t>
                  </w:r>
                  <w:r>
                    <w:rPr>
                      <w:rFonts w:hint="eastAsia" w:cs="Times New Roman"/>
                      <w:b w:val="0"/>
                      <w:bCs w:val="0"/>
                      <w:color w:val="auto"/>
                      <w:sz w:val="21"/>
                      <w:szCs w:val="21"/>
                      <w:lang w:eastAsia="zh-CN"/>
                    </w:rPr>
                    <w:t>，本项目不属于“两高”项目；运营期使用的</w:t>
                  </w:r>
                  <w:r>
                    <w:rPr>
                      <w:rFonts w:hint="eastAsia" w:cs="Times New Roman"/>
                      <w:color w:val="auto"/>
                      <w:sz w:val="21"/>
                      <w:szCs w:val="21"/>
                      <w:lang w:eastAsia="zh-CN"/>
                    </w:rPr>
                    <w:t>粉末涂料、聚氨酯预聚体、固化剂、聚丙烯颗粒等</w:t>
                  </w:r>
                  <w:r>
                    <w:rPr>
                      <w:rFonts w:hint="eastAsia" w:cs="Times New Roman"/>
                      <w:b w:val="0"/>
                      <w:bCs w:val="0"/>
                      <w:color w:val="auto"/>
                      <w:sz w:val="21"/>
                      <w:szCs w:val="21"/>
                      <w:lang w:eastAsia="zh-CN"/>
                    </w:rPr>
                    <w:t>为低</w:t>
                  </w:r>
                  <w:r>
                    <w:rPr>
                      <w:rFonts w:hint="eastAsia" w:cs="Times New Roman"/>
                      <w:b w:val="0"/>
                      <w:bCs w:val="0"/>
                      <w:color w:val="auto"/>
                      <w:sz w:val="21"/>
                      <w:szCs w:val="21"/>
                      <w:lang w:val="en-US" w:eastAsia="zh-CN"/>
                    </w:rPr>
                    <w:t>VOCs原辅料；天然气燃烧机使用天然气做为能源</w:t>
                  </w:r>
                  <w:r>
                    <w:rPr>
                      <w:rFonts w:hint="default" w:ascii="Times New Roman" w:hAnsi="Times New Roman" w:eastAsia="宋体" w:cs="Times New Roman"/>
                      <w:b w:val="0"/>
                      <w:bCs w:val="0"/>
                      <w:color w:val="auto"/>
                      <w:sz w:val="21"/>
                      <w:szCs w:val="21"/>
                      <w:lang w:val="en-US" w:eastAsia="zh-CN"/>
                    </w:rPr>
                    <w:t>。</w:t>
                  </w:r>
                </w:p>
              </w:tc>
              <w:tc>
                <w:tcPr>
                  <w:tcW w:w="629" w:type="dxa"/>
                  <w:noWrap w:val="0"/>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69" w:type="dxa"/>
                  <w:vMerge w:val="continue"/>
                  <w:noWrap w:val="0"/>
                  <w:vAlign w:val="center"/>
                </w:tcPr>
                <w:p>
                  <w:pPr>
                    <w:pStyle w:val="39"/>
                    <w:rPr>
                      <w:rFonts w:hint="default" w:ascii="Times New Roman" w:hAnsi="Times New Roman" w:eastAsia="宋体" w:cs="Times New Roman"/>
                      <w:color w:val="auto"/>
                      <w:sz w:val="21"/>
                      <w:szCs w:val="21"/>
                      <w:lang w:val="en-US" w:eastAsia="zh-CN"/>
                    </w:rPr>
                  </w:pPr>
                </w:p>
              </w:tc>
              <w:tc>
                <w:tcPr>
                  <w:tcW w:w="4799"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固体废物处理。严格按照有关规定，对固体废物实施分类处理、利用，做到“资源化、减量化、无害化”。一般工业固体废物执行《一般工业固体废物贮存和填埋污染控制标准》（GB18599-2020）及修改单标准。危险废物应委托有资质的单位进行处置，转移执行转移联单制度，危险废物临时贮存执行《危险废物贮存污染控制标准》（GB18597-2001）及其修改单中的相关规定。</w:t>
                  </w:r>
                </w:p>
              </w:tc>
              <w:tc>
                <w:tcPr>
                  <w:tcW w:w="2490" w:type="dxa"/>
                  <w:noWrap w:val="0"/>
                  <w:vAlign w:val="center"/>
                </w:tcPr>
                <w:p>
                  <w:pPr>
                    <w:spacing w:line="240" w:lineRule="auto"/>
                    <w:ind w:firstLine="420" w:firstLineChars="20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eastAsia="zh-CN"/>
                    </w:rPr>
                    <w:t>本项目</w:t>
                  </w:r>
                  <w:r>
                    <w:rPr>
                      <w:rFonts w:hint="default" w:ascii="Times New Roman" w:hAnsi="Times New Roman" w:cs="Times New Roman"/>
                      <w:b w:val="0"/>
                      <w:bCs w:val="0"/>
                      <w:color w:val="auto"/>
                      <w:sz w:val="21"/>
                      <w:szCs w:val="21"/>
                    </w:rPr>
                    <w:t>一般工业固体废物</w:t>
                  </w:r>
                  <w:r>
                    <w:rPr>
                      <w:rFonts w:hint="eastAsia" w:ascii="Times New Roman" w:hAnsi="Times New Roman" w:cs="Times New Roman"/>
                      <w:b w:val="0"/>
                      <w:bCs w:val="0"/>
                      <w:color w:val="auto"/>
                      <w:sz w:val="21"/>
                      <w:szCs w:val="21"/>
                      <w:lang w:eastAsia="zh-CN"/>
                    </w:rPr>
                    <w:t>贮存</w:t>
                  </w:r>
                  <w:r>
                    <w:rPr>
                      <w:rFonts w:hint="default" w:ascii="Times New Roman" w:hAnsi="Times New Roman" w:cs="Times New Roman"/>
                      <w:b w:val="0"/>
                      <w:bCs w:val="0"/>
                      <w:color w:val="auto"/>
                      <w:sz w:val="21"/>
                      <w:szCs w:val="21"/>
                    </w:rPr>
                    <w:t>参照执行《一般工业固体废物贮存</w:t>
                  </w:r>
                  <w:r>
                    <w:rPr>
                      <w:rFonts w:hint="default" w:ascii="Times New Roman" w:hAnsi="Times New Roman" w:cs="Times New Roman"/>
                      <w:b w:val="0"/>
                      <w:bCs w:val="0"/>
                      <w:color w:val="auto"/>
                      <w:sz w:val="21"/>
                      <w:szCs w:val="21"/>
                      <w:lang w:val="en-US" w:eastAsia="zh-CN"/>
                    </w:rPr>
                    <w:t>和填埋</w:t>
                  </w:r>
                  <w:r>
                    <w:rPr>
                      <w:rFonts w:hint="default" w:ascii="Times New Roman" w:hAnsi="Times New Roman" w:cs="Times New Roman"/>
                      <w:b w:val="0"/>
                      <w:bCs w:val="0"/>
                      <w:color w:val="auto"/>
                      <w:sz w:val="21"/>
                      <w:szCs w:val="21"/>
                    </w:rPr>
                    <w:t>污染控制标准》（GB18599-20</w:t>
                  </w:r>
                  <w:r>
                    <w:rPr>
                      <w:rFonts w:hint="default" w:ascii="Times New Roman" w:hAnsi="Times New Roman" w:cs="Times New Roman"/>
                      <w:b w:val="0"/>
                      <w:bCs w:val="0"/>
                      <w:color w:val="auto"/>
                      <w:sz w:val="21"/>
                      <w:szCs w:val="21"/>
                      <w:lang w:val="en-US" w:eastAsia="zh-CN"/>
                    </w:rPr>
                    <w:t>20</w:t>
                  </w:r>
                  <w:r>
                    <w:rPr>
                      <w:rFonts w:hint="default" w:ascii="Times New Roman" w:hAnsi="Times New Roman" w:cs="Times New Roman"/>
                      <w:b w:val="0"/>
                      <w:bCs w:val="0"/>
                      <w:color w:val="auto"/>
                      <w:sz w:val="21"/>
                      <w:szCs w:val="21"/>
                    </w:rPr>
                    <w:t>）</w:t>
                  </w:r>
                  <w:r>
                    <w:rPr>
                      <w:rFonts w:hint="eastAsia" w:ascii="Times New Roman" w:hAnsi="Times New Roman" w:cs="Times New Roman"/>
                      <w:b w:val="0"/>
                      <w:bCs w:val="0"/>
                      <w:color w:val="auto"/>
                      <w:sz w:val="21"/>
                      <w:szCs w:val="21"/>
                      <w:lang w:eastAsia="zh-CN"/>
                    </w:rPr>
                    <w:t>，贮存过程应满足相应防渗漏、防雨淋、防扬尘等环境保护要求</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val="en-US" w:eastAsia="zh-CN"/>
                    </w:rPr>
                    <w:t>危险废物应委托有资质的单位进行处置，转移执行转移联单制度，</w:t>
                  </w:r>
                  <w:r>
                    <w:rPr>
                      <w:rFonts w:hint="default" w:ascii="Times New Roman" w:hAnsi="Times New Roman" w:cs="Times New Roman"/>
                      <w:b w:val="0"/>
                      <w:bCs w:val="0"/>
                      <w:color w:val="auto"/>
                      <w:sz w:val="21"/>
                      <w:szCs w:val="21"/>
                    </w:rPr>
                    <w:t>危险废物</w:t>
                  </w:r>
                  <w:r>
                    <w:rPr>
                      <w:rFonts w:hint="eastAsia" w:ascii="Times New Roman" w:hAnsi="Times New Roman" w:cs="Times New Roman"/>
                      <w:b w:val="0"/>
                      <w:bCs w:val="0"/>
                      <w:color w:val="auto"/>
                      <w:sz w:val="21"/>
                      <w:szCs w:val="21"/>
                      <w:lang w:eastAsia="zh-CN"/>
                    </w:rPr>
                    <w:t>临时贮存执行</w:t>
                  </w:r>
                  <w:r>
                    <w:rPr>
                      <w:rFonts w:hint="default" w:ascii="Times New Roman" w:hAnsi="Times New Roman" w:cs="Times New Roman"/>
                      <w:b w:val="0"/>
                      <w:bCs w:val="0"/>
                      <w:color w:val="auto"/>
                      <w:sz w:val="21"/>
                      <w:szCs w:val="21"/>
                    </w:rPr>
                    <w:t>《危险废物贮存污染控制标准》（GB18597-20</w:t>
                  </w:r>
                  <w:r>
                    <w:rPr>
                      <w:rFonts w:hint="eastAsia" w:ascii="Times New Roman" w:hAnsi="Times New Roman" w:cs="Times New Roman"/>
                      <w:b w:val="0"/>
                      <w:bCs w:val="0"/>
                      <w:color w:val="auto"/>
                      <w:sz w:val="21"/>
                      <w:szCs w:val="21"/>
                      <w:lang w:val="en-US" w:eastAsia="zh-CN"/>
                    </w:rPr>
                    <w:t>23</w:t>
                  </w:r>
                  <w:r>
                    <w:rPr>
                      <w:rFonts w:hint="default" w:ascii="Times New Roman" w:hAnsi="Times New Roman" w:cs="Times New Roman"/>
                      <w:b w:val="0"/>
                      <w:bCs w:val="0"/>
                      <w:color w:val="auto"/>
                      <w:sz w:val="21"/>
                      <w:szCs w:val="21"/>
                    </w:rPr>
                    <w:t>）</w:t>
                  </w:r>
                  <w:r>
                    <w:rPr>
                      <w:rFonts w:hint="eastAsia" w:ascii="Times New Roman" w:hAnsi="Times New Roman" w:cs="Times New Roman"/>
                      <w:b w:val="0"/>
                      <w:bCs w:val="0"/>
                      <w:color w:val="auto"/>
                      <w:sz w:val="21"/>
                      <w:szCs w:val="21"/>
                      <w:lang w:eastAsia="zh-CN"/>
                    </w:rPr>
                    <w:t>中的相关规定</w:t>
                  </w:r>
                  <w:r>
                    <w:rPr>
                      <w:rFonts w:hint="default" w:ascii="Times New Roman" w:hAnsi="Times New Roman" w:cs="Times New Roman"/>
                      <w:b w:val="0"/>
                      <w:bCs w:val="0"/>
                      <w:color w:val="auto"/>
                      <w:sz w:val="21"/>
                      <w:szCs w:val="21"/>
                    </w:rPr>
                    <w:t>。</w:t>
                  </w:r>
                </w:p>
              </w:tc>
              <w:tc>
                <w:tcPr>
                  <w:tcW w:w="629" w:type="dxa"/>
                  <w:noWrap w:val="0"/>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9" w:type="dxa"/>
                  <w:noWrap w:val="0"/>
                  <w:vAlign w:val="center"/>
                </w:tcPr>
                <w:p>
                  <w:pPr>
                    <w:pStyle w:val="3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2、主要污染排放总量控制</w:t>
                  </w:r>
                </w:p>
              </w:tc>
              <w:tc>
                <w:tcPr>
                  <w:tcW w:w="479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规划实施中，新增污染物排放总量的建设项目，应按污染物排放总量控制要求遵循“控制总量、消减存量、减量替代”的原则核定污染物总量指标。</w:t>
                  </w:r>
                </w:p>
              </w:tc>
              <w:tc>
                <w:tcPr>
                  <w:tcW w:w="2490"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项目所在区域为不达标区，按照</w:t>
                  </w:r>
                  <w:r>
                    <w:rPr>
                      <w:rFonts w:hint="default" w:ascii="Times New Roman" w:hAnsi="Times New Roman" w:cs="Times New Roman"/>
                      <w:color w:val="auto"/>
                      <w:sz w:val="21"/>
                      <w:szCs w:val="21"/>
                    </w:rPr>
                    <w:t>《关于</w:t>
                  </w:r>
                  <w:r>
                    <w:rPr>
                      <w:rFonts w:hint="default" w:ascii="Times New Roman" w:hAnsi="Times New Roman" w:cs="Times New Roman"/>
                      <w:color w:val="auto"/>
                      <w:sz w:val="21"/>
                      <w:szCs w:val="21"/>
                      <w:lang w:val="en-US" w:eastAsia="zh-CN"/>
                    </w:rPr>
                    <w:t>&lt;</w:t>
                  </w:r>
                  <w:r>
                    <w:rPr>
                      <w:rFonts w:hint="default" w:ascii="Times New Roman" w:hAnsi="Times New Roman" w:cs="Times New Roman"/>
                      <w:color w:val="auto"/>
                      <w:sz w:val="21"/>
                      <w:szCs w:val="21"/>
                    </w:rPr>
                    <w:t>进一步加强建设项目新增大气主要污染物总量指标管理工作</w:t>
                  </w:r>
                  <w:r>
                    <w:rPr>
                      <w:rFonts w:hint="default" w:ascii="Times New Roman" w:hAnsi="Times New Roman" w:cs="Times New Roman"/>
                      <w:color w:val="auto"/>
                      <w:sz w:val="21"/>
                      <w:szCs w:val="21"/>
                      <w:lang w:val="en-US" w:eastAsia="zh-CN"/>
                    </w:rPr>
                    <w:t>&gt;</w:t>
                  </w:r>
                  <w:r>
                    <w:rPr>
                      <w:rFonts w:hint="default" w:ascii="Times New Roman" w:hAnsi="Times New Roman" w:cs="Times New Roman"/>
                      <w:color w:val="auto"/>
                      <w:sz w:val="21"/>
                      <w:szCs w:val="21"/>
                    </w:rPr>
                    <w:t>的通知》</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皖环发</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2017</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19号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安徽省环境保护厅</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017年</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3月28日</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w:t>
                  </w:r>
                  <w:r>
                    <w:rPr>
                      <w:rFonts w:hint="eastAsia" w:ascii="宋体" w:hAnsi="宋体" w:eastAsia="宋体" w:cs="宋体"/>
                      <w:color w:val="auto"/>
                      <w:sz w:val="21"/>
                      <w:szCs w:val="21"/>
                      <w:lang w:eastAsia="zh-CN"/>
                    </w:rPr>
                    <w:t>二、大气主要污染物总量指标实行区域内等量或倍量削减替代。上年度空气质量不达标的城市，相应污染物指标应执行“倍量替代”。其中，上</w:t>
                  </w:r>
                  <w:r>
                    <w:rPr>
                      <w:rFonts w:hint="default" w:ascii="Times New Roman" w:hAnsi="Times New Roman" w:eastAsia="宋体" w:cs="Times New Roman"/>
                      <w:color w:val="auto"/>
                      <w:sz w:val="21"/>
                      <w:szCs w:val="21"/>
                      <w:lang w:eastAsia="zh-CN"/>
                    </w:rPr>
                    <w:t>年度</w:t>
                  </w:r>
                  <w:r>
                    <w:rPr>
                      <w:rFonts w:hint="default" w:ascii="Times New Roman" w:hAnsi="Times New Roman" w:eastAsia="宋体" w:cs="Times New Roman"/>
                      <w:color w:val="auto"/>
                      <w:sz w:val="21"/>
                      <w:szCs w:val="21"/>
                      <w:lang w:val="en-US" w:eastAsia="zh-CN"/>
                    </w:rPr>
                    <w:t>PM</w:t>
                  </w:r>
                  <w:r>
                    <w:rPr>
                      <w:rFonts w:hint="default" w:ascii="Times New Roman" w:hAnsi="Times New Roman" w:eastAsia="宋体" w:cs="Times New Roman"/>
                      <w:color w:val="auto"/>
                      <w:sz w:val="21"/>
                      <w:szCs w:val="21"/>
                      <w:vertAlign w:val="subscript"/>
                      <w:lang w:val="en-US" w:eastAsia="zh-CN"/>
                    </w:rPr>
                    <w:t>2.5</w:t>
                  </w:r>
                  <w:r>
                    <w:rPr>
                      <w:rFonts w:hint="default" w:ascii="Times New Roman" w:hAnsi="Times New Roman" w:eastAsia="宋体" w:cs="Times New Roman"/>
                      <w:color w:val="auto"/>
                      <w:sz w:val="21"/>
                      <w:szCs w:val="21"/>
                      <w:lang w:val="en-US" w:eastAsia="zh-CN"/>
                    </w:rPr>
                    <w:t>不达标的城市，新增SO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lang w:val="en-US" w:eastAsia="zh-CN"/>
                    </w:rPr>
                    <w:t>和VOCs指标均要执行</w:t>
                  </w:r>
                  <w:r>
                    <w:rPr>
                      <w:rFonts w:hint="eastAsia" w:asciiTheme="majorEastAsia" w:hAnsiTheme="majorEastAsia" w:eastAsiaTheme="majorEastAsia" w:cstheme="majorEastAsia"/>
                      <w:color w:val="auto"/>
                      <w:sz w:val="21"/>
                      <w:szCs w:val="21"/>
                      <w:lang w:val="en-US" w:eastAsia="zh-CN"/>
                    </w:rPr>
                    <w:t>“倍量替代”。</w:t>
                  </w:r>
                  <w:r>
                    <w:rPr>
                      <w:rFonts w:hint="default" w:ascii="Times New Roman" w:hAnsi="Times New Roman" w:eastAsia="宋体" w:cs="Times New Roman"/>
                      <w:color w:val="auto"/>
                      <w:sz w:val="21"/>
                      <w:szCs w:val="21"/>
                      <w:lang w:val="en-US" w:eastAsia="zh-CN"/>
                    </w:rPr>
                    <w:t>上年度PM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不达标的</w:t>
                  </w:r>
                  <w:r>
                    <w:rPr>
                      <w:rFonts w:hint="eastAsia" w:ascii="宋体" w:hAnsi="宋体" w:eastAsia="宋体" w:cs="宋体"/>
                      <w:color w:val="auto"/>
                      <w:sz w:val="21"/>
                      <w:szCs w:val="21"/>
                      <w:lang w:val="en-US" w:eastAsia="zh-CN"/>
                    </w:rPr>
                    <w:t>城市，新增烟（粉）尘指标要执行“倍量替代</w:t>
                  </w:r>
                  <w:r>
                    <w:rPr>
                      <w:rFonts w:hint="eastAsia" w:ascii="宋体" w:hAnsi="宋体" w:eastAsia="宋体" w:cs="宋体"/>
                      <w:color w:val="auto"/>
                      <w:sz w:val="21"/>
                      <w:szCs w:val="21"/>
                      <w:lang w:eastAsia="zh-CN"/>
                    </w:rPr>
                    <w:t>”。</w:t>
                  </w:r>
                </w:p>
              </w:tc>
              <w:tc>
                <w:tcPr>
                  <w:tcW w:w="629" w:type="dxa"/>
                  <w:noWrap w:val="0"/>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869" w:type="dxa"/>
                  <w:noWrap w:val="0"/>
                  <w:vAlign w:val="center"/>
                </w:tcPr>
                <w:p>
                  <w:pPr>
                    <w:pStyle w:val="3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3、环境保护管理</w:t>
                  </w:r>
                </w:p>
              </w:tc>
              <w:tc>
                <w:tcPr>
                  <w:tcW w:w="479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入区项目要在规划的功能区内建设，并符合国家产业政策、行业准入和环保准入条件。建设项目的环境影响评价文件，经有审批权的环保部门批准后方可开工建设，并落实好“三同时”制度。</w:t>
                  </w:r>
                </w:p>
              </w:tc>
              <w:tc>
                <w:tcPr>
                  <w:tcW w:w="2490"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建设地点位于</w:t>
                  </w:r>
                  <w:r>
                    <w:rPr>
                      <w:rFonts w:hint="eastAsia" w:ascii="Times New Roman" w:hAnsi="Times New Roman" w:cs="Times New Roman"/>
                      <w:color w:val="auto"/>
                      <w:sz w:val="21"/>
                      <w:szCs w:val="21"/>
                      <w:vertAlign w:val="baseline"/>
                      <w:lang w:val="en-US" w:eastAsia="zh-CN"/>
                    </w:rPr>
                    <w:t>安徽萧县经济开发区白土镇智能制造产业园纬三路与青峰路交叉口</w:t>
                  </w:r>
                  <w:r>
                    <w:rPr>
                      <w:rFonts w:hint="eastAsia" w:cs="Times New Roman"/>
                      <w:color w:val="auto"/>
                      <w:sz w:val="21"/>
                      <w:szCs w:val="21"/>
                      <w:vertAlign w:val="baseline"/>
                      <w:lang w:val="en-US" w:eastAsia="zh-CN"/>
                    </w:rPr>
                    <w:t>，用地性质为工业用地，并符合国家产业政策、行业准入和环保准入条件</w:t>
                  </w:r>
                  <w:r>
                    <w:rPr>
                      <w:rFonts w:hint="default" w:ascii="Times New Roman" w:hAnsi="Times New Roman" w:eastAsia="宋体" w:cs="Times New Roman"/>
                      <w:color w:val="auto"/>
                      <w:sz w:val="21"/>
                      <w:szCs w:val="21"/>
                      <w:lang w:val="en-US" w:eastAsia="zh-CN"/>
                    </w:rPr>
                    <w:t>。</w:t>
                  </w:r>
                </w:p>
              </w:tc>
              <w:tc>
                <w:tcPr>
                  <w:tcW w:w="629" w:type="dxa"/>
                  <w:noWrap w:val="0"/>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p>
            <w:pPr>
              <w:pStyle w:val="32"/>
              <w:spacing w:line="240" w:lineRule="auto"/>
              <w:ind w:left="0" w:leftChars="0" w:firstLine="0" w:firstLineChars="0"/>
              <w:rPr>
                <w:rFonts w:hint="default" w:ascii="Times New Roman" w:hAnsi="Times New Roman" w:cs="Times New Roman"/>
                <w:b/>
                <w:bCs/>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14" w:hRule="atLeast"/>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其他符合性分析</w:t>
            </w:r>
          </w:p>
        </w:tc>
        <w:tc>
          <w:tcPr>
            <w:tcW w:w="8929" w:type="dxa"/>
            <w:gridSpan w:val="3"/>
            <w:vAlign w:val="center"/>
          </w:tcPr>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1、产业政策符合性分析</w:t>
            </w:r>
          </w:p>
          <w:p>
            <w:pPr>
              <w:pStyle w:val="47"/>
              <w:ind w:firstLine="480"/>
              <w:rPr>
                <w:rFonts w:hint="eastAsia"/>
                <w:color w:val="auto"/>
              </w:rPr>
            </w:pPr>
            <w:r>
              <w:rPr>
                <w:rFonts w:hint="default"/>
                <w:color w:val="auto"/>
              </w:rPr>
              <w:t>对照</w:t>
            </w:r>
            <w:r>
              <w:rPr>
                <w:rFonts w:hint="default" w:ascii="Times New Roman" w:hAnsi="Times New Roman" w:cs="Times New Roman"/>
                <w:color w:val="auto"/>
              </w:rPr>
              <w:t>《产业结构调整指导目录（2024年本）》</w:t>
            </w:r>
            <w:r>
              <w:rPr>
                <w:rFonts w:hint="default"/>
                <w:color w:val="auto"/>
              </w:rPr>
              <w:t>，本项目不属</w:t>
            </w:r>
            <w:r>
              <w:rPr>
                <w:rFonts w:hint="eastAsia"/>
                <w:color w:val="auto"/>
              </w:rPr>
              <w:t>于“鼓励类”、“限制类”和“淘汰类”，属于“允许类”项目。因此，本项目的建设符合国家的相关产业政策。</w:t>
            </w:r>
          </w:p>
          <w:p>
            <w:pPr>
              <w:pStyle w:val="47"/>
              <w:ind w:firstLine="480"/>
              <w:rPr>
                <w:rFonts w:hint="default" w:ascii="Times New Roman" w:hAnsi="Times New Roman" w:cs="Times New Roman"/>
                <w:color w:val="auto"/>
              </w:rPr>
            </w:pPr>
            <w:r>
              <w:rPr>
                <w:rFonts w:hint="default"/>
                <w:color w:val="auto"/>
                <w:lang w:eastAsia="zh-CN"/>
              </w:rPr>
              <w:t>项目已</w:t>
            </w:r>
            <w:r>
              <w:rPr>
                <w:rFonts w:hint="default" w:ascii="Times New Roman" w:hAnsi="Times New Roman" w:cs="Times New Roman"/>
                <w:color w:val="auto"/>
                <w:lang w:eastAsia="zh-CN"/>
              </w:rPr>
              <w:t>于202</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年</w:t>
            </w:r>
            <w:r>
              <w:rPr>
                <w:rFonts w:hint="default" w:ascii="Times New Roman" w:hAnsi="Times New Roman" w:cs="Times New Roman"/>
                <w:color w:val="auto"/>
                <w:lang w:val="en-US" w:eastAsia="zh-CN"/>
              </w:rPr>
              <w:t>07</w:t>
            </w:r>
            <w:r>
              <w:rPr>
                <w:rFonts w:hint="default" w:ascii="Times New Roman" w:hAnsi="Times New Roman" w:cs="Times New Roman"/>
                <w:color w:val="auto"/>
                <w:lang w:eastAsia="zh-CN"/>
              </w:rPr>
              <w:t>月</w:t>
            </w:r>
            <w:r>
              <w:rPr>
                <w:rFonts w:hint="default" w:ascii="Times New Roman" w:hAnsi="Times New Roman" w:cs="Times New Roman"/>
                <w:color w:val="auto"/>
                <w:lang w:val="en-US" w:eastAsia="zh-CN"/>
              </w:rPr>
              <w:t>23</w:t>
            </w:r>
            <w:r>
              <w:rPr>
                <w:rFonts w:hint="default" w:ascii="Times New Roman" w:hAnsi="Times New Roman" w:cs="Times New Roman"/>
                <w:color w:val="auto"/>
                <w:lang w:eastAsia="zh-CN"/>
              </w:rPr>
              <w:t>日取得了《关于同意</w:t>
            </w:r>
            <w:r>
              <w:rPr>
                <w:rFonts w:hint="default" w:ascii="Times New Roman" w:hAnsi="Times New Roman" w:cs="Times New Roman"/>
                <w:color w:val="auto"/>
                <w:lang w:val="en-US" w:eastAsia="zh-CN"/>
              </w:rPr>
              <w:t>&lt;安徽戈巴迪智能装备股份有限公司</w:t>
            </w:r>
            <w:r>
              <w:rPr>
                <w:rFonts w:hint="default" w:ascii="Times New Roman" w:hAnsi="Times New Roman" w:cs="Times New Roman"/>
                <w:color w:val="auto"/>
                <w:lang w:eastAsia="zh-CN"/>
              </w:rPr>
              <w:t>年产500套矿山电厂环保降尘设备6000台矿山皮带输送类配套设备项目</w:t>
            </w:r>
            <w:r>
              <w:rPr>
                <w:rFonts w:hint="default" w:ascii="Times New Roman" w:hAnsi="Times New Roman" w:cs="Times New Roman"/>
                <w:color w:val="auto"/>
                <w:lang w:val="en-US" w:eastAsia="zh-CN"/>
              </w:rPr>
              <w:t>&gt;备案的函</w:t>
            </w:r>
            <w:r>
              <w:rPr>
                <w:rFonts w:hint="default" w:ascii="Times New Roman" w:hAnsi="Times New Roman" w:cs="Times New Roman"/>
                <w:color w:val="auto"/>
                <w:lang w:eastAsia="zh-CN"/>
              </w:rPr>
              <w:t>》（萧发改政务【</w:t>
            </w:r>
            <w:r>
              <w:rPr>
                <w:rFonts w:hint="default" w:ascii="Times New Roman" w:hAnsi="Times New Roman" w:cs="Times New Roman"/>
                <w:color w:val="auto"/>
                <w:lang w:val="en-US" w:eastAsia="zh-CN"/>
              </w:rPr>
              <w:t>2021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336号</w:t>
            </w:r>
            <w:r>
              <w:rPr>
                <w:rFonts w:hint="default" w:ascii="Times New Roman" w:hAnsi="Times New Roman" w:cs="Times New Roman"/>
                <w:color w:val="auto"/>
                <w:lang w:eastAsia="zh-CN"/>
              </w:rPr>
              <w:t>）。</w:t>
            </w:r>
            <w:r>
              <w:rPr>
                <w:rFonts w:hint="default" w:ascii="Times New Roman" w:hAnsi="Times New Roman" w:cs="Times New Roman"/>
                <w:color w:val="auto"/>
              </w:rPr>
              <w:t>因此，项目的建设符合</w:t>
            </w:r>
            <w:r>
              <w:rPr>
                <w:rFonts w:hint="default" w:ascii="Times New Roman" w:hAnsi="Times New Roman" w:cs="Times New Roman"/>
                <w:color w:val="auto"/>
                <w:lang w:eastAsia="zh-CN"/>
              </w:rPr>
              <w:t>地方</w:t>
            </w:r>
            <w:r>
              <w:rPr>
                <w:rFonts w:hint="default" w:ascii="Times New Roman" w:hAnsi="Times New Roman" w:cs="Times New Roman"/>
                <w:color w:val="auto"/>
              </w:rPr>
              <w:t>的产业政策。</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、与《挥发性有机物污染防治技术政策》符合性分析</w:t>
            </w:r>
          </w:p>
          <w:p>
            <w:p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本项目与《挥发性有机物污染防治技术政策》（环境保护部，公告2013年第31号）符合性分析见表1.</w:t>
            </w:r>
            <w:r>
              <w:rPr>
                <w:rFonts w:hint="eastAsia"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w:t>
            </w:r>
          </w:p>
          <w:p>
            <w:pPr>
              <w:spacing w:line="24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表1.</w:t>
            </w: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 xml:space="preserve">  与《挥发性有机物污染防治技术政策》符合性分析</w:t>
            </w:r>
          </w:p>
          <w:tbl>
            <w:tblPr>
              <w:tblStyle w:val="24"/>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615"/>
              <w:gridCol w:w="2572"/>
              <w:gridCol w:w="2340"/>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3" w:type="dxa"/>
                  <w:gridSpan w:val="3"/>
                  <w:noWrap w:val="0"/>
                  <w:vAlign w:val="center"/>
                </w:tcPr>
                <w:p>
                  <w:pPr>
                    <w:pStyle w:val="39"/>
                    <w:rPr>
                      <w:rFonts w:hint="eastAsia"/>
                      <w:color w:val="auto"/>
                      <w:lang w:val="en-US" w:eastAsia="zh-CN"/>
                    </w:rPr>
                  </w:pPr>
                  <w:r>
                    <w:rPr>
                      <w:rFonts w:hint="eastAsia"/>
                      <w:color w:val="auto"/>
                      <w:lang w:val="en-US" w:eastAsia="zh-CN"/>
                    </w:rPr>
                    <w:t>《</w:t>
                  </w:r>
                  <w:r>
                    <w:rPr>
                      <w:rFonts w:hint="default"/>
                      <w:color w:val="auto"/>
                      <w:lang w:val="en-US" w:eastAsia="zh-CN"/>
                    </w:rPr>
                    <w:t>挥发性有机物污染防治技术政策</w:t>
                  </w:r>
                  <w:r>
                    <w:rPr>
                      <w:rFonts w:hint="eastAsia"/>
                      <w:color w:val="auto"/>
                      <w:lang w:val="en-US" w:eastAsia="zh-CN"/>
                    </w:rPr>
                    <w:t>》内容</w:t>
                  </w:r>
                </w:p>
              </w:tc>
              <w:tc>
                <w:tcPr>
                  <w:tcW w:w="2340" w:type="dxa"/>
                  <w:noWrap w:val="0"/>
                  <w:vAlign w:val="center"/>
                </w:tcPr>
                <w:p>
                  <w:pPr>
                    <w:pStyle w:val="39"/>
                    <w:rPr>
                      <w:rFonts w:hint="default"/>
                      <w:color w:val="auto"/>
                      <w:lang w:val="en-US" w:eastAsia="zh-CN"/>
                    </w:rPr>
                  </w:pPr>
                  <w:r>
                    <w:rPr>
                      <w:rFonts w:hint="default"/>
                      <w:color w:val="auto"/>
                      <w:lang w:val="en-US" w:eastAsia="zh-CN"/>
                    </w:rPr>
                    <w:t>本项目</w:t>
                  </w:r>
                  <w:r>
                    <w:rPr>
                      <w:rFonts w:hint="eastAsia"/>
                      <w:color w:val="auto"/>
                      <w:lang w:val="en-US" w:eastAsia="zh-CN"/>
                    </w:rPr>
                    <w:t>情况</w:t>
                  </w:r>
                </w:p>
              </w:tc>
              <w:tc>
                <w:tcPr>
                  <w:tcW w:w="624" w:type="dxa"/>
                  <w:noWrap w:val="0"/>
                  <w:vAlign w:val="center"/>
                </w:tcPr>
                <w:p>
                  <w:pPr>
                    <w:pStyle w:val="39"/>
                    <w:rPr>
                      <w:rFonts w:hint="default"/>
                      <w:color w:val="auto"/>
                      <w:lang w:val="en-US" w:eastAsia="zh-CN"/>
                    </w:rPr>
                  </w:pPr>
                  <w:r>
                    <w:rPr>
                      <w:rFonts w:hint="eastAsia"/>
                      <w:color w:val="auto"/>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vMerge w:val="restart"/>
                  <w:noWrap w:val="0"/>
                  <w:vAlign w:val="center"/>
                </w:tcPr>
                <w:p>
                  <w:pPr>
                    <w:pStyle w:val="39"/>
                    <w:rPr>
                      <w:rFonts w:hint="eastAsia"/>
                      <w:color w:val="auto"/>
                      <w:lang w:val="en-US" w:eastAsia="zh-CN"/>
                    </w:rPr>
                  </w:pPr>
                  <w:r>
                    <w:rPr>
                      <w:rFonts w:hint="eastAsia"/>
                      <w:color w:val="auto"/>
                      <w:lang w:val="en-US" w:eastAsia="zh-CN"/>
                    </w:rPr>
                    <w:t>二、源头和过程控制</w:t>
                  </w:r>
                </w:p>
              </w:tc>
              <w:tc>
                <w:tcPr>
                  <w:tcW w:w="2615" w:type="dxa"/>
                  <w:vMerge w:val="restart"/>
                  <w:tcBorders>
                    <w:left w:val="nil"/>
                  </w:tcBorders>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olor w:val="auto"/>
                      <w:lang w:val="en-US" w:eastAsia="zh-CN"/>
                    </w:rPr>
                  </w:pPr>
                  <w:r>
                    <w:rPr>
                      <w:rFonts w:hint="eastAsia"/>
                      <w:color w:val="auto"/>
                      <w:lang w:val="en-US" w:eastAsia="zh-CN"/>
                    </w:rPr>
                    <w:t>（十）在涂装、印刷、粘合、工业清洗等含VOCs 产品的使用过程中的VOCs 污染防治技术措施包括：</w:t>
                  </w:r>
                </w:p>
              </w:tc>
              <w:tc>
                <w:tcPr>
                  <w:tcW w:w="2572" w:type="dxa"/>
                  <w:tcBorders>
                    <w:left w:val="nil"/>
                  </w:tcBorders>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eastAsia="宋体" w:cstheme="minorBidi"/>
                      <w:color w:val="auto"/>
                      <w:kern w:val="2"/>
                      <w:sz w:val="21"/>
                      <w:szCs w:val="20"/>
                      <w:lang w:val="en-US" w:eastAsia="zh-CN" w:bidi="ar-SA"/>
                    </w:rPr>
                  </w:pPr>
                  <w:r>
                    <w:rPr>
                      <w:rFonts w:hint="eastAsia"/>
                      <w:color w:val="auto"/>
                      <w:lang w:val="en-US" w:eastAsia="zh-CN"/>
                    </w:rPr>
                    <w:t>2.根据涂装工艺的不同，鼓励使用水性涂料、高固份涂料、粉末涂料、紫外光固化（UV）涂料等环保型涂料；推广采用静电喷涂、淋涂、辊涂、浸涂等效率较高的涂装工艺；应尽量避免无VOCs净化、回收措施的露天喷涂作业。</w:t>
                  </w:r>
                </w:p>
              </w:tc>
              <w:tc>
                <w:tcPr>
                  <w:tcW w:w="2340"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olor w:val="auto"/>
                      <w:lang w:val="en-US" w:eastAsia="zh-CN"/>
                    </w:rPr>
                  </w:pPr>
                  <w:r>
                    <w:rPr>
                      <w:rFonts w:hint="eastAsia"/>
                      <w:color w:val="auto"/>
                      <w:lang w:val="en-US" w:eastAsia="zh-CN"/>
                    </w:rPr>
                    <w:t>本项目运营期使用的</w:t>
                  </w:r>
                  <w:r>
                    <w:rPr>
                      <w:rFonts w:hint="eastAsia" w:cs="Times New Roman"/>
                      <w:color w:val="auto"/>
                      <w:lang w:eastAsia="zh-CN"/>
                    </w:rPr>
                    <w:t>粉末涂料</w:t>
                  </w:r>
                  <w:r>
                    <w:rPr>
                      <w:rFonts w:hint="eastAsia"/>
                      <w:color w:val="auto"/>
                      <w:lang w:val="en-US" w:eastAsia="zh-CN"/>
                    </w:rPr>
                    <w:t>为低挥发性有机物涂料</w:t>
                  </w:r>
                  <w:r>
                    <w:rPr>
                      <w:rFonts w:hint="default"/>
                      <w:color w:val="auto"/>
                      <w:lang w:val="en-US" w:eastAsia="zh-CN"/>
                    </w:rPr>
                    <w:t>。</w:t>
                  </w:r>
                </w:p>
              </w:tc>
              <w:tc>
                <w:tcPr>
                  <w:tcW w:w="624" w:type="dxa"/>
                  <w:noWrap w:val="0"/>
                  <w:vAlign w:val="center"/>
                </w:tcPr>
                <w:p>
                  <w:pPr>
                    <w:pStyle w:val="39"/>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vMerge w:val="continue"/>
                  <w:noWrap w:val="0"/>
                  <w:vAlign w:val="center"/>
                </w:tcPr>
                <w:p>
                  <w:pPr>
                    <w:pStyle w:val="39"/>
                    <w:rPr>
                      <w:rFonts w:hint="eastAsia"/>
                      <w:color w:val="auto"/>
                      <w:lang w:val="en-US" w:eastAsia="zh-CN"/>
                    </w:rPr>
                  </w:pPr>
                </w:p>
              </w:tc>
              <w:tc>
                <w:tcPr>
                  <w:tcW w:w="2615" w:type="dxa"/>
                  <w:vMerge w:val="continue"/>
                  <w:tcBorders>
                    <w:left w:val="nil"/>
                  </w:tcBorders>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olor w:val="auto"/>
                      <w:lang w:val="en-US" w:eastAsia="zh-CN"/>
                    </w:rPr>
                  </w:pPr>
                </w:p>
              </w:tc>
              <w:tc>
                <w:tcPr>
                  <w:tcW w:w="2572" w:type="dxa"/>
                  <w:tcBorders>
                    <w:left w:val="nil"/>
                  </w:tcBorders>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eastAsia="宋体" w:cstheme="minorBidi"/>
                      <w:color w:val="auto"/>
                      <w:kern w:val="2"/>
                      <w:sz w:val="21"/>
                      <w:szCs w:val="20"/>
                      <w:lang w:val="en-US" w:eastAsia="zh-CN" w:bidi="ar-SA"/>
                    </w:rPr>
                  </w:pPr>
                  <w:r>
                    <w:rPr>
                      <w:rFonts w:hint="eastAsia"/>
                      <w:color w:val="auto"/>
                      <w:lang w:val="en-US" w:eastAsia="zh-CN"/>
                    </w:rPr>
                    <w:t>6.含VOCs产品的使用过程中，应采取废气收集措施，提高废气收集效率，减少废气的无组织排放与逸散，并对收集后的废气进行回收或处理后达标排放。</w:t>
                  </w:r>
                </w:p>
              </w:tc>
              <w:tc>
                <w:tcPr>
                  <w:tcW w:w="2340"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color w:val="auto"/>
                      <w:lang w:val="en-US" w:eastAsia="zh-CN"/>
                    </w:rPr>
                  </w:pPr>
                  <w:r>
                    <w:rPr>
                      <w:rFonts w:hint="eastAsia"/>
                      <w:color w:val="auto"/>
                      <w:lang w:val="en-US" w:eastAsia="zh-CN"/>
                    </w:rPr>
                    <w:t>本项目</w:t>
                  </w:r>
                  <w:r>
                    <w:rPr>
                      <w:rFonts w:hint="eastAsia" w:cs="Times New Roman"/>
                      <w:color w:val="auto"/>
                      <w:sz w:val="21"/>
                      <w:szCs w:val="21"/>
                      <w:lang w:eastAsia="zh-CN"/>
                    </w:rPr>
                    <w:t>固化工序</w:t>
                  </w:r>
                  <w:r>
                    <w:rPr>
                      <w:rFonts w:hint="eastAsia"/>
                      <w:color w:val="auto"/>
                      <w:lang w:val="en-US" w:eastAsia="zh-CN"/>
                    </w:rPr>
                    <w:t>拟设置集气罩对废气进行收集，收集的废气进入</w:t>
                  </w:r>
                  <w:r>
                    <w:rPr>
                      <w:rFonts w:hint="eastAsia"/>
                      <w:color w:val="auto"/>
                      <w:sz w:val="21"/>
                      <w:szCs w:val="21"/>
                      <w:lang w:val="en-US" w:eastAsia="zh-CN"/>
                    </w:rPr>
                    <w:t>“风冷+两级活性炭吸附箱”对固化工序产生的挥发性有机物（VOCs）进行处</w:t>
                  </w:r>
                  <w:r>
                    <w:rPr>
                      <w:rFonts w:hint="eastAsia"/>
                      <w:color w:val="auto"/>
                      <w:lang w:val="en-US" w:eastAsia="zh-CN"/>
                    </w:rPr>
                    <w:t>理，并达标排放；预烘、浇注、脱模、清洗、注塑及硫化工序拟设置集气罩对废气进行收集，收集的废气进入“风冷+两级活性炭吸附箱”处理达标后排放。</w:t>
                  </w:r>
                </w:p>
              </w:tc>
              <w:tc>
                <w:tcPr>
                  <w:tcW w:w="624" w:type="dxa"/>
                  <w:noWrap w:val="0"/>
                  <w:vAlign w:val="center"/>
                </w:tcPr>
                <w:p>
                  <w:pPr>
                    <w:pStyle w:val="39"/>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51" w:type="dxa"/>
                  <w:gridSpan w:val="2"/>
                  <w:vMerge w:val="restart"/>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r>
                    <w:rPr>
                      <w:rFonts w:hint="eastAsia"/>
                      <w:color w:val="auto"/>
                      <w:lang w:val="en-US" w:eastAsia="zh-CN"/>
                    </w:rPr>
                    <w:t>三、末端治理与综合利用</w:t>
                  </w:r>
                </w:p>
              </w:tc>
              <w:tc>
                <w:tcPr>
                  <w:tcW w:w="2572" w:type="dxa"/>
                  <w:tcBorders>
                    <w:left w:val="nil"/>
                  </w:tcBorders>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olor w:val="auto"/>
                      <w:lang w:val="en-US" w:eastAsia="zh-CN"/>
                    </w:rPr>
                  </w:pPr>
                  <w:r>
                    <w:rPr>
                      <w:rFonts w:hint="eastAsia"/>
                      <w:color w:val="auto"/>
                      <w:lang w:val="en-US" w:eastAsia="zh-CN"/>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r>
                    <w:rPr>
                      <w:rFonts w:hint="default"/>
                      <w:color w:val="auto"/>
                      <w:lang w:val="en-US" w:eastAsia="zh-CN"/>
                    </w:rPr>
                    <w:t>。</w:t>
                  </w:r>
                </w:p>
              </w:tc>
              <w:tc>
                <w:tcPr>
                  <w:tcW w:w="2340"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olor w:val="auto"/>
                      <w:lang w:val="en-US" w:eastAsia="zh-CN"/>
                    </w:rPr>
                  </w:pPr>
                  <w:r>
                    <w:rPr>
                      <w:rFonts w:hint="eastAsia"/>
                      <w:color w:val="auto"/>
                      <w:lang w:val="en-US" w:eastAsia="zh-CN"/>
                    </w:rPr>
                    <w:t>本项目固化、预烘、浇注、脱模、清洗、注塑及硫化工序产生的有机废气浓度为低浓度VOCs废气，企业拟采用“风冷+两级活性炭吸附箱”技术净化后达标排放。</w:t>
                  </w:r>
                </w:p>
              </w:tc>
              <w:tc>
                <w:tcPr>
                  <w:tcW w:w="624" w:type="dxa"/>
                  <w:noWrap w:val="0"/>
                  <w:vAlign w:val="center"/>
                </w:tcPr>
                <w:p>
                  <w:pPr>
                    <w:pStyle w:val="39"/>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51" w:type="dxa"/>
                  <w:gridSpan w:val="2"/>
                  <w:vMerge w:val="continue"/>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color w:val="auto"/>
                      <w:lang w:val="en-US" w:eastAsia="zh-CN"/>
                    </w:rPr>
                  </w:pPr>
                </w:p>
              </w:tc>
              <w:tc>
                <w:tcPr>
                  <w:tcW w:w="2572" w:type="dxa"/>
                  <w:tcBorders>
                    <w:left w:val="nil"/>
                  </w:tcBorders>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color w:val="auto"/>
                      <w:sz w:val="21"/>
                      <w:szCs w:val="21"/>
                      <w:lang w:val="en-US" w:eastAsia="zh-CN"/>
                    </w:rPr>
                  </w:pPr>
                  <w:r>
                    <w:rPr>
                      <w:rFonts w:hint="eastAsia"/>
                      <w:color w:val="auto"/>
                      <w:sz w:val="21"/>
                      <w:szCs w:val="21"/>
                      <w:lang w:val="en-US" w:eastAsia="zh-CN"/>
                    </w:rPr>
                    <w:t>（二十）</w:t>
                  </w:r>
                  <w:r>
                    <w:rPr>
                      <w:rFonts w:hint="default"/>
                      <w:color w:val="auto"/>
                      <w:sz w:val="21"/>
                      <w:szCs w:val="21"/>
                      <w:lang w:val="en-US" w:eastAsia="zh-CN"/>
                    </w:rPr>
                    <w:t>对于不能再生的过滤材料、吸附剂及催化剂等净化材料，应按照国家固体废物管理的相关规定处理处置。</w:t>
                  </w:r>
                </w:p>
              </w:tc>
              <w:tc>
                <w:tcPr>
                  <w:tcW w:w="2340"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olor w:val="auto"/>
                      <w:sz w:val="21"/>
                      <w:szCs w:val="21"/>
                      <w:lang w:val="en-US" w:eastAsia="zh-CN"/>
                    </w:rPr>
                  </w:pPr>
                  <w:r>
                    <w:rPr>
                      <w:rFonts w:hint="eastAsia"/>
                      <w:color w:val="auto"/>
                      <w:sz w:val="21"/>
                      <w:szCs w:val="21"/>
                      <w:lang w:val="en-US" w:eastAsia="zh-CN"/>
                    </w:rPr>
                    <w:t>企业拟对废活性炭净化材料，按照</w:t>
                  </w:r>
                  <w:r>
                    <w:rPr>
                      <w:rFonts w:hint="default" w:ascii="Times New Roman" w:hAnsi="Times New Roman" w:cs="Times New Roman"/>
                      <w:color w:val="auto"/>
                      <w:sz w:val="21"/>
                      <w:szCs w:val="21"/>
                    </w:rPr>
                    <w:t>《危险废物贮存污染控制标准》（GB18597-20</w:t>
                  </w:r>
                  <w:r>
                    <w:rPr>
                      <w:rFonts w:hint="eastAsia" w:ascii="Times New Roman" w:hAnsi="Times New Roman" w:cs="Times New Roman"/>
                      <w:color w:val="auto"/>
                      <w:sz w:val="21"/>
                      <w:szCs w:val="21"/>
                      <w:lang w:val="en-US" w:eastAsia="zh-CN"/>
                    </w:rPr>
                    <w:t>23</w:t>
                  </w:r>
                  <w:r>
                    <w:rPr>
                      <w:rFonts w:hint="default" w:ascii="Times New Roman" w:hAnsi="Times New Roman" w:cs="Times New Roman"/>
                      <w:color w:val="auto"/>
                      <w:sz w:val="21"/>
                      <w:szCs w:val="21"/>
                    </w:rPr>
                    <w:t>）</w:t>
                  </w:r>
                  <w:r>
                    <w:rPr>
                      <w:rFonts w:hint="eastAsia"/>
                      <w:color w:val="auto"/>
                      <w:sz w:val="21"/>
                      <w:szCs w:val="21"/>
                      <w:lang w:val="en-US" w:eastAsia="zh-CN"/>
                    </w:rPr>
                    <w:t>中相关规定进行收集、储存及转运，集中收集后定期委托有资质单位处置。</w:t>
                  </w:r>
                </w:p>
              </w:tc>
              <w:tc>
                <w:tcPr>
                  <w:tcW w:w="624" w:type="dxa"/>
                  <w:noWrap w:val="0"/>
                  <w:vAlign w:val="center"/>
                </w:tcPr>
                <w:p>
                  <w:pPr>
                    <w:pStyle w:val="39"/>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51" w:type="dxa"/>
                  <w:gridSpan w:val="2"/>
                  <w:vMerge w:val="restart"/>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四、运行与监测</w:t>
                  </w:r>
                </w:p>
              </w:tc>
              <w:tc>
                <w:tcPr>
                  <w:tcW w:w="2572" w:type="dxa"/>
                  <w:tcBorders>
                    <w:left w:val="nil"/>
                  </w:tcBorders>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olor w:val="auto"/>
                      <w:lang w:val="en-US" w:eastAsia="zh-CN"/>
                    </w:rPr>
                  </w:pPr>
                  <w:r>
                    <w:rPr>
                      <w:rFonts w:hint="eastAsia"/>
                      <w:color w:val="auto"/>
                      <w:lang w:val="en-US" w:eastAsia="zh-CN"/>
                    </w:rPr>
                    <w:t>（二十五）</w:t>
                  </w:r>
                  <w:r>
                    <w:rPr>
                      <w:rFonts w:hint="default"/>
                      <w:color w:val="auto"/>
                      <w:lang w:val="en-US" w:eastAsia="zh-CN"/>
                    </w:rPr>
                    <w:t>鼓励企业自行开展VOCs监测，并及时主动向当地环保行政主管部门报送监测结果。</w:t>
                  </w:r>
                </w:p>
              </w:tc>
              <w:tc>
                <w:tcPr>
                  <w:tcW w:w="2340"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olor w:val="auto"/>
                      <w:lang w:val="en-US" w:eastAsia="zh-CN"/>
                    </w:rPr>
                  </w:pPr>
                  <w:r>
                    <w:rPr>
                      <w:rFonts w:hint="eastAsia"/>
                      <w:color w:val="auto"/>
                      <w:lang w:val="en-US" w:eastAsia="zh-CN"/>
                    </w:rPr>
                    <w:t>企业拟开展VOCs监测，并及时主动向当地环保行政主管部门报送监测果。</w:t>
                  </w:r>
                </w:p>
              </w:tc>
              <w:tc>
                <w:tcPr>
                  <w:tcW w:w="624" w:type="dxa"/>
                  <w:noWrap w:val="0"/>
                  <w:vAlign w:val="center"/>
                </w:tcPr>
                <w:p>
                  <w:pPr>
                    <w:pStyle w:val="39"/>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51" w:type="dxa"/>
                  <w:gridSpan w:val="2"/>
                  <w:vMerge w:val="continue"/>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outlineLvl w:val="9"/>
                    <w:rPr>
                      <w:rFonts w:hint="default"/>
                      <w:color w:val="auto"/>
                      <w:lang w:val="en-US" w:eastAsia="zh-CN"/>
                    </w:rPr>
                  </w:pPr>
                </w:p>
              </w:tc>
              <w:tc>
                <w:tcPr>
                  <w:tcW w:w="2572" w:type="dxa"/>
                  <w:tcBorders>
                    <w:left w:val="nil"/>
                  </w:tcBorders>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outlineLvl w:val="9"/>
                    <w:rPr>
                      <w:rFonts w:hint="eastAsia"/>
                      <w:color w:val="auto"/>
                      <w:lang w:val="en-US" w:eastAsia="zh-CN"/>
                    </w:rPr>
                  </w:pPr>
                  <w:r>
                    <w:rPr>
                      <w:rFonts w:hint="eastAsia"/>
                      <w:color w:val="auto"/>
                      <w:lang w:val="en-US" w:eastAsia="zh-CN"/>
                    </w:rPr>
                    <w:t>（二十六）</w:t>
                  </w:r>
                  <w:r>
                    <w:rPr>
                      <w:rFonts w:hint="default"/>
                      <w:color w:val="auto"/>
                      <w:lang w:val="en-US" w:eastAsia="zh-CN"/>
                    </w:rPr>
                    <w:t>企业应建立健全VOCs治理设施的运行维护规程和台帐等日常管理制度，并根据工艺要求定期对各类设备、电气、自控仪表等进行检修维护，确保设施的稳定运行。</w:t>
                  </w:r>
                </w:p>
              </w:tc>
              <w:tc>
                <w:tcPr>
                  <w:tcW w:w="2340"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olor w:val="auto"/>
                      <w:lang w:val="en-US" w:eastAsia="zh-CN"/>
                    </w:rPr>
                  </w:pPr>
                  <w:r>
                    <w:rPr>
                      <w:rFonts w:hint="default"/>
                      <w:color w:val="auto"/>
                      <w:lang w:val="en-US" w:eastAsia="zh-CN"/>
                    </w:rPr>
                    <w:t>企业</w:t>
                  </w:r>
                  <w:r>
                    <w:rPr>
                      <w:rFonts w:hint="eastAsia"/>
                      <w:color w:val="auto"/>
                      <w:lang w:val="en-US" w:eastAsia="zh-CN"/>
                    </w:rPr>
                    <w:t>拟</w:t>
                  </w:r>
                  <w:r>
                    <w:rPr>
                      <w:rFonts w:hint="default"/>
                      <w:color w:val="auto"/>
                      <w:lang w:val="en-US" w:eastAsia="zh-CN"/>
                    </w:rPr>
                    <w:t>建立健全VOCs治理设施的运行维护规程和台帐等日常管理制度，并根据工艺要求定期对各类设备、电气、自控仪表等进行检修维护，确保设施的稳定运行。</w:t>
                  </w:r>
                </w:p>
              </w:tc>
              <w:tc>
                <w:tcPr>
                  <w:tcW w:w="624" w:type="dxa"/>
                  <w:noWrap w:val="0"/>
                  <w:vAlign w:val="center"/>
                </w:tcPr>
                <w:p>
                  <w:pPr>
                    <w:pStyle w:val="39"/>
                    <w:rPr>
                      <w:rFonts w:hint="eastAsia"/>
                      <w:color w:val="auto"/>
                      <w:lang w:val="en-US" w:eastAsia="zh-CN"/>
                    </w:rPr>
                  </w:pPr>
                  <w:r>
                    <w:rPr>
                      <w:rFonts w:hint="eastAsia"/>
                      <w:color w:val="auto"/>
                      <w:lang w:val="en-US" w:eastAsia="zh-CN"/>
                    </w:rPr>
                    <w:t>符合</w:t>
                  </w:r>
                </w:p>
              </w:tc>
            </w:tr>
          </w:tbl>
          <w:p>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3、与</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关于</w:t>
            </w:r>
            <w:r>
              <w:rPr>
                <w:rFonts w:hint="eastAsia" w:ascii="Times New Roman" w:hAnsi="Times New Roman" w:cs="Times New Roman"/>
                <w:b/>
                <w:bCs/>
                <w:color w:val="auto"/>
                <w:sz w:val="24"/>
                <w:szCs w:val="24"/>
                <w:lang w:val="en-US" w:eastAsia="zh-CN"/>
              </w:rPr>
              <w:t>&lt;</w:t>
            </w:r>
            <w:r>
              <w:rPr>
                <w:rFonts w:hint="eastAsia" w:ascii="宋体" w:hAnsi="宋体" w:eastAsia="宋体" w:cs="宋体"/>
                <w:b/>
                <w:bCs/>
                <w:color w:val="auto"/>
                <w:sz w:val="24"/>
                <w:szCs w:val="24"/>
                <w:lang w:val="en-US" w:eastAsia="zh-CN"/>
              </w:rPr>
              <w:t>深入开展挥发性有机物污染治理工作</w:t>
            </w:r>
            <w:r>
              <w:rPr>
                <w:rFonts w:hint="eastAsia" w:ascii="Times New Roman" w:hAnsi="Times New Roman" w:cs="Times New Roman"/>
                <w:b w:val="0"/>
                <w:bCs w:val="0"/>
                <w:color w:val="auto"/>
                <w:sz w:val="24"/>
                <w:szCs w:val="24"/>
                <w:lang w:val="en-US" w:eastAsia="zh-CN"/>
              </w:rPr>
              <w:t>&gt;</w:t>
            </w:r>
            <w:r>
              <w:rPr>
                <w:rFonts w:hint="eastAsia" w:ascii="宋体" w:hAnsi="宋体" w:eastAsia="宋体" w:cs="宋体"/>
                <w:b/>
                <w:bCs/>
                <w:color w:val="auto"/>
                <w:sz w:val="24"/>
                <w:szCs w:val="24"/>
                <w:lang w:val="en-US" w:eastAsia="zh-CN"/>
              </w:rPr>
              <w:t>的通知</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eastAsia="zh-CN"/>
              </w:rPr>
              <w:t>皖大气办【</w:t>
            </w:r>
            <w:r>
              <w:rPr>
                <w:rFonts w:hint="eastAsia" w:ascii="Times New Roman" w:hAnsi="Times New Roman" w:eastAsia="宋体" w:cs="Times New Roman"/>
                <w:b/>
                <w:bCs/>
                <w:color w:val="auto"/>
                <w:sz w:val="24"/>
                <w:szCs w:val="24"/>
                <w:lang w:val="en-US" w:eastAsia="zh-CN"/>
              </w:rPr>
              <w:t>2021</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4号，安徽省大气污染防治联席会议办公室，2021年06月17日</w:t>
            </w:r>
            <w:r>
              <w:rPr>
                <w:rFonts w:hint="default" w:ascii="Times New Roman" w:hAnsi="Times New Roman" w:eastAsia="宋体" w:cs="Times New Roman"/>
                <w:b/>
                <w:bCs/>
                <w:color w:val="auto"/>
                <w:sz w:val="24"/>
                <w:szCs w:val="24"/>
                <w:lang w:eastAsia="zh-CN"/>
              </w:rPr>
              <w:t>）</w:t>
            </w:r>
            <w:r>
              <w:rPr>
                <w:rFonts w:hint="default" w:ascii="Times New Roman" w:hAnsi="Times New Roman" w:cs="Times New Roman"/>
                <w:b/>
                <w:bCs/>
                <w:color w:val="auto"/>
                <w:sz w:val="24"/>
                <w:szCs w:val="24"/>
                <w:lang w:val="en-US" w:eastAsia="zh-CN"/>
              </w:rPr>
              <w:t>符合性分析</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本项目与</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关于</w:t>
            </w:r>
            <w:r>
              <w:rPr>
                <w:rFonts w:hint="eastAsia" w:ascii="Times New Roman" w:hAnsi="Times New Roman" w:cs="Times New Roman"/>
                <w:b w:val="0"/>
                <w:bCs w:val="0"/>
                <w:color w:val="auto"/>
                <w:sz w:val="24"/>
                <w:szCs w:val="24"/>
                <w:lang w:val="en-US" w:eastAsia="zh-CN"/>
              </w:rPr>
              <w:t>&lt;</w:t>
            </w:r>
            <w:r>
              <w:rPr>
                <w:rFonts w:hint="eastAsia" w:ascii="宋体" w:hAnsi="宋体" w:eastAsia="宋体" w:cs="宋体"/>
                <w:b w:val="0"/>
                <w:bCs w:val="0"/>
                <w:color w:val="auto"/>
                <w:sz w:val="24"/>
                <w:szCs w:val="24"/>
                <w:lang w:val="en-US" w:eastAsia="zh-CN"/>
              </w:rPr>
              <w:t>深入开展挥发性有机物污染治理工作</w:t>
            </w:r>
            <w:r>
              <w:rPr>
                <w:rFonts w:hint="eastAsia" w:ascii="Times New Roman" w:hAnsi="Times New Roman" w:cs="Times New Roman"/>
                <w:b w:val="0"/>
                <w:bCs w:val="0"/>
                <w:color w:val="auto"/>
                <w:sz w:val="24"/>
                <w:szCs w:val="24"/>
                <w:lang w:val="en-US" w:eastAsia="zh-CN"/>
              </w:rPr>
              <w:t>&gt;</w:t>
            </w:r>
            <w:r>
              <w:rPr>
                <w:rFonts w:hint="eastAsia" w:ascii="宋体" w:hAnsi="宋体" w:eastAsia="宋体" w:cs="宋体"/>
                <w:b w:val="0"/>
                <w:bCs w:val="0"/>
                <w:color w:val="auto"/>
                <w:sz w:val="24"/>
                <w:szCs w:val="24"/>
                <w:lang w:val="en-US" w:eastAsia="zh-CN"/>
              </w:rPr>
              <w:t>的通知</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eastAsia="zh-CN"/>
              </w:rPr>
              <w:t>皖大气办【</w:t>
            </w:r>
            <w:r>
              <w:rPr>
                <w:rFonts w:hint="eastAsia" w:ascii="Times New Roman" w:hAnsi="Times New Roman" w:eastAsia="宋体" w:cs="Times New Roman"/>
                <w:b w:val="0"/>
                <w:bCs w:val="0"/>
                <w:color w:val="auto"/>
                <w:sz w:val="24"/>
                <w:szCs w:val="24"/>
                <w:lang w:val="en-US" w:eastAsia="zh-CN"/>
              </w:rPr>
              <w:t>2021</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4号，安徽省大气污染防治联席会议办公室，2021年06月17日</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cs="Times New Roman"/>
                <w:color w:val="auto"/>
                <w:sz w:val="24"/>
                <w:szCs w:val="24"/>
                <w:lang w:val="en-US" w:eastAsia="zh-CN"/>
              </w:rPr>
              <w:t>符合性分析见表1.</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w:t>
            </w:r>
          </w:p>
          <w:p>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4"/>
                <w:szCs w:val="24"/>
                <w:lang w:val="en-US" w:eastAsia="zh-CN"/>
              </w:rPr>
              <w:t>表1.</w:t>
            </w: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与</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关于</w:t>
            </w:r>
            <w:r>
              <w:rPr>
                <w:rFonts w:hint="eastAsia" w:ascii="Times New Roman" w:hAnsi="Times New Roman" w:cs="Times New Roman"/>
                <w:b/>
                <w:bCs/>
                <w:color w:val="auto"/>
                <w:sz w:val="24"/>
                <w:szCs w:val="24"/>
                <w:lang w:val="en-US" w:eastAsia="zh-CN"/>
              </w:rPr>
              <w:t>&lt;</w:t>
            </w:r>
            <w:r>
              <w:rPr>
                <w:rFonts w:hint="eastAsia" w:ascii="宋体" w:hAnsi="宋体" w:eastAsia="宋体" w:cs="宋体"/>
                <w:b/>
                <w:bCs/>
                <w:color w:val="auto"/>
                <w:sz w:val="24"/>
                <w:szCs w:val="24"/>
                <w:lang w:val="en-US" w:eastAsia="zh-CN"/>
              </w:rPr>
              <w:t>深入开展挥发性有机物污染治理工作</w:t>
            </w:r>
            <w:r>
              <w:rPr>
                <w:rFonts w:hint="eastAsia" w:ascii="Times New Roman" w:hAnsi="Times New Roman" w:cs="Times New Roman"/>
                <w:b w:val="0"/>
                <w:bCs w:val="0"/>
                <w:color w:val="auto"/>
                <w:sz w:val="24"/>
                <w:szCs w:val="24"/>
                <w:lang w:val="en-US" w:eastAsia="zh-CN"/>
              </w:rPr>
              <w:t>&gt;</w:t>
            </w:r>
            <w:r>
              <w:rPr>
                <w:rFonts w:hint="eastAsia" w:ascii="宋体" w:hAnsi="宋体" w:eastAsia="宋体" w:cs="宋体"/>
                <w:b/>
                <w:bCs/>
                <w:color w:val="auto"/>
                <w:sz w:val="24"/>
                <w:szCs w:val="24"/>
                <w:lang w:val="en-US" w:eastAsia="zh-CN"/>
              </w:rPr>
              <w:t>的通知</w:t>
            </w:r>
            <w:r>
              <w:rPr>
                <w:rFonts w:hint="default" w:ascii="Times New Roman" w:hAnsi="Times New Roman" w:eastAsia="宋体" w:cs="Times New Roman"/>
                <w:b/>
                <w:bCs/>
                <w:color w:val="auto"/>
                <w:sz w:val="24"/>
                <w:szCs w:val="24"/>
              </w:rPr>
              <w:t>》</w:t>
            </w:r>
            <w:r>
              <w:rPr>
                <w:rFonts w:hint="default" w:ascii="Times New Roman" w:hAnsi="Times New Roman" w:cs="Times New Roman"/>
                <w:b/>
                <w:bCs/>
                <w:color w:val="auto"/>
                <w:sz w:val="24"/>
                <w:szCs w:val="24"/>
                <w:lang w:val="en-US" w:eastAsia="zh-CN"/>
              </w:rPr>
              <w:t>符合性分析</w:t>
            </w:r>
          </w:p>
          <w:tbl>
            <w:tblPr>
              <w:tblStyle w:val="24"/>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4284"/>
              <w:gridCol w:w="2621"/>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144" w:type="dxa"/>
                  <w:gridSpan w:val="2"/>
                  <w:noWrap w:val="0"/>
                  <w:vAlign w:val="center"/>
                </w:tcPr>
                <w:p>
                  <w:pPr>
                    <w:pStyle w:val="39"/>
                    <w:rPr>
                      <w:rFonts w:hint="default" w:ascii="Times New Roman" w:hAnsi="Times New Roman"/>
                      <w:b w:val="0"/>
                      <w:bCs w:val="0"/>
                      <w:color w:val="auto"/>
                      <w:sz w:val="21"/>
                      <w:szCs w:val="21"/>
                      <w:lang w:val="en-US" w:eastAsia="zh-CN"/>
                    </w:rPr>
                  </w:pP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eastAsia="zh-CN"/>
                    </w:rPr>
                    <w:t>关于</w:t>
                  </w:r>
                  <w:r>
                    <w:rPr>
                      <w:rFonts w:hint="eastAsia" w:ascii="Times New Roman" w:hAnsi="Times New Roman" w:cs="Times New Roman"/>
                      <w:b w:val="0"/>
                      <w:bCs w:val="0"/>
                      <w:color w:val="auto"/>
                      <w:sz w:val="21"/>
                      <w:szCs w:val="21"/>
                      <w:lang w:val="en-US" w:eastAsia="zh-CN"/>
                    </w:rPr>
                    <w:t>&lt;</w:t>
                  </w:r>
                  <w:r>
                    <w:rPr>
                      <w:rFonts w:hint="eastAsia" w:ascii="宋体" w:hAnsi="宋体" w:eastAsia="宋体" w:cs="宋体"/>
                      <w:b w:val="0"/>
                      <w:bCs w:val="0"/>
                      <w:color w:val="auto"/>
                      <w:sz w:val="21"/>
                      <w:szCs w:val="21"/>
                      <w:lang w:val="en-US" w:eastAsia="zh-CN"/>
                    </w:rPr>
                    <w:t>深入开展挥发性有机物污染治理工作</w:t>
                  </w:r>
                  <w:r>
                    <w:rPr>
                      <w:rFonts w:hint="eastAsia" w:ascii="Times New Roman" w:hAnsi="Times New Roman" w:cs="Times New Roman"/>
                      <w:b w:val="0"/>
                      <w:bCs w:val="0"/>
                      <w:color w:val="auto"/>
                      <w:sz w:val="21"/>
                      <w:szCs w:val="21"/>
                      <w:lang w:val="en-US" w:eastAsia="zh-CN"/>
                    </w:rPr>
                    <w:t>&gt;</w:t>
                  </w:r>
                  <w:r>
                    <w:rPr>
                      <w:rFonts w:hint="eastAsia" w:ascii="宋体" w:hAnsi="宋体" w:eastAsia="宋体" w:cs="宋体"/>
                      <w:b w:val="0"/>
                      <w:bCs w:val="0"/>
                      <w:color w:val="auto"/>
                      <w:sz w:val="21"/>
                      <w:szCs w:val="21"/>
                      <w:lang w:val="en-US" w:eastAsia="zh-CN"/>
                    </w:rPr>
                    <w:t>的通知</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eastAsia="zh-CN"/>
                    </w:rPr>
                    <w:t>（</w:t>
                  </w:r>
                  <w:r>
                    <w:rPr>
                      <w:rFonts w:hint="eastAsia" w:cs="Times New Roman"/>
                      <w:b w:val="0"/>
                      <w:bCs w:val="0"/>
                      <w:color w:val="auto"/>
                      <w:sz w:val="21"/>
                      <w:szCs w:val="21"/>
                      <w:lang w:eastAsia="zh-CN"/>
                    </w:rPr>
                    <w:t>皖</w:t>
                  </w:r>
                  <w:r>
                    <w:rPr>
                      <w:rFonts w:hint="eastAsia" w:ascii="Times New Roman" w:hAnsi="Times New Roman" w:eastAsia="宋体" w:cs="Times New Roman"/>
                      <w:b w:val="0"/>
                      <w:bCs w:val="0"/>
                      <w:color w:val="auto"/>
                      <w:sz w:val="21"/>
                      <w:szCs w:val="21"/>
                      <w:lang w:eastAsia="zh-CN"/>
                    </w:rPr>
                    <w:t>大气办【</w:t>
                  </w:r>
                  <w:r>
                    <w:rPr>
                      <w:rFonts w:hint="eastAsia" w:ascii="Times New Roman" w:hAnsi="Times New Roman" w:eastAsia="宋体" w:cs="Times New Roman"/>
                      <w:b w:val="0"/>
                      <w:bCs w:val="0"/>
                      <w:color w:val="auto"/>
                      <w:sz w:val="21"/>
                      <w:szCs w:val="21"/>
                      <w:lang w:val="en-US" w:eastAsia="zh-CN"/>
                    </w:rPr>
                    <w:t>202</w:t>
                  </w:r>
                  <w:r>
                    <w:rPr>
                      <w:rFonts w:hint="eastAsia" w:cs="Times New Roman"/>
                      <w:b w:val="0"/>
                      <w:bCs w:val="0"/>
                      <w:color w:val="auto"/>
                      <w:sz w:val="21"/>
                      <w:szCs w:val="21"/>
                      <w:lang w:val="en-US" w:eastAsia="zh-CN"/>
                    </w:rPr>
                    <w:t>1</w:t>
                  </w:r>
                  <w:r>
                    <w:rPr>
                      <w:rFonts w:hint="eastAsia" w:ascii="Times New Roman" w:hAnsi="Times New Roman" w:eastAsia="宋体" w:cs="Times New Roman"/>
                      <w:b w:val="0"/>
                      <w:bCs w:val="0"/>
                      <w:color w:val="auto"/>
                      <w:sz w:val="21"/>
                      <w:szCs w:val="21"/>
                      <w:lang w:eastAsia="zh-CN"/>
                    </w:rPr>
                    <w:t>】</w:t>
                  </w:r>
                  <w:r>
                    <w:rPr>
                      <w:rFonts w:hint="eastAsia" w:cs="Times New Roman"/>
                      <w:b w:val="0"/>
                      <w:bCs w:val="0"/>
                      <w:color w:val="auto"/>
                      <w:sz w:val="21"/>
                      <w:szCs w:val="21"/>
                      <w:lang w:val="en-US" w:eastAsia="zh-CN"/>
                    </w:rPr>
                    <w:t>4</w:t>
                  </w:r>
                  <w:r>
                    <w:rPr>
                      <w:rFonts w:hint="eastAsia" w:ascii="Times New Roman" w:hAnsi="Times New Roman" w:eastAsia="宋体" w:cs="Times New Roman"/>
                      <w:b w:val="0"/>
                      <w:bCs w:val="0"/>
                      <w:color w:val="auto"/>
                      <w:sz w:val="21"/>
                      <w:szCs w:val="21"/>
                      <w:lang w:val="en-US" w:eastAsia="zh-CN"/>
                    </w:rPr>
                    <w:t>号</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b w:val="0"/>
                      <w:bCs w:val="0"/>
                      <w:color w:val="auto"/>
                      <w:sz w:val="21"/>
                      <w:szCs w:val="21"/>
                      <w:lang w:val="en-US" w:eastAsia="zh-CN"/>
                    </w:rPr>
                    <w:t>内容</w:t>
                  </w:r>
                </w:p>
              </w:tc>
              <w:tc>
                <w:tcPr>
                  <w:tcW w:w="2621" w:type="dxa"/>
                  <w:noWrap w:val="0"/>
                  <w:vAlign w:val="center"/>
                </w:tcPr>
                <w:p>
                  <w:pPr>
                    <w:pStyle w:val="39"/>
                    <w:rPr>
                      <w:rFonts w:hint="default" w:ascii="Times New Roman" w:hAnsi="Times New Roman"/>
                      <w:b w:val="0"/>
                      <w:bCs w:val="0"/>
                      <w:color w:val="auto"/>
                      <w:sz w:val="21"/>
                      <w:szCs w:val="21"/>
                      <w:lang w:val="en-US" w:eastAsia="zh-CN"/>
                    </w:rPr>
                  </w:pPr>
                  <w:r>
                    <w:rPr>
                      <w:rFonts w:hint="default" w:ascii="Times New Roman" w:hAnsi="Times New Roman"/>
                      <w:b w:val="0"/>
                      <w:bCs w:val="0"/>
                      <w:color w:val="auto"/>
                      <w:sz w:val="21"/>
                      <w:szCs w:val="21"/>
                      <w:lang w:val="en-US" w:eastAsia="zh-CN"/>
                    </w:rPr>
                    <w:t>本项目情况</w:t>
                  </w:r>
                </w:p>
              </w:tc>
              <w:tc>
                <w:tcPr>
                  <w:tcW w:w="1022" w:type="dxa"/>
                  <w:noWrap w:val="0"/>
                  <w:vAlign w:val="center"/>
                </w:tcPr>
                <w:p>
                  <w:pPr>
                    <w:pStyle w:val="39"/>
                    <w:rPr>
                      <w:rFonts w:hint="default" w:ascii="Times New Roman" w:hAnsi="Times New Roman"/>
                      <w:b w:val="0"/>
                      <w:bCs w:val="0"/>
                      <w:color w:val="auto"/>
                      <w:sz w:val="21"/>
                      <w:szCs w:val="21"/>
                      <w:lang w:val="en-US" w:eastAsia="zh-CN"/>
                    </w:rPr>
                  </w:pPr>
                  <w:r>
                    <w:rPr>
                      <w:rFonts w:hint="default" w:ascii="Times New Roman" w:hAnsi="Times New Roman"/>
                      <w:b w:val="0"/>
                      <w:bCs w:val="0"/>
                      <w:color w:val="auto"/>
                      <w:sz w:val="21"/>
                      <w:szCs w:val="21"/>
                      <w:lang w:val="en-US" w:eastAsia="zh-CN"/>
                    </w:rPr>
                    <w:t xml:space="preserve">符合性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60" w:type="dxa"/>
                  <w:noWrap w:val="0"/>
                  <w:vAlign w:val="center"/>
                </w:tcPr>
                <w:p>
                  <w:pPr>
                    <w:pStyle w:val="39"/>
                    <w:rPr>
                      <w:rFonts w:hint="default" w:ascii="Times New Roman" w:hAnsi="Times New Roman"/>
                      <w:b w:val="0"/>
                      <w:bCs w:val="0"/>
                      <w:color w:val="auto"/>
                      <w:sz w:val="21"/>
                      <w:szCs w:val="21"/>
                      <w:lang w:val="en-US" w:eastAsia="zh-CN"/>
                    </w:rPr>
                  </w:pPr>
                  <w:r>
                    <w:rPr>
                      <w:rFonts w:hint="eastAsia"/>
                      <w:b w:val="0"/>
                      <w:bCs w:val="0"/>
                      <w:color w:val="auto"/>
                      <w:sz w:val="21"/>
                      <w:szCs w:val="21"/>
                      <w:lang w:val="en-US" w:eastAsia="zh-CN"/>
                    </w:rPr>
                    <w:t>四、主要任务</w:t>
                  </w:r>
                </w:p>
              </w:tc>
              <w:tc>
                <w:tcPr>
                  <w:tcW w:w="4284"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eastAsia="宋体"/>
                      <w:b w:val="0"/>
                      <w:bCs w:val="0"/>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（一）、落实一批</w:t>
                  </w:r>
                  <w:r>
                    <w:rPr>
                      <w:rFonts w:hint="default" w:ascii="Times New Roman" w:hAnsi="Times New Roman" w:cs="Times New Roman" w:eastAsiaTheme="minorEastAsia"/>
                      <w:color w:val="auto"/>
                      <w:kern w:val="2"/>
                      <w:sz w:val="21"/>
                      <w:szCs w:val="21"/>
                      <w:lang w:val="en-US" w:eastAsia="zh-CN" w:bidi="ar-SA"/>
                    </w:rPr>
                    <w:t>VOCs综合治理项目。2. 重点推进源头削减。鼓励支持使用涂料、油墨、胶粘剂、涂层剂（树脂）、清洗剂等原辅材料的企业，进行低VOCs含量原辅材料的源头替代，7月1日前各地指导企业建立管理台账，记录VOCs原辅材料的产品名称、VOCs含量和使用量等。各地应结合本地产业特点和源头替代参考目录（见附件5），重点在工业涂装、包装印刷、鞋革箱包制造、竹木制品胶合、电子等重点领域，推广VOCs含量低于10%原辅材料的</w:t>
                  </w:r>
                  <w:r>
                    <w:rPr>
                      <w:rFonts w:hint="eastAsia" w:ascii="宋体" w:hAnsi="宋体" w:eastAsia="宋体" w:cs="宋体"/>
                      <w:color w:val="auto"/>
                      <w:kern w:val="2"/>
                      <w:sz w:val="21"/>
                      <w:szCs w:val="21"/>
                      <w:lang w:val="en-US" w:eastAsia="zh-CN" w:bidi="ar-SA"/>
                    </w:rPr>
                    <w:t>源头替代，并纳入年度源头削减项目管理，实现“可替尽替、应代尽代”，源头削减年度完</w:t>
                  </w:r>
                  <w:r>
                    <w:rPr>
                      <w:rFonts w:hint="default" w:ascii="Times New Roman" w:hAnsi="Times New Roman" w:cs="Times New Roman" w:eastAsiaTheme="minorEastAsia"/>
                      <w:color w:val="auto"/>
                      <w:kern w:val="2"/>
                      <w:sz w:val="21"/>
                      <w:szCs w:val="21"/>
                      <w:lang w:val="en-US" w:eastAsia="zh-CN" w:bidi="ar-SA"/>
                    </w:rPr>
                    <w:t>成项目占30%以上。</w:t>
                  </w:r>
                </w:p>
              </w:tc>
              <w:tc>
                <w:tcPr>
                  <w:tcW w:w="26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Theme="minorEastAsia"/>
                      <w:b w:val="0"/>
                      <w:bCs w:val="0"/>
                      <w:color w:val="auto"/>
                      <w:sz w:val="21"/>
                      <w:szCs w:val="21"/>
                      <w:lang w:val="en-US" w:eastAsia="zh-CN"/>
                    </w:rPr>
                  </w:pPr>
                  <w:r>
                    <w:rPr>
                      <w:rFonts w:hint="eastAsia"/>
                      <w:color w:val="auto"/>
                      <w:lang w:val="en-US" w:eastAsia="zh-CN"/>
                    </w:rPr>
                    <w:t>本项目</w:t>
                  </w:r>
                  <w:r>
                    <w:rPr>
                      <w:rFonts w:hint="eastAsia" w:cs="Times New Roman"/>
                      <w:color w:val="auto"/>
                      <w:sz w:val="21"/>
                      <w:szCs w:val="21"/>
                      <w:lang w:eastAsia="zh-CN"/>
                    </w:rPr>
                    <w:t>固化工序</w:t>
                  </w:r>
                  <w:r>
                    <w:rPr>
                      <w:rFonts w:hint="eastAsia"/>
                      <w:color w:val="auto"/>
                      <w:lang w:val="en-US" w:eastAsia="zh-CN"/>
                    </w:rPr>
                    <w:t>拟设置集气罩对废气进行收集，收集的废气进入</w:t>
                  </w:r>
                  <w:r>
                    <w:rPr>
                      <w:rFonts w:hint="eastAsia"/>
                      <w:color w:val="auto"/>
                      <w:sz w:val="21"/>
                      <w:szCs w:val="21"/>
                      <w:lang w:val="en-US" w:eastAsia="zh-CN"/>
                    </w:rPr>
                    <w:t>“风冷+两级活性炭吸附箱”对固化工序产生的挥发性有机物（</w:t>
                  </w:r>
                  <w:r>
                    <w:rPr>
                      <w:rFonts w:hint="default" w:ascii="Times New Roman" w:hAnsi="Times New Roman" w:cs="Times New Roman"/>
                      <w:color w:val="auto"/>
                      <w:sz w:val="21"/>
                      <w:szCs w:val="21"/>
                      <w:lang w:val="en-US" w:eastAsia="zh-CN"/>
                    </w:rPr>
                    <w:t>VOCs</w:t>
                  </w:r>
                  <w:r>
                    <w:rPr>
                      <w:rFonts w:hint="eastAsia"/>
                      <w:color w:val="auto"/>
                      <w:sz w:val="21"/>
                      <w:szCs w:val="21"/>
                      <w:lang w:val="en-US" w:eastAsia="zh-CN"/>
                    </w:rPr>
                    <w:t>）进行处</w:t>
                  </w:r>
                  <w:r>
                    <w:rPr>
                      <w:rFonts w:hint="eastAsia"/>
                      <w:color w:val="auto"/>
                      <w:lang w:val="en-US" w:eastAsia="zh-CN"/>
                    </w:rPr>
                    <w:t>理，并达标排放；预烘、浇注、脱模、清洗、注塑及硫化工序拟设置集气罩对废气进行收集，收集的废气进入“风冷+两级活性炭吸附箱”处理达标后排放。</w:t>
                  </w:r>
                </w:p>
              </w:tc>
              <w:tc>
                <w:tcPr>
                  <w:tcW w:w="1022" w:type="dxa"/>
                  <w:noWrap w:val="0"/>
                  <w:vAlign w:val="center"/>
                </w:tcPr>
                <w:p>
                  <w:pPr>
                    <w:pStyle w:val="39"/>
                    <w:rPr>
                      <w:rFonts w:hint="default" w:ascii="Times New Roman" w:hAnsi="Times New Roman"/>
                      <w:b w:val="0"/>
                      <w:bCs w:val="0"/>
                      <w:color w:val="auto"/>
                      <w:sz w:val="21"/>
                      <w:szCs w:val="21"/>
                      <w:lang w:val="en-US" w:eastAsia="zh-CN"/>
                    </w:rPr>
                  </w:pPr>
                  <w:r>
                    <w:rPr>
                      <w:rFonts w:hint="default" w:ascii="Times New Roman" w:hAnsi="Times New Roman"/>
                      <w:b w:val="0"/>
                      <w:bCs w:val="0"/>
                      <w:color w:val="auto"/>
                      <w:sz w:val="21"/>
                      <w:szCs w:val="21"/>
                      <w:lang w:val="en-US" w:eastAsia="zh-CN"/>
                    </w:rPr>
                    <w:t>符合</w:t>
                  </w:r>
                </w:p>
              </w:tc>
            </w:tr>
          </w:tbl>
          <w:p>
            <w:pPr>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w:t>
            </w:r>
            <w:r>
              <w:rPr>
                <w:rFonts w:hint="eastAsia" w:ascii="宋体" w:hAnsi="宋体" w:eastAsia="宋体" w:cs="宋体"/>
                <w:b/>
                <w:bCs/>
                <w:color w:val="auto"/>
                <w:sz w:val="24"/>
                <w:szCs w:val="24"/>
                <w:lang w:eastAsia="zh-CN"/>
              </w:rPr>
              <w:t>与《工业炉窑大气污染综合治理方案》</w:t>
            </w:r>
            <w:r>
              <w:rPr>
                <w:rFonts w:hint="default" w:ascii="Times New Roman" w:hAnsi="Times New Roman" w:eastAsia="宋体" w:cs="Times New Roman"/>
                <w:b/>
                <w:bCs/>
                <w:color w:val="auto"/>
                <w:sz w:val="24"/>
                <w:szCs w:val="24"/>
                <w:lang w:eastAsia="zh-CN"/>
              </w:rPr>
              <w:t>（环大气【</w:t>
            </w:r>
            <w:r>
              <w:rPr>
                <w:rFonts w:hint="default" w:ascii="Times New Roman" w:hAnsi="Times New Roman" w:eastAsia="宋体" w:cs="Times New Roman"/>
                <w:b/>
                <w:bCs/>
                <w:color w:val="auto"/>
                <w:sz w:val="24"/>
                <w:szCs w:val="24"/>
                <w:lang w:val="en-US" w:eastAsia="zh-CN"/>
              </w:rPr>
              <w:t>2019</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56号，2019年07月01日</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符合性分析</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本项目与</w:t>
            </w:r>
            <w:r>
              <w:rPr>
                <w:rFonts w:hint="eastAsia" w:ascii="宋体" w:hAnsi="宋体" w:eastAsia="宋体" w:cs="宋体"/>
                <w:b w:val="0"/>
                <w:bCs w:val="0"/>
                <w:color w:val="auto"/>
                <w:sz w:val="24"/>
                <w:szCs w:val="24"/>
                <w:lang w:eastAsia="zh-CN"/>
              </w:rPr>
              <w:t>《工业炉窑大气污染综合治理方案》</w:t>
            </w:r>
            <w:r>
              <w:rPr>
                <w:rFonts w:hint="default" w:ascii="Times New Roman" w:hAnsi="Times New Roman" w:eastAsia="宋体" w:cs="Times New Roman"/>
                <w:b w:val="0"/>
                <w:bCs w:val="0"/>
                <w:color w:val="auto"/>
                <w:sz w:val="24"/>
                <w:szCs w:val="24"/>
                <w:lang w:eastAsia="zh-CN"/>
              </w:rPr>
              <w:t>（环大气【</w:t>
            </w:r>
            <w:r>
              <w:rPr>
                <w:rFonts w:hint="default" w:ascii="Times New Roman" w:hAnsi="Times New Roman" w:eastAsia="宋体" w:cs="Times New Roman"/>
                <w:b w:val="0"/>
                <w:bCs w:val="0"/>
                <w:color w:val="auto"/>
                <w:sz w:val="24"/>
                <w:szCs w:val="24"/>
                <w:lang w:val="en-US" w:eastAsia="zh-CN"/>
              </w:rPr>
              <w:t>2019</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56号，2019年07月01日</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cs="Times New Roman"/>
                <w:color w:val="auto"/>
                <w:sz w:val="24"/>
                <w:szCs w:val="24"/>
                <w:lang w:val="en-US" w:eastAsia="zh-CN"/>
              </w:rPr>
              <w:t>符合性分析见表1.</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w:t>
            </w:r>
          </w:p>
          <w:p>
            <w:pPr>
              <w:spacing w:line="24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表1.</w:t>
            </w:r>
            <w:r>
              <w:rPr>
                <w:rFonts w:hint="eastAsia"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与</w:t>
            </w:r>
            <w:r>
              <w:rPr>
                <w:rFonts w:hint="eastAsia" w:ascii="宋体" w:hAnsi="宋体" w:eastAsia="宋体" w:cs="宋体"/>
                <w:b/>
                <w:bCs/>
                <w:color w:val="auto"/>
                <w:sz w:val="24"/>
                <w:szCs w:val="24"/>
                <w:lang w:eastAsia="zh-CN"/>
              </w:rPr>
              <w:t>《工业炉窑大气污染综合治理方案》</w:t>
            </w:r>
            <w:r>
              <w:rPr>
                <w:rFonts w:hint="default" w:ascii="Times New Roman" w:hAnsi="Times New Roman" w:cs="Times New Roman"/>
                <w:b/>
                <w:bCs/>
                <w:color w:val="auto"/>
                <w:sz w:val="24"/>
                <w:szCs w:val="24"/>
                <w:lang w:val="en-US" w:eastAsia="zh-CN"/>
              </w:rPr>
              <w:t>符合性分析</w:t>
            </w:r>
          </w:p>
          <w:tbl>
            <w:tblPr>
              <w:tblStyle w:val="24"/>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4557"/>
              <w:gridCol w:w="2348"/>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417" w:type="dxa"/>
                  <w:gridSpan w:val="2"/>
                  <w:noWrap w:val="0"/>
                  <w:vAlign w:val="center"/>
                </w:tcPr>
                <w:p>
                  <w:pPr>
                    <w:jc w:val="center"/>
                    <w:rPr>
                      <w:rFonts w:hint="default" w:ascii="Times New Roman" w:hAnsi="Times New Roman" w:cs="Times New Roman"/>
                      <w:b w:val="0"/>
                      <w:bCs w:val="0"/>
                      <w:color w:val="auto"/>
                      <w:sz w:val="21"/>
                      <w:szCs w:val="21"/>
                    </w:rPr>
                  </w:pPr>
                  <w:r>
                    <w:rPr>
                      <w:rFonts w:hint="eastAsia" w:ascii="宋体" w:hAnsi="宋体" w:eastAsia="宋体" w:cs="宋体"/>
                      <w:b w:val="0"/>
                      <w:bCs w:val="0"/>
                      <w:color w:val="auto"/>
                      <w:sz w:val="21"/>
                      <w:szCs w:val="21"/>
                      <w:lang w:eastAsia="zh-CN"/>
                    </w:rPr>
                    <w:t>《工业炉窑大气污染综合治理方案》</w:t>
                  </w:r>
                  <w:r>
                    <w:rPr>
                      <w:rFonts w:hint="default" w:ascii="Times New Roman" w:hAnsi="Times New Roman" w:cs="Times New Roman"/>
                      <w:b w:val="0"/>
                      <w:bCs w:val="0"/>
                      <w:color w:val="auto"/>
                      <w:sz w:val="21"/>
                      <w:szCs w:val="21"/>
                      <w:lang w:val="en-US" w:eastAsia="zh-CN"/>
                    </w:rPr>
                    <w:t>内容</w:t>
                  </w:r>
                </w:p>
              </w:tc>
              <w:tc>
                <w:tcPr>
                  <w:tcW w:w="2348"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本项目情况</w:t>
                  </w:r>
                </w:p>
              </w:tc>
              <w:tc>
                <w:tcPr>
                  <w:tcW w:w="1022"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符合性</w:t>
                  </w:r>
                  <w:r>
                    <w:rPr>
                      <w:rFonts w:hint="default" w:ascii="Times New Roman" w:hAnsi="Times New Roman" w:cs="Times New Roman"/>
                      <w:b w:val="0"/>
                      <w:bCs w:val="0"/>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60" w:type="dxa"/>
                  <w:vMerge w:val="restart"/>
                  <w:noWrap w:val="0"/>
                  <w:vAlign w:val="center"/>
                </w:tcPr>
                <w:p>
                  <w:pPr>
                    <w:autoSpaceDE w:val="0"/>
                    <w:autoSpaceDN w:val="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eastAsia="zh-CN"/>
                    </w:rPr>
                    <w:t>三、重点任务</w:t>
                  </w:r>
                </w:p>
              </w:tc>
              <w:tc>
                <w:tcPr>
                  <w:tcW w:w="4557"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p>
                  <w:pPr>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tc>
              <w:tc>
                <w:tcPr>
                  <w:tcW w:w="2348"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420" w:firstLineChars="200"/>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本项目建设地点位于</w:t>
                  </w:r>
                  <w:r>
                    <w:rPr>
                      <w:rFonts w:hint="eastAsia" w:ascii="Times New Roman" w:hAnsi="Times New Roman" w:cs="Times New Roman"/>
                      <w:color w:val="auto"/>
                      <w:sz w:val="21"/>
                      <w:szCs w:val="21"/>
                      <w:vertAlign w:val="baseline"/>
                      <w:lang w:val="en-US" w:eastAsia="zh-CN"/>
                    </w:rPr>
                    <w:t>安徽萧县经济开发区白土镇智能制造产业园纬三路与青峰路交叉口</w:t>
                  </w:r>
                  <w:r>
                    <w:rPr>
                      <w:rFonts w:hint="eastAsia" w:ascii="Times New Roman" w:hAnsi="Times New Roman" w:cs="Times New Roman"/>
                      <w:b w:val="0"/>
                      <w:bCs w:val="0"/>
                      <w:color w:val="auto"/>
                      <w:sz w:val="21"/>
                      <w:szCs w:val="21"/>
                      <w:lang w:val="en-US" w:eastAsia="zh-CN"/>
                    </w:rPr>
                    <w:t>；天然气燃烧机使用液化天然气清洁能源作为然后，并配套低氮燃烧。</w:t>
                  </w:r>
                </w:p>
              </w:tc>
              <w:tc>
                <w:tcPr>
                  <w:tcW w:w="1022"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60" w:type="dxa"/>
                  <w:vMerge w:val="continue"/>
                  <w:noWrap w:val="0"/>
                  <w:vAlign w:val="center"/>
                </w:tcPr>
                <w:p>
                  <w:pPr>
                    <w:autoSpaceDE w:val="0"/>
                    <w:autoSpaceDN w:val="0"/>
                    <w:jc w:val="center"/>
                    <w:rPr>
                      <w:rFonts w:hint="eastAsia" w:ascii="Times New Roman" w:hAnsi="Times New Roman" w:cs="Times New Roman"/>
                      <w:b w:val="0"/>
                      <w:bCs w:val="0"/>
                      <w:color w:val="auto"/>
                      <w:sz w:val="21"/>
                      <w:szCs w:val="21"/>
                      <w:lang w:eastAsia="zh-CN"/>
                    </w:rPr>
                  </w:pPr>
                </w:p>
              </w:tc>
              <w:tc>
                <w:tcPr>
                  <w:tcW w:w="4557"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（二）加快燃料清洁低碳化替代。对以煤、石油焦、渣油、重油等为燃料的工业炉窑，加</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快使用清洁低碳能源以及利用工厂余热、电厂热力等进行替代。重点区域禁止掺烧高硫石油焦</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（硫含量大于3%）。玻璃行业全面禁止掺烧高硫石油焦。</w:t>
                  </w:r>
                </w:p>
                <w:p>
                  <w:pPr>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加大煤气发生炉淘汰力度。2020年年底前，重点区域淘汰炉膛直径3米以下燃料类煤气发生炉；集中使用煤气发生炉的工业园区，暂不具备改用天然气条件的，原则上应建设统一的清洁煤制气中心。</w:t>
                  </w:r>
                </w:p>
                <w:p>
                  <w:pPr>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加快淘汰燃煤工业炉窑。重点区域取缔燃煤热风炉，基本淘汰热电联产供热管网覆盖范围</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内的燃煤加热、烘干炉（窑）。加快推动铸造（10 吨/小时及以下）、岩棉等行业冲天炉改为电炉。</w:t>
                  </w:r>
                </w:p>
              </w:tc>
              <w:tc>
                <w:tcPr>
                  <w:tcW w:w="2348"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420" w:firstLineChars="200"/>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color w:val="auto"/>
                      <w:sz w:val="21"/>
                      <w:szCs w:val="21"/>
                      <w:lang w:val="en-US" w:eastAsia="zh-CN"/>
                    </w:rPr>
                    <w:t>本项目天然气燃烧机使用的燃料为液化天然气，天然气燃烧废气可实现达标排放。</w:t>
                  </w:r>
                </w:p>
              </w:tc>
              <w:tc>
                <w:tcPr>
                  <w:tcW w:w="1022" w:type="dxa"/>
                  <w:noWrap w:val="0"/>
                  <w:vAlign w:val="center"/>
                </w:tcPr>
                <w:p>
                  <w:pPr>
                    <w:jc w:val="center"/>
                    <w:rPr>
                      <w:rFonts w:hint="eastAsia" w:ascii="Times New Roman" w:hAnsi="Times New Roman" w:cs="Times New Roman" w:eastAsiaTheme="minorEastAsia"/>
                      <w:b w:val="0"/>
                      <w:bCs w:val="0"/>
                      <w:color w:val="auto"/>
                      <w:sz w:val="21"/>
                      <w:szCs w:val="21"/>
                      <w:lang w:eastAsia="zh-CN"/>
                    </w:rPr>
                  </w:pPr>
                  <w:r>
                    <w:rPr>
                      <w:rFonts w:hint="eastAsia" w:ascii="Times New Roman" w:hAnsi="Times New Roman" w:cs="Times New Roman"/>
                      <w:b w:val="0"/>
                      <w:bCs w:val="0"/>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60" w:type="dxa"/>
                  <w:vMerge w:val="continue"/>
                  <w:noWrap w:val="0"/>
                  <w:vAlign w:val="center"/>
                </w:tcPr>
                <w:p>
                  <w:pPr>
                    <w:autoSpaceDE w:val="0"/>
                    <w:autoSpaceDN w:val="0"/>
                    <w:jc w:val="center"/>
                    <w:rPr>
                      <w:rFonts w:hint="default" w:ascii="Times New Roman" w:hAnsi="Times New Roman" w:cs="Times New Roman"/>
                      <w:b w:val="0"/>
                      <w:bCs w:val="0"/>
                      <w:color w:val="auto"/>
                      <w:sz w:val="21"/>
                      <w:szCs w:val="21"/>
                      <w:lang w:eastAsia="zh-CN"/>
                    </w:rPr>
                  </w:pPr>
                </w:p>
              </w:tc>
              <w:tc>
                <w:tcPr>
                  <w:tcW w:w="4557"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（三）实施污染深度治理。推进工业炉窑全面达标排放。已有行业排放标准的工业炉窑（见</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附件3），严格执行行业排放标准相关规定，配套建设高效脱硫脱硝除尘设施（见附件4），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pPr>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见附件4），铸造行业烧结、高炉工序污染排放控制按照钢铁行业相关标准要求执行；重点区域原则上按照颗粒物、二氧化硫、氮氧化物排放限值分别不高于 30、200、300毫克/立方米实施改造，其中，日用玻璃、玻璃棉氮氧化物排放限值不高于400毫克/立方米；已制定更严格地方排放标准的地区，执行地方排放标准。</w:t>
                  </w:r>
                </w:p>
              </w:tc>
              <w:tc>
                <w:tcPr>
                  <w:tcW w:w="2348"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420" w:firstLineChars="200"/>
                    <w:textAlignment w:val="auto"/>
                    <w:rPr>
                      <w:rFonts w:hint="eastAsia"/>
                      <w:b w:val="0"/>
                      <w:bCs w:val="0"/>
                      <w:color w:val="auto"/>
                      <w:sz w:val="21"/>
                      <w:szCs w:val="21"/>
                      <w:lang w:val="en-US" w:eastAsia="zh-CN"/>
                    </w:rPr>
                  </w:pPr>
                  <w:r>
                    <w:rPr>
                      <w:rFonts w:hint="eastAsia" w:ascii="宋体" w:hAnsi="宋体" w:cs="宋体"/>
                      <w:b w:val="0"/>
                      <w:bCs w:val="0"/>
                      <w:color w:val="auto"/>
                      <w:sz w:val="21"/>
                      <w:szCs w:val="21"/>
                      <w:lang w:eastAsia="zh-CN"/>
                    </w:rPr>
                    <w:t>本</w:t>
                  </w:r>
                  <w:r>
                    <w:rPr>
                      <w:rFonts w:hint="eastAsia" w:ascii="宋体" w:hAnsi="宋体" w:cs="宋体"/>
                      <w:b w:val="0"/>
                      <w:bCs w:val="0"/>
                      <w:color w:val="auto"/>
                      <w:sz w:val="21"/>
                      <w:szCs w:val="21"/>
                    </w:rPr>
                    <w:t>项目</w:t>
                  </w:r>
                  <w:r>
                    <w:rPr>
                      <w:rFonts w:hint="eastAsia" w:ascii="宋体" w:hAnsi="宋体" w:cs="宋体"/>
                      <w:b w:val="0"/>
                      <w:bCs w:val="0"/>
                      <w:color w:val="auto"/>
                      <w:sz w:val="21"/>
                      <w:szCs w:val="21"/>
                      <w:lang w:eastAsia="zh-CN"/>
                    </w:rPr>
                    <w:t>液化天然气燃烧排放的</w:t>
                  </w:r>
                  <w:r>
                    <w:rPr>
                      <w:rFonts w:hint="default" w:ascii="Times New Roman" w:hAnsi="Times New Roman" w:cs="Times New Roman"/>
                      <w:b w:val="0"/>
                      <w:bCs w:val="0"/>
                      <w:color w:val="auto"/>
                      <w:sz w:val="21"/>
                      <w:szCs w:val="21"/>
                    </w:rPr>
                    <w:t>颗粒物、二氧化硫、氮氧化物排放限值</w:t>
                  </w:r>
                  <w:r>
                    <w:rPr>
                      <w:rFonts w:hint="eastAsia" w:ascii="Times New Roman" w:hAnsi="Times New Roman" w:cs="Times New Roman"/>
                      <w:b w:val="0"/>
                      <w:bCs w:val="0"/>
                      <w:color w:val="auto"/>
                      <w:sz w:val="21"/>
                      <w:szCs w:val="21"/>
                      <w:lang w:eastAsia="zh-CN"/>
                    </w:rPr>
                    <w:t>执行</w:t>
                  </w:r>
                  <w:r>
                    <w:rPr>
                      <w:rFonts w:hint="default" w:ascii="Times New Roman" w:hAnsi="Times New Roman" w:cs="Times New Roman"/>
                      <w:b w:val="0"/>
                      <w:bCs w:val="0"/>
                      <w:color w:val="auto"/>
                      <w:sz w:val="21"/>
                      <w:szCs w:val="21"/>
                    </w:rPr>
                    <w:t>30毫克/立方米、200毫克/立方米、300毫克/立方米</w:t>
                  </w:r>
                  <w:r>
                    <w:rPr>
                      <w:rFonts w:hint="eastAsia" w:ascii="宋体" w:hAnsi="宋体" w:cs="宋体"/>
                      <w:b w:val="0"/>
                      <w:bCs w:val="0"/>
                      <w:color w:val="auto"/>
                      <w:sz w:val="21"/>
                      <w:szCs w:val="21"/>
                    </w:rPr>
                    <w:t>。</w:t>
                  </w:r>
                </w:p>
              </w:tc>
              <w:tc>
                <w:tcPr>
                  <w:tcW w:w="1022" w:type="dxa"/>
                  <w:noWrap w:val="0"/>
                  <w:vAlign w:val="center"/>
                </w:tcPr>
                <w:p>
                  <w:pPr>
                    <w:jc w:val="center"/>
                    <w:rPr>
                      <w:rFonts w:hint="eastAsia" w:ascii="Times New Roman" w:hAnsi="Times New Roman" w:cs="Times New Roman" w:eastAsiaTheme="minorEastAsia"/>
                      <w:b w:val="0"/>
                      <w:bCs w:val="0"/>
                      <w:color w:val="auto"/>
                      <w:sz w:val="21"/>
                      <w:szCs w:val="21"/>
                      <w:lang w:eastAsia="zh-CN"/>
                    </w:rPr>
                  </w:pPr>
                  <w:r>
                    <w:rPr>
                      <w:rFonts w:hint="eastAsia" w:ascii="Times New Roman" w:hAnsi="Times New Roman" w:cs="Times New Roman"/>
                      <w:b w:val="0"/>
                      <w:bCs w:val="0"/>
                      <w:color w:val="auto"/>
                      <w:sz w:val="21"/>
                      <w:szCs w:val="21"/>
                      <w:lang w:eastAsia="zh-CN"/>
                    </w:rPr>
                    <w:t>符合</w:t>
                  </w:r>
                </w:p>
              </w:tc>
            </w:tr>
          </w:tbl>
          <w:p>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“三线一单”及分区管控符合性分析</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（1）生态保护红线</w:t>
            </w:r>
          </w:p>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根据《宿州市“三线一单”编制文本》中“基于安徽省政府发布的《安徽省生态保护红线》（皖政秘【2018】120号），宿州市及分区县的生态保护红线分布面积及占比参见下表。宿州市内泗县和灵璧县红线面积比例最低，分别只为县域面积的1.3%和0.47%。砀山县的红线面积30.50%。”</w:t>
            </w:r>
          </w:p>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宿州市生态保护红线划定结果见表1.6。</w:t>
            </w:r>
          </w:p>
          <w:p>
            <w:pPr>
              <w:snapToGrid w:val="0"/>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表1.</w:t>
            </w:r>
            <w:r>
              <w:rPr>
                <w:rFonts w:hint="eastAsia" w:ascii="Times New Roman" w:hAnsi="Times New Roman" w:eastAsia="宋体" w:cs="Times New Roman"/>
                <w:b/>
                <w:bCs/>
                <w:color w:val="auto"/>
                <w:sz w:val="24"/>
                <w:lang w:val="en-US" w:eastAsia="zh-CN"/>
              </w:rPr>
              <w:t>6</w:t>
            </w:r>
            <w:r>
              <w:rPr>
                <w:rFonts w:ascii="Times New Roman" w:hAnsi="Times New Roman" w:eastAsia="宋体" w:cs="Times New Roman"/>
                <w:b/>
                <w:bCs/>
                <w:color w:val="auto"/>
                <w:sz w:val="24"/>
              </w:rPr>
              <w:t xml:space="preserve">  宿州市生态保护红线划定结果</w:t>
            </w:r>
          </w:p>
          <w:tbl>
            <w:tblPr>
              <w:tblStyle w:val="24"/>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2197"/>
              <w:gridCol w:w="2197"/>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kern w:val="0"/>
                      <w:szCs w:val="21"/>
                    </w:rPr>
                    <w:t>行政区</w:t>
                  </w:r>
                </w:p>
              </w:tc>
              <w:tc>
                <w:tcPr>
                  <w:tcW w:w="1250" w:type="pct"/>
                  <w:vMerge w:val="restar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kern w:val="0"/>
                      <w:szCs w:val="21"/>
                    </w:rPr>
                    <w:t>辖区面积（km</w:t>
                  </w:r>
                  <w:r>
                    <w:rPr>
                      <w:rFonts w:ascii="Times New Roman" w:hAnsi="Times New Roman" w:eastAsia="宋体" w:cs="Times New Roman"/>
                      <w:bCs/>
                      <w:color w:val="auto"/>
                      <w:kern w:val="0"/>
                      <w:szCs w:val="21"/>
                      <w:vertAlign w:val="superscript"/>
                    </w:rPr>
                    <w:t>2</w:t>
                  </w:r>
                  <w:r>
                    <w:rPr>
                      <w:rFonts w:ascii="Times New Roman" w:hAnsi="Times New Roman" w:eastAsia="宋体" w:cs="Times New Roman"/>
                      <w:bCs/>
                      <w:color w:val="auto"/>
                      <w:kern w:val="0"/>
                      <w:szCs w:val="21"/>
                    </w:rPr>
                    <w:t>）</w:t>
                  </w:r>
                </w:p>
              </w:tc>
              <w:tc>
                <w:tcPr>
                  <w:tcW w:w="2500" w:type="pct"/>
                  <w:gridSpan w:val="2"/>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kern w:val="0"/>
                      <w:szCs w:val="21"/>
                    </w:rPr>
                    <w:t>生态保护红线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bCs/>
                      <w:color w:val="auto"/>
                      <w:szCs w:val="21"/>
                    </w:rPr>
                  </w:pPr>
                </w:p>
              </w:tc>
              <w:tc>
                <w:tcPr>
                  <w:tcW w:w="2200" w:type="dxa"/>
                  <w:vMerge w:val="continue"/>
                  <w:tcBorders>
                    <w:top w:val="single" w:color="auto" w:sz="4" w:space="0"/>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bCs/>
                      <w:color w:val="auto"/>
                      <w:szCs w:val="21"/>
                    </w:rPr>
                  </w:pP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kern w:val="0"/>
                      <w:szCs w:val="21"/>
                    </w:rPr>
                    <w:t>面积（km</w:t>
                  </w:r>
                  <w:r>
                    <w:rPr>
                      <w:rFonts w:ascii="Times New Roman" w:hAnsi="Times New Roman" w:eastAsia="宋体" w:cs="Times New Roman"/>
                      <w:bCs/>
                      <w:color w:val="auto"/>
                      <w:kern w:val="0"/>
                      <w:szCs w:val="21"/>
                      <w:vertAlign w:val="superscript"/>
                    </w:rPr>
                    <w:t>2</w:t>
                  </w:r>
                  <w:r>
                    <w:rPr>
                      <w:rFonts w:ascii="Times New Roman" w:hAnsi="Times New Roman" w:eastAsia="宋体" w:cs="Times New Roman"/>
                      <w:bCs/>
                      <w:color w:val="auto"/>
                      <w:kern w:val="0"/>
                      <w:szCs w:val="21"/>
                    </w:rPr>
                    <w:t>）</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kern w:val="0"/>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宿州市</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9938.61</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647.15</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埇桥区</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2906.314</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124.407</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萧县</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1854.884</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124.026</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砀山县</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1195.811</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364.729</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泗县</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1856.470</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24.093</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灵璧县</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2125.138</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9.898</w:t>
                  </w:r>
                </w:p>
              </w:tc>
              <w:tc>
                <w:tcPr>
                  <w:tcW w:w="1250"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0.47</w:t>
                  </w:r>
                </w:p>
              </w:tc>
            </w:tr>
          </w:tbl>
          <w:p>
            <w:pPr>
              <w:autoSpaceDE w:val="0"/>
              <w:autoSpaceDN w:val="0"/>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kern w:val="0"/>
                <w:sz w:val="24"/>
              </w:rPr>
              <w:t>宿州市的生态保护红线主要分布在以下片区见</w:t>
            </w:r>
            <w:r>
              <w:rPr>
                <w:rFonts w:hint="eastAsia" w:ascii="Times New Roman" w:hAnsi="Times New Roman" w:eastAsia="宋体" w:cs="Times New Roman"/>
                <w:color w:val="auto"/>
                <w:kern w:val="0"/>
                <w:sz w:val="24"/>
              </w:rPr>
              <w:t>下表1.</w:t>
            </w:r>
            <w:r>
              <w:rPr>
                <w:rFonts w:hint="eastAsia" w:ascii="Times New Roman" w:hAnsi="Times New Roman" w:eastAsia="宋体" w:cs="Times New Roman"/>
                <w:color w:val="auto"/>
                <w:kern w:val="0"/>
                <w:sz w:val="24"/>
                <w:lang w:val="en-US" w:eastAsia="zh-CN"/>
              </w:rPr>
              <w:t>7</w:t>
            </w:r>
            <w:r>
              <w:rPr>
                <w:rFonts w:ascii="Times New Roman" w:hAnsi="Times New Roman" w:eastAsia="宋体" w:cs="Times New Roman"/>
                <w:color w:val="auto"/>
                <w:kern w:val="0"/>
                <w:sz w:val="24"/>
              </w:rPr>
              <w:t>。</w:t>
            </w:r>
          </w:p>
          <w:p>
            <w:pPr>
              <w:snapToGrid w:val="0"/>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表1.</w:t>
            </w:r>
            <w:r>
              <w:rPr>
                <w:rFonts w:hint="eastAsia" w:ascii="Times New Roman" w:hAnsi="Times New Roman" w:eastAsia="宋体" w:cs="Times New Roman"/>
                <w:b/>
                <w:bCs/>
                <w:color w:val="auto"/>
                <w:sz w:val="24"/>
                <w:lang w:val="en-US" w:eastAsia="zh-CN"/>
              </w:rPr>
              <w:t>7</w:t>
            </w:r>
            <w:r>
              <w:rPr>
                <w:rFonts w:ascii="Times New Roman" w:hAnsi="Times New Roman" w:eastAsia="宋体" w:cs="Times New Roman"/>
                <w:b/>
                <w:bCs/>
                <w:color w:val="auto"/>
                <w:sz w:val="24"/>
              </w:rPr>
              <w:t xml:space="preserve">  宿州市生态保护红线登记表</w:t>
            </w:r>
          </w:p>
          <w:tbl>
            <w:tblPr>
              <w:tblStyle w:val="24"/>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378"/>
              <w:gridCol w:w="1230"/>
              <w:gridCol w:w="3658"/>
              <w:gridCol w:w="896"/>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b/>
                      <w:color w:val="auto"/>
                      <w:szCs w:val="21"/>
                      <w:lang w:eastAsia="en-US"/>
                    </w:rPr>
                  </w:pPr>
                  <w:r>
                    <w:rPr>
                      <w:rFonts w:ascii="Times New Roman" w:hAnsi="Times New Roman" w:eastAsia="宋体" w:cs="Times New Roman"/>
                      <w:b/>
                      <w:color w:val="auto"/>
                      <w:kern w:val="0"/>
                      <w:szCs w:val="21"/>
                      <w:lang w:eastAsia="en-US"/>
                    </w:rPr>
                    <w:t>类型</w:t>
                  </w:r>
                </w:p>
              </w:tc>
              <w:tc>
                <w:tcPr>
                  <w:tcW w:w="1404"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b/>
                      <w:color w:val="auto"/>
                      <w:szCs w:val="21"/>
                      <w:lang w:eastAsia="en-US"/>
                    </w:rPr>
                  </w:pPr>
                  <w:r>
                    <w:rPr>
                      <w:rFonts w:ascii="Times New Roman" w:hAnsi="Times New Roman" w:eastAsia="宋体" w:cs="Times New Roman"/>
                      <w:b/>
                      <w:color w:val="auto"/>
                      <w:kern w:val="0"/>
                      <w:szCs w:val="21"/>
                      <w:lang w:eastAsia="en-US"/>
                    </w:rPr>
                    <w:t>名称</w:t>
                  </w:r>
                </w:p>
              </w:tc>
              <w:tc>
                <w:tcPr>
                  <w:tcW w:w="1253"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b/>
                      <w:color w:val="auto"/>
                      <w:szCs w:val="21"/>
                      <w:lang w:eastAsia="en-US"/>
                    </w:rPr>
                  </w:pPr>
                  <w:r>
                    <w:rPr>
                      <w:rFonts w:ascii="Times New Roman" w:hAnsi="Times New Roman" w:eastAsia="宋体" w:cs="Times New Roman"/>
                      <w:b/>
                      <w:color w:val="auto"/>
                      <w:kern w:val="0"/>
                      <w:szCs w:val="21"/>
                      <w:lang w:eastAsia="en-US"/>
                    </w:rPr>
                    <w:t>生态系统特征</w:t>
                  </w:r>
                </w:p>
              </w:tc>
              <w:tc>
                <w:tcPr>
                  <w:tcW w:w="3736"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b/>
                      <w:color w:val="auto"/>
                      <w:szCs w:val="21"/>
                      <w:lang w:eastAsia="en-US"/>
                    </w:rPr>
                  </w:pPr>
                  <w:r>
                    <w:rPr>
                      <w:rFonts w:ascii="Times New Roman" w:hAnsi="Times New Roman" w:eastAsia="宋体" w:cs="Times New Roman"/>
                      <w:b/>
                      <w:color w:val="auto"/>
                      <w:kern w:val="0"/>
                      <w:szCs w:val="21"/>
                      <w:lang w:eastAsia="en-US"/>
                    </w:rPr>
                    <w:t>保护地名录</w:t>
                  </w:r>
                </w:p>
              </w:tc>
              <w:tc>
                <w:tcPr>
                  <w:tcW w:w="911"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b/>
                      <w:color w:val="auto"/>
                      <w:szCs w:val="21"/>
                      <w:lang w:eastAsia="en-US"/>
                    </w:rPr>
                  </w:pPr>
                  <w:r>
                    <w:rPr>
                      <w:rFonts w:ascii="Times New Roman" w:hAnsi="Times New Roman" w:eastAsia="宋体" w:cs="Times New Roman"/>
                      <w:b/>
                      <w:color w:val="auto"/>
                      <w:kern w:val="0"/>
                      <w:szCs w:val="21"/>
                      <w:lang w:eastAsia="en-US"/>
                    </w:rPr>
                    <w:t>所属</w:t>
                  </w:r>
                </w:p>
                <w:p>
                  <w:pPr>
                    <w:autoSpaceDE w:val="0"/>
                    <w:autoSpaceDN w:val="0"/>
                    <w:adjustRightInd w:val="0"/>
                    <w:spacing w:line="320" w:lineRule="exact"/>
                    <w:jc w:val="center"/>
                    <w:rPr>
                      <w:rFonts w:ascii="Times New Roman" w:hAnsi="Times New Roman" w:eastAsia="宋体" w:cs="Times New Roman"/>
                      <w:b/>
                      <w:color w:val="auto"/>
                      <w:szCs w:val="21"/>
                      <w:lang w:eastAsia="en-US"/>
                    </w:rPr>
                  </w:pPr>
                  <w:r>
                    <w:rPr>
                      <w:rFonts w:ascii="Times New Roman" w:hAnsi="Times New Roman" w:eastAsia="宋体" w:cs="Times New Roman"/>
                      <w:b/>
                      <w:color w:val="auto"/>
                      <w:kern w:val="0"/>
                      <w:szCs w:val="21"/>
                      <w:lang w:eastAsia="en-US"/>
                    </w:rPr>
                    <w:t>行政区</w:t>
                  </w:r>
                </w:p>
              </w:tc>
              <w:tc>
                <w:tcPr>
                  <w:tcW w:w="829"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b/>
                      <w:color w:val="auto"/>
                      <w:szCs w:val="21"/>
                      <w:lang w:eastAsia="en-US"/>
                    </w:rPr>
                  </w:pPr>
                  <w:r>
                    <w:rPr>
                      <w:rFonts w:ascii="Times New Roman" w:hAnsi="Times New Roman" w:eastAsia="宋体" w:cs="Times New Roman"/>
                      <w:b/>
                      <w:color w:val="auto"/>
                      <w:kern w:val="0"/>
                      <w:szCs w:val="21"/>
                      <w:lang w:eastAsia="en-US"/>
                    </w:rPr>
                    <w:t>面积</w:t>
                  </w:r>
                </w:p>
                <w:p>
                  <w:pPr>
                    <w:autoSpaceDE w:val="0"/>
                    <w:autoSpaceDN w:val="0"/>
                    <w:adjustRightInd w:val="0"/>
                    <w:spacing w:line="320" w:lineRule="exact"/>
                    <w:jc w:val="center"/>
                    <w:rPr>
                      <w:rFonts w:ascii="Times New Roman" w:hAnsi="Times New Roman" w:eastAsia="宋体" w:cs="Times New Roman"/>
                      <w:b/>
                      <w:color w:val="auto"/>
                      <w:szCs w:val="21"/>
                      <w:lang w:eastAsia="en-US"/>
                    </w:rPr>
                  </w:pPr>
                  <w:r>
                    <w:rPr>
                      <w:rFonts w:ascii="Times New Roman" w:hAnsi="Times New Roman" w:eastAsia="宋体" w:cs="Times New Roman"/>
                      <w:b/>
                      <w:color w:val="auto"/>
                      <w:kern w:val="0"/>
                      <w:szCs w:val="21"/>
                      <w:lang w:eastAsia="en-US"/>
                    </w:rPr>
                    <w:t>/km</w:t>
                  </w:r>
                  <w:r>
                    <w:rPr>
                      <w:rFonts w:ascii="Times New Roman" w:hAnsi="Times New Roman" w:eastAsia="宋体" w:cs="Times New Roman"/>
                      <w:b/>
                      <w:color w:val="auto"/>
                      <w:kern w:val="0"/>
                      <w:szCs w:val="21"/>
                      <w:vertAlign w:val="superscript"/>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Merge w:val="restart"/>
                  <w:tcBorders>
                    <w:top w:val="nil"/>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hint="eastAsia" w:ascii="宋体" w:hAnsi="宋体" w:eastAsia="宋体" w:cs="宋体"/>
                      <w:color w:val="auto"/>
                      <w:kern w:val="0"/>
                      <w:szCs w:val="21"/>
                    </w:rPr>
                    <w:t>Ⅱ</w:t>
                  </w:r>
                  <w:r>
                    <w:rPr>
                      <w:rFonts w:ascii="Times New Roman" w:hAnsi="Times New Roman" w:eastAsia="宋体" w:cs="Times New Roman"/>
                      <w:color w:val="auto"/>
                      <w:kern w:val="0"/>
                      <w:szCs w:val="21"/>
                    </w:rPr>
                    <w:t>水土保持生态保护红线</w:t>
                  </w:r>
                </w:p>
              </w:tc>
              <w:tc>
                <w:tcPr>
                  <w:tcW w:w="1404" w:type="dxa"/>
                  <w:vMerge w:val="restart"/>
                  <w:tcBorders>
                    <w:top w:val="nil"/>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hint="eastAsia" w:ascii="宋体" w:hAnsi="宋体" w:eastAsia="宋体" w:cs="宋体"/>
                      <w:color w:val="auto"/>
                      <w:kern w:val="0"/>
                      <w:szCs w:val="21"/>
                    </w:rPr>
                    <w:t>Ⅱ</w:t>
                  </w:r>
                  <w:r>
                    <w:rPr>
                      <w:rFonts w:ascii="Times New Roman" w:hAnsi="Times New Roman" w:eastAsia="宋体" w:cs="Times New Roman"/>
                      <w:color w:val="auto"/>
                      <w:kern w:val="0"/>
                      <w:szCs w:val="21"/>
                    </w:rPr>
                    <w:t>-1淮北河间平原农产品提供及水土保持生态保护红线</w:t>
                  </w:r>
                </w:p>
              </w:tc>
              <w:tc>
                <w:tcPr>
                  <w:tcW w:w="1253" w:type="dxa"/>
                  <w:vMerge w:val="restart"/>
                  <w:tcBorders>
                    <w:top w:val="nil"/>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暖温带落叶阔叶林带</w:t>
                  </w:r>
                </w:p>
              </w:tc>
              <w:tc>
                <w:tcPr>
                  <w:tcW w:w="3736" w:type="dxa"/>
                  <w:vMerge w:val="restart"/>
                  <w:tcBorders>
                    <w:top w:val="nil"/>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安徽灵璧磐云山国家地质公园、宿州市汴北水厂水源地、宿州市新水厂水源地、宿州市备用水源地</w:t>
                  </w:r>
                </w:p>
              </w:tc>
              <w:tc>
                <w:tcPr>
                  <w:tcW w:w="911"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灵璧县</w:t>
                  </w:r>
                </w:p>
              </w:tc>
              <w:tc>
                <w:tcPr>
                  <w:tcW w:w="829"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Merge w:val="continue"/>
                  <w:tcBorders>
                    <w:top w:val="nil"/>
                    <w:left w:val="single" w:color="auto" w:sz="4" w:space="0"/>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1404"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1253"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3736"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911"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泗县</w:t>
                  </w:r>
                </w:p>
              </w:tc>
              <w:tc>
                <w:tcPr>
                  <w:tcW w:w="829"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Merge w:val="continue"/>
                  <w:tcBorders>
                    <w:top w:val="nil"/>
                    <w:left w:val="single" w:color="auto" w:sz="4" w:space="0"/>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1404"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1253"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3736"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911"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埇桥区</w:t>
                  </w:r>
                </w:p>
              </w:tc>
              <w:tc>
                <w:tcPr>
                  <w:tcW w:w="829"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13.32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Merge w:val="restart"/>
                  <w:tcBorders>
                    <w:top w:val="nil"/>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hint="eastAsia" w:ascii="宋体" w:hAnsi="宋体" w:eastAsia="宋体" w:cs="宋体"/>
                      <w:color w:val="auto"/>
                      <w:kern w:val="0"/>
                      <w:szCs w:val="21"/>
                    </w:rPr>
                    <w:t>Ⅲ</w:t>
                  </w:r>
                  <w:r>
                    <w:rPr>
                      <w:rFonts w:ascii="Times New Roman" w:hAnsi="Times New Roman" w:eastAsia="宋体" w:cs="Times New Roman"/>
                      <w:color w:val="auto"/>
                      <w:kern w:val="0"/>
                      <w:szCs w:val="21"/>
                    </w:rPr>
                    <w:t>生物多样性维护生态保护红线</w:t>
                  </w:r>
                </w:p>
              </w:tc>
              <w:tc>
                <w:tcPr>
                  <w:tcW w:w="1404" w:type="dxa"/>
                  <w:vMerge w:val="restart"/>
                  <w:tcBorders>
                    <w:top w:val="nil"/>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hint="eastAsia" w:ascii="宋体" w:hAnsi="宋体" w:eastAsia="宋体" w:cs="宋体"/>
                      <w:color w:val="auto"/>
                      <w:kern w:val="0"/>
                      <w:szCs w:val="21"/>
                    </w:rPr>
                    <w:t>Ⅲ</w:t>
                  </w:r>
                  <w:r>
                    <w:rPr>
                      <w:rFonts w:ascii="Times New Roman" w:hAnsi="Times New Roman" w:eastAsia="宋体" w:cs="Times New Roman"/>
                      <w:color w:val="auto"/>
                      <w:kern w:val="0"/>
                      <w:szCs w:val="21"/>
                    </w:rPr>
                    <w:t>-1淮北平原北部生物多样性维护及水土保持生态保护红线</w:t>
                  </w:r>
                </w:p>
              </w:tc>
              <w:tc>
                <w:tcPr>
                  <w:tcW w:w="1253" w:type="dxa"/>
                  <w:vMerge w:val="restart"/>
                  <w:tcBorders>
                    <w:top w:val="nil"/>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暖温带落叶阔叶林带</w:t>
                  </w:r>
                </w:p>
              </w:tc>
              <w:tc>
                <w:tcPr>
                  <w:tcW w:w="3736" w:type="dxa"/>
                  <w:vMerge w:val="restart"/>
                  <w:tcBorders>
                    <w:top w:val="nil"/>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安徽砀山黄河故道湿地自然保护区、安徽萧县皇藏峪省级自然保护区、安徽萧县黄河故道省级自然保护区、安徽宿州大方寺省级自然保护区、安徽砀山酥梨种质资源省级自然保护区、皇藏峪风景名胜区（核心景区）、五柳风景名胜区（核心景区）、皇藏峪国家森林公园（生态保育区和核心景观区）、古黄河省级森林公园、梅山省级森林公园、安徽砀山古黄河省级地质公园、故黄河砀山段黄河鲤国家级水产种质资源保护区</w:t>
                  </w:r>
                </w:p>
              </w:tc>
              <w:tc>
                <w:tcPr>
                  <w:tcW w:w="911"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砀山县</w:t>
                  </w:r>
                </w:p>
              </w:tc>
              <w:tc>
                <w:tcPr>
                  <w:tcW w:w="829"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363.73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Merge w:val="continue"/>
                  <w:tcBorders>
                    <w:top w:val="nil"/>
                    <w:left w:val="single" w:color="auto" w:sz="4" w:space="0"/>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1404"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1253"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3736"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911"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灵璧县</w:t>
                  </w:r>
                </w:p>
              </w:tc>
              <w:tc>
                <w:tcPr>
                  <w:tcW w:w="829"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Merge w:val="continue"/>
                  <w:tcBorders>
                    <w:top w:val="nil"/>
                    <w:left w:val="single" w:color="auto" w:sz="4" w:space="0"/>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1404"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1253"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3736"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911"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萧县</w:t>
                  </w:r>
                </w:p>
              </w:tc>
              <w:tc>
                <w:tcPr>
                  <w:tcW w:w="829"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123.40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Merge w:val="continue"/>
                  <w:tcBorders>
                    <w:top w:val="nil"/>
                    <w:left w:val="single" w:color="auto" w:sz="4" w:space="0"/>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1404"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1253"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3736"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lang w:eastAsia="en-US"/>
                    </w:rPr>
                  </w:pPr>
                </w:p>
              </w:tc>
              <w:tc>
                <w:tcPr>
                  <w:tcW w:w="911"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埇桥区</w:t>
                  </w:r>
                </w:p>
              </w:tc>
              <w:tc>
                <w:tcPr>
                  <w:tcW w:w="829"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lang w:eastAsia="en-US"/>
                    </w:rPr>
                  </w:pPr>
                  <w:r>
                    <w:rPr>
                      <w:rFonts w:ascii="Times New Roman" w:hAnsi="Times New Roman" w:eastAsia="宋体" w:cs="Times New Roman"/>
                      <w:color w:val="auto"/>
                      <w:kern w:val="0"/>
                      <w:szCs w:val="21"/>
                      <w:lang w:eastAsia="en-US"/>
                    </w:rPr>
                    <w:t>111.08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Merge w:val="restart"/>
                  <w:tcBorders>
                    <w:top w:val="nil"/>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hint="eastAsia" w:ascii="宋体" w:hAnsi="宋体" w:eastAsia="宋体" w:cs="宋体"/>
                      <w:color w:val="auto"/>
                      <w:kern w:val="0"/>
                      <w:szCs w:val="21"/>
                    </w:rPr>
                    <w:t>Ⅲ</w:t>
                  </w:r>
                  <w:r>
                    <w:rPr>
                      <w:rFonts w:ascii="Times New Roman" w:hAnsi="Times New Roman" w:eastAsia="宋体" w:cs="Times New Roman"/>
                      <w:color w:val="auto"/>
                      <w:kern w:val="0"/>
                      <w:szCs w:val="21"/>
                    </w:rPr>
                    <w:t>生物多样性维护生态保护红线</w:t>
                  </w:r>
                </w:p>
              </w:tc>
              <w:tc>
                <w:tcPr>
                  <w:tcW w:w="1404" w:type="dxa"/>
                  <w:vMerge w:val="restart"/>
                  <w:tcBorders>
                    <w:top w:val="nil"/>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hint="eastAsia" w:ascii="宋体" w:hAnsi="宋体" w:eastAsia="宋体" w:cs="宋体"/>
                      <w:color w:val="auto"/>
                      <w:kern w:val="0"/>
                      <w:szCs w:val="21"/>
                    </w:rPr>
                    <w:t>Ⅲ</w:t>
                  </w:r>
                  <w:r>
                    <w:rPr>
                      <w:rFonts w:ascii="Times New Roman" w:hAnsi="Times New Roman" w:eastAsia="宋体" w:cs="Times New Roman"/>
                      <w:color w:val="auto"/>
                      <w:kern w:val="0"/>
                      <w:szCs w:val="21"/>
                    </w:rPr>
                    <w:t>-5淮河中下游湖泊洼地生物多样性维护生态保护红线</w:t>
                  </w:r>
                </w:p>
              </w:tc>
              <w:tc>
                <w:tcPr>
                  <w:tcW w:w="1253" w:type="dxa"/>
                  <w:vMerge w:val="restart"/>
                  <w:tcBorders>
                    <w:top w:val="nil"/>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暖温带与北亚热带落叶阔叶林过渡带；河流和湖泊湿地类型为主</w:t>
                  </w:r>
                </w:p>
              </w:tc>
              <w:tc>
                <w:tcPr>
                  <w:tcW w:w="3736" w:type="dxa"/>
                  <w:vMerge w:val="restart"/>
                  <w:tcBorders>
                    <w:top w:val="nil"/>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安徽泗县沱河省级自然保护区、石龙湖国家湿地公园</w:t>
                  </w:r>
                </w:p>
              </w:tc>
              <w:tc>
                <w:tcPr>
                  <w:tcW w:w="911"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灵璧县</w:t>
                  </w:r>
                </w:p>
              </w:tc>
              <w:tc>
                <w:tcPr>
                  <w:tcW w:w="829"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Merge w:val="continue"/>
                  <w:tcBorders>
                    <w:top w:val="nil"/>
                    <w:left w:val="single" w:color="auto" w:sz="4" w:space="0"/>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rPr>
                  </w:pPr>
                </w:p>
              </w:tc>
              <w:tc>
                <w:tcPr>
                  <w:tcW w:w="1404"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rPr>
                  </w:pPr>
                </w:p>
              </w:tc>
              <w:tc>
                <w:tcPr>
                  <w:tcW w:w="1253"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rPr>
                  </w:pPr>
                </w:p>
              </w:tc>
              <w:tc>
                <w:tcPr>
                  <w:tcW w:w="3736" w:type="dxa"/>
                  <w:vMerge w:val="continue"/>
                  <w:tcBorders>
                    <w:top w:val="nil"/>
                    <w:left w:val="nil"/>
                    <w:bottom w:val="single" w:color="auto" w:sz="4" w:space="0"/>
                    <w:right w:val="single" w:color="auto" w:sz="4" w:space="0"/>
                  </w:tcBorders>
                  <w:shd w:val="clear" w:color="auto" w:fill="auto"/>
                  <w:vAlign w:val="center"/>
                </w:tcPr>
                <w:p>
                  <w:pPr>
                    <w:widowControl/>
                    <w:autoSpaceDE w:val="0"/>
                    <w:autoSpaceDN w:val="0"/>
                    <w:adjustRightInd w:val="0"/>
                    <w:spacing w:line="320" w:lineRule="exact"/>
                    <w:jc w:val="left"/>
                    <w:rPr>
                      <w:rFonts w:ascii="Times New Roman" w:hAnsi="Times New Roman" w:eastAsia="宋体" w:cs="Times New Roman"/>
                      <w:color w:val="auto"/>
                      <w:szCs w:val="21"/>
                    </w:rPr>
                  </w:pPr>
                </w:p>
              </w:tc>
              <w:tc>
                <w:tcPr>
                  <w:tcW w:w="911"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泗县</w:t>
                  </w:r>
                </w:p>
              </w:tc>
              <w:tc>
                <w:tcPr>
                  <w:tcW w:w="829"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19.46</w:t>
                  </w:r>
                </w:p>
              </w:tc>
            </w:tr>
          </w:tbl>
          <w:p>
            <w:pPr>
              <w:autoSpaceDE w:val="0"/>
              <w:autoSpaceDN w:val="0"/>
              <w:adjustRightInd w:val="0"/>
              <w:snapToGrid w:val="0"/>
              <w:spacing w:line="480" w:lineRule="exact"/>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本项目选址位于</w:t>
            </w:r>
            <w:r>
              <w:rPr>
                <w:rFonts w:hint="eastAsia" w:ascii="Times New Roman" w:hAnsi="Times New Roman" w:cs="Times New Roman"/>
                <w:color w:val="auto"/>
                <w:sz w:val="24"/>
                <w:szCs w:val="24"/>
                <w:vertAlign w:val="baseline"/>
                <w:lang w:val="en-US" w:eastAsia="zh-CN"/>
              </w:rPr>
              <w:t>安徽萧县经济开发区白土镇智能制造产业园纬三路与青峰路交叉口</w:t>
            </w:r>
            <w:r>
              <w:rPr>
                <w:rFonts w:ascii="Times New Roman" w:hAnsi="Times New Roman" w:eastAsia="宋体" w:cs="Times New Roman"/>
                <w:color w:val="auto"/>
                <w:kern w:val="0"/>
                <w:sz w:val="24"/>
              </w:rPr>
              <w:t>，根</w:t>
            </w:r>
            <w:r>
              <w:rPr>
                <w:rFonts w:hint="eastAsia" w:ascii="宋体" w:hAnsi="宋体" w:eastAsia="宋体" w:cs="宋体"/>
                <w:color w:val="auto"/>
                <w:kern w:val="0"/>
                <w:sz w:val="24"/>
              </w:rPr>
              <w:t>据《宿州市“三线一单”编制文本》，宿州市辖区生态红线主要位于皇藏峪及周边；其中生物多样性维护生态保护红线位于砀山县、萧县和宿州市埇桥区的北部；水土</w:t>
            </w:r>
            <w:r>
              <w:rPr>
                <w:rFonts w:ascii="Times New Roman" w:hAnsi="Times New Roman" w:eastAsia="宋体" w:cs="Times New Roman"/>
                <w:color w:val="auto"/>
                <w:kern w:val="0"/>
                <w:sz w:val="24"/>
              </w:rPr>
              <w:t>保持生态红线区域位于宿州市的东南，本项目所在区域不在生态保护红线区域内。</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建设项目地理位置图见附图</w:t>
            </w:r>
            <w:r>
              <w:rPr>
                <w:rFonts w:hint="eastAsia" w:ascii="Times New Roman" w:hAnsi="Times New Roman" w:cs="Times New Roman"/>
                <w:color w:val="auto"/>
                <w:sz w:val="24"/>
              </w:rPr>
              <w:t>1</w:t>
            </w:r>
            <w:r>
              <w:rPr>
                <w:rFonts w:ascii="Times New Roman" w:hAnsi="Times New Roman" w:cs="Times New Roman"/>
                <w:color w:val="auto"/>
                <w:sz w:val="24"/>
              </w:rPr>
              <w:t>，《</w:t>
            </w:r>
            <w:r>
              <w:rPr>
                <w:rFonts w:hint="eastAsia" w:ascii="Times New Roman" w:hAnsi="Times New Roman" w:cs="Times New Roman"/>
                <w:color w:val="auto"/>
                <w:sz w:val="24"/>
              </w:rPr>
              <w:t>宿州市</w:t>
            </w:r>
            <w:r>
              <w:rPr>
                <w:rFonts w:ascii="Times New Roman" w:hAnsi="Times New Roman" w:cs="Times New Roman"/>
                <w:color w:val="auto"/>
                <w:sz w:val="24"/>
              </w:rPr>
              <w:t>生态</w:t>
            </w:r>
            <w:r>
              <w:rPr>
                <w:rFonts w:hint="eastAsia" w:ascii="Times New Roman" w:hAnsi="Times New Roman" w:cs="Times New Roman"/>
                <w:color w:val="auto"/>
                <w:sz w:val="24"/>
              </w:rPr>
              <w:t>保护红线图</w:t>
            </w:r>
            <w:r>
              <w:rPr>
                <w:rFonts w:ascii="Times New Roman" w:hAnsi="Times New Roman" w:cs="Times New Roman"/>
                <w:color w:val="auto"/>
                <w:sz w:val="24"/>
              </w:rPr>
              <w:t>》见附图</w:t>
            </w:r>
            <w:r>
              <w:rPr>
                <w:rFonts w:hint="eastAsia" w:ascii="Times New Roman" w:hAnsi="Times New Roman" w:cs="Times New Roman"/>
                <w:color w:val="auto"/>
                <w:sz w:val="24"/>
              </w:rPr>
              <w:t>2，《宿州市生态空间》见附图3</w:t>
            </w:r>
            <w:r>
              <w:rPr>
                <w:rFonts w:ascii="Times New Roman" w:hAnsi="Times New Roman" w:cs="Times New Roman"/>
                <w:color w:val="auto"/>
                <w:sz w:val="24"/>
              </w:rPr>
              <w: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（2）环境质量底线</w:t>
            </w:r>
          </w:p>
          <w:p>
            <w:pPr>
              <w:autoSpaceDE w:val="0"/>
              <w:autoSpaceDN w:val="0"/>
              <w:adjustRightInd w:val="0"/>
              <w:snapToGrid w:val="0"/>
              <w:spacing w:line="480" w:lineRule="exact"/>
              <w:ind w:firstLine="480" w:firstLineChars="200"/>
              <w:rPr>
                <w:rFonts w:ascii="Times New Roman" w:hAnsi="Times New Roman" w:eastAsia="宋体" w:cs="Times New Roman"/>
                <w:color w:val="auto"/>
                <w:kern w:val="0"/>
                <w:sz w:val="24"/>
              </w:rPr>
            </w:pPr>
            <w:r>
              <w:rPr>
                <w:rFonts w:hint="eastAsia" w:ascii="宋体" w:hAnsi="宋体" w:eastAsia="宋体" w:cs="宋体"/>
                <w:color w:val="auto"/>
                <w:kern w:val="0"/>
                <w:sz w:val="24"/>
              </w:rPr>
              <w:t>①</w:t>
            </w:r>
            <w:r>
              <w:rPr>
                <w:rFonts w:ascii="Times New Roman" w:hAnsi="Times New Roman" w:eastAsia="宋体" w:cs="Times New Roman"/>
                <w:color w:val="auto"/>
                <w:kern w:val="0"/>
                <w:sz w:val="24"/>
              </w:rPr>
              <w:t>大气环境质量底线及分区管控</w:t>
            </w:r>
          </w:p>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ascii="Times New Roman" w:hAnsi="Times New Roman" w:eastAsia="宋体" w:cs="Times New Roman"/>
                <w:color w:val="auto"/>
                <w:kern w:val="0"/>
                <w:sz w:val="24"/>
              </w:rPr>
              <w:t>根据</w:t>
            </w:r>
            <w:r>
              <w:rPr>
                <w:rFonts w:hint="eastAsia" w:ascii="Times New Roman" w:hAnsi="Times New Roman" w:eastAsia="宋体" w:cs="Times New Roman"/>
                <w:color w:val="auto"/>
                <w:kern w:val="0"/>
                <w:sz w:val="24"/>
              </w:rPr>
              <w:t>《宿州市202</w:t>
            </w:r>
            <w:r>
              <w:rPr>
                <w:rFonts w:hint="eastAsia" w:ascii="Times New Roman" w:hAnsi="Times New Roman" w:eastAsia="宋体" w:cs="Times New Roman"/>
                <w:color w:val="auto"/>
                <w:kern w:val="0"/>
                <w:sz w:val="24"/>
                <w:lang w:val="en-US" w:eastAsia="zh-CN"/>
              </w:rPr>
              <w:t>2</w:t>
            </w:r>
            <w:r>
              <w:rPr>
                <w:rFonts w:hint="eastAsia" w:ascii="Times New Roman" w:hAnsi="Times New Roman" w:eastAsia="宋体" w:cs="Times New Roman"/>
                <w:color w:val="auto"/>
                <w:kern w:val="0"/>
                <w:sz w:val="24"/>
              </w:rPr>
              <w:t>年环境质量状况报告》（宿州市生态环境局，202</w:t>
            </w:r>
            <w:r>
              <w:rPr>
                <w:rFonts w:hint="eastAsia" w:ascii="Times New Roman" w:hAnsi="Times New Roman" w:eastAsia="宋体" w:cs="Times New Roman"/>
                <w:color w:val="auto"/>
                <w:kern w:val="0"/>
                <w:sz w:val="24"/>
                <w:lang w:val="en-US" w:eastAsia="zh-CN"/>
              </w:rPr>
              <w:t>3</w:t>
            </w:r>
            <w:r>
              <w:rPr>
                <w:rFonts w:hint="eastAsia" w:ascii="Times New Roman" w:hAnsi="Times New Roman" w:eastAsia="宋体" w:cs="Times New Roman"/>
                <w:color w:val="auto"/>
                <w:kern w:val="0"/>
                <w:sz w:val="24"/>
              </w:rPr>
              <w:t>年06月），</w:t>
            </w:r>
            <w:r>
              <w:rPr>
                <w:rFonts w:ascii="Times New Roman" w:hAnsi="Times New Roman" w:eastAsia="宋体" w:cs="Times New Roman"/>
                <w:color w:val="auto"/>
                <w:kern w:val="0"/>
                <w:sz w:val="24"/>
              </w:rPr>
              <w:t>该项目区六项污染中PM</w:t>
            </w:r>
            <w:r>
              <w:rPr>
                <w:rFonts w:hint="eastAsia" w:ascii="Times New Roman" w:hAnsi="Times New Roman" w:eastAsia="宋体" w:cs="Times New Roman"/>
                <w:color w:val="auto"/>
                <w:kern w:val="0"/>
                <w:sz w:val="24"/>
                <w:vertAlign w:val="subscript"/>
                <w:lang w:val="en-US" w:eastAsia="zh-CN"/>
              </w:rPr>
              <w:t>2.5</w:t>
            </w:r>
            <w:r>
              <w:rPr>
                <w:rFonts w:hint="eastAsia" w:ascii="Times New Roman" w:hAnsi="Times New Roman" w:eastAsia="宋体" w:cs="Times New Roman"/>
                <w:color w:val="auto"/>
                <w:kern w:val="0"/>
                <w:sz w:val="24"/>
                <w:lang w:eastAsia="zh-CN"/>
              </w:rPr>
              <w:t>和</w:t>
            </w:r>
            <w:r>
              <w:rPr>
                <w:rFonts w:hint="eastAsia" w:ascii="Times New Roman" w:hAnsi="Times New Roman" w:eastAsia="宋体" w:cs="Times New Roman"/>
                <w:color w:val="auto"/>
                <w:kern w:val="0"/>
                <w:sz w:val="24"/>
                <w:lang w:val="en-US" w:eastAsia="zh-CN"/>
              </w:rPr>
              <w:t>O</w:t>
            </w:r>
            <w:r>
              <w:rPr>
                <w:rFonts w:hint="eastAsia" w:ascii="Times New Roman" w:hAnsi="Times New Roman" w:eastAsia="宋体" w:cs="Times New Roman"/>
                <w:color w:val="auto"/>
                <w:kern w:val="0"/>
                <w:sz w:val="24"/>
                <w:vertAlign w:val="subscript"/>
                <w:lang w:val="en-US" w:eastAsia="zh-CN"/>
              </w:rPr>
              <w:t>3</w:t>
            </w:r>
            <w:r>
              <w:rPr>
                <w:rFonts w:ascii="Times New Roman" w:hAnsi="Times New Roman" w:eastAsia="宋体" w:cs="Times New Roman"/>
                <w:color w:val="auto"/>
                <w:kern w:val="0"/>
                <w:sz w:val="24"/>
              </w:rPr>
              <w:t>不达标，则该项目区为城市环境质量不达标区。</w:t>
            </w:r>
            <w:r>
              <w:rPr>
                <w:rFonts w:hint="eastAsia" w:ascii="Times New Roman" w:hAnsi="Times New Roman" w:cs="Times New Roman"/>
                <w:b w:val="0"/>
                <w:bCs w:val="0"/>
                <w:color w:val="auto"/>
                <w:sz w:val="24"/>
                <w:szCs w:val="24"/>
                <w:lang w:val="en-US" w:eastAsia="zh-CN"/>
              </w:rPr>
              <w:t>根据</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color w:val="auto"/>
                <w:sz w:val="24"/>
              </w:rPr>
              <w:t>白土镇智能制造产业园控制性详细规划环境影响报告书</w:t>
            </w:r>
            <w:r>
              <w:rPr>
                <w:rFonts w:hint="eastAsia" w:ascii="Times New Roman" w:hAnsi="Times New Roman" w:cs="Times New Roman"/>
                <w:b w:val="0"/>
                <w:bCs w:val="0"/>
                <w:color w:val="auto"/>
                <w:sz w:val="24"/>
                <w:szCs w:val="24"/>
                <w:lang w:val="en-US" w:eastAsia="zh-CN"/>
              </w:rPr>
              <w:t>》中的监测数据：“</w:t>
            </w:r>
            <w:r>
              <w:rPr>
                <w:rFonts w:hint="default" w:ascii="Times New Roman" w:hAnsi="Times New Roman" w:cs="Times New Roman"/>
                <w:color w:val="auto"/>
                <w:sz w:val="24"/>
                <w:szCs w:val="24"/>
                <w:lang w:val="en-US" w:eastAsia="zh-CN"/>
              </w:rPr>
              <w:t>非甲烷总烃</w:t>
            </w:r>
            <w:r>
              <w:rPr>
                <w:rFonts w:hint="eastAsia" w:ascii="Times New Roman" w:hAnsi="Times New Roman" w:cs="Times New Roman"/>
                <w:color w:val="auto"/>
                <w:sz w:val="24"/>
                <w:szCs w:val="24"/>
                <w:lang w:val="en-US" w:eastAsia="zh-CN"/>
              </w:rPr>
              <w:t>（NMHC）一次值</w:t>
            </w:r>
            <w:r>
              <w:rPr>
                <w:rFonts w:hint="default" w:ascii="Times New Roman" w:hAnsi="Times New Roman" w:cs="Times New Roman"/>
                <w:color w:val="auto"/>
                <w:sz w:val="24"/>
                <w:szCs w:val="24"/>
                <w:lang w:val="en-US" w:eastAsia="zh-CN"/>
              </w:rPr>
              <w:t>满足《大气污染物综合排放标准详解》中的标准限值</w:t>
            </w:r>
            <w:r>
              <w:rPr>
                <w:rFonts w:hint="eastAsia" w:ascii="Times New Roman" w:hAnsi="Times New Roman" w:cs="Times New Roman"/>
                <w:color w:val="auto"/>
                <w:sz w:val="24"/>
                <w:szCs w:val="24"/>
                <w:lang w:val="en-US" w:eastAsia="zh-CN"/>
              </w:rPr>
              <w:t>；总悬浮颗粒物（TSP）24小时均值满足《环境空气质量标准》（GB3095-2012）表2中浓度限值。</w:t>
            </w:r>
            <w:r>
              <w:rPr>
                <w:rFonts w:hint="eastAsia" w:ascii="Times New Roman" w:hAnsi="Times New Roman" w:cs="Times New Roman"/>
                <w:b w:val="0"/>
                <w:bCs w:val="0"/>
                <w:color w:val="auto"/>
                <w:sz w:val="24"/>
                <w:szCs w:val="24"/>
                <w:lang w:val="en-US" w:eastAsia="zh-CN"/>
              </w:rPr>
              <w:t>”</w:t>
            </w:r>
          </w:p>
          <w:p>
            <w:pPr>
              <w:spacing w:line="360" w:lineRule="auto"/>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本项目废气污染物能够实现达标排放，不会对区域大气环境质量产生明显影响，项目的建设不会降低区域大气环境质量功能，因此项目的建设能够满足区域大气环境质量底线要求。</w:t>
            </w:r>
            <w:r>
              <w:rPr>
                <w:rFonts w:hint="eastAsia" w:ascii="Times New Roman" w:hAnsi="Times New Roman" w:eastAsia="宋体" w:cs="Times New Roman"/>
                <w:color w:val="auto"/>
                <w:kern w:val="0"/>
                <w:sz w:val="24"/>
                <w:lang w:eastAsia="zh-CN"/>
              </w:rPr>
              <w:t>宿州市</w:t>
            </w:r>
            <w:r>
              <w:rPr>
                <w:rFonts w:hint="default" w:ascii="Times New Roman" w:hAnsi="Times New Roman" w:eastAsia="宋体" w:cs="Times New Roman"/>
                <w:color w:val="auto"/>
                <w:kern w:val="0"/>
                <w:sz w:val="24"/>
                <w:lang w:eastAsia="zh-CN"/>
              </w:rPr>
              <w:t>上年度为大气质量</w:t>
            </w:r>
            <w:r>
              <w:rPr>
                <w:rFonts w:hint="eastAsia" w:ascii="Times New Roman" w:hAnsi="Times New Roman" w:eastAsia="宋体" w:cs="Times New Roman"/>
                <w:color w:val="auto"/>
                <w:kern w:val="0"/>
                <w:sz w:val="24"/>
                <w:lang w:eastAsia="zh-CN"/>
              </w:rPr>
              <w:t>不</w:t>
            </w:r>
            <w:r>
              <w:rPr>
                <w:rFonts w:hint="default" w:ascii="Times New Roman" w:hAnsi="Times New Roman" w:eastAsia="宋体" w:cs="Times New Roman"/>
                <w:color w:val="auto"/>
                <w:kern w:val="0"/>
                <w:sz w:val="24"/>
                <w:lang w:eastAsia="zh-CN"/>
              </w:rPr>
              <w:t>达标区域，本项目大气污染物VOCs</w:t>
            </w:r>
            <w:r>
              <w:rPr>
                <w:rFonts w:hint="eastAsia" w:ascii="Times New Roman" w:hAnsi="Times New Roman" w:eastAsia="宋体" w:cs="Times New Roman"/>
                <w:color w:val="auto"/>
                <w:kern w:val="0"/>
                <w:sz w:val="24"/>
                <w:lang w:eastAsia="zh-CN"/>
              </w:rPr>
              <w:t>等</w:t>
            </w:r>
            <w:r>
              <w:rPr>
                <w:rFonts w:hint="default" w:ascii="Times New Roman" w:hAnsi="Times New Roman" w:eastAsia="宋体" w:cs="Times New Roman"/>
                <w:color w:val="auto"/>
                <w:kern w:val="0"/>
                <w:sz w:val="24"/>
                <w:lang w:eastAsia="zh-CN"/>
              </w:rPr>
              <w:t>新增排放量指标需实行区域</w:t>
            </w:r>
            <w:r>
              <w:rPr>
                <w:rFonts w:hint="eastAsia" w:ascii="Times New Roman" w:hAnsi="Times New Roman" w:eastAsia="宋体" w:cs="Times New Roman"/>
                <w:color w:val="auto"/>
                <w:kern w:val="0"/>
                <w:sz w:val="24"/>
                <w:lang w:eastAsia="zh-CN"/>
              </w:rPr>
              <w:t>“倍量替代”，</w:t>
            </w:r>
            <w:r>
              <w:rPr>
                <w:rFonts w:hint="default" w:ascii="Times New Roman" w:hAnsi="Times New Roman" w:eastAsia="宋体" w:cs="Times New Roman"/>
                <w:color w:val="auto"/>
                <w:kern w:val="0"/>
                <w:sz w:val="24"/>
                <w:lang w:eastAsia="zh-CN"/>
              </w:rPr>
              <w:t>符合大气环境质量底线及环境分区管控要求。</w:t>
            </w:r>
          </w:p>
          <w:p>
            <w:pPr>
              <w:autoSpaceDE w:val="0"/>
              <w:autoSpaceDN w:val="0"/>
              <w:adjustRightInd w:val="0"/>
              <w:snapToGrid w:val="0"/>
              <w:spacing w:line="480" w:lineRule="exact"/>
              <w:ind w:firstLine="480" w:firstLineChars="200"/>
              <w:rPr>
                <w:rFonts w:ascii="Times New Roman" w:hAnsi="Times New Roman" w:cs="Times New Roman"/>
                <w:color w:val="auto"/>
                <w:sz w:val="24"/>
              </w:rPr>
            </w:pPr>
            <w:r>
              <w:rPr>
                <w:rFonts w:hint="eastAsia" w:ascii="Times New Roman" w:hAnsi="Times New Roman" w:cs="Times New Roman"/>
                <w:color w:val="auto"/>
                <w:sz w:val="24"/>
              </w:rPr>
              <w:t>《宿州市大气环境分区管控图》见附图4</w:t>
            </w:r>
            <w:r>
              <w:rPr>
                <w:rFonts w:ascii="Times New Roman" w:hAnsi="Times New Roman" w:cs="Times New Roman"/>
                <w:color w:val="auto"/>
                <w:sz w:val="24"/>
              </w:rPr>
              <w:t>。</w:t>
            </w:r>
          </w:p>
          <w:p>
            <w:pPr>
              <w:autoSpaceDE w:val="0"/>
              <w:autoSpaceDN w:val="0"/>
              <w:adjustRightInd w:val="0"/>
              <w:snapToGrid w:val="0"/>
              <w:spacing w:line="480" w:lineRule="exact"/>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②</w:t>
            </w:r>
            <w:r>
              <w:rPr>
                <w:rFonts w:ascii="Times New Roman" w:hAnsi="Times New Roman" w:eastAsia="宋体" w:cs="Times New Roman"/>
                <w:color w:val="auto"/>
                <w:kern w:val="0"/>
                <w:sz w:val="24"/>
              </w:rPr>
              <w:t>水环境质量底线及环境分区管控</w:t>
            </w:r>
          </w:p>
          <w:p>
            <w:pPr>
              <w:autoSpaceDE w:val="0"/>
              <w:autoSpaceDN w:val="0"/>
              <w:adjustRightInd w:val="0"/>
              <w:snapToGrid w:val="0"/>
              <w:spacing w:line="480" w:lineRule="exact"/>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根</w:t>
            </w:r>
            <w:r>
              <w:rPr>
                <w:rFonts w:hint="default" w:ascii="Times New Roman" w:hAnsi="Times New Roman" w:cs="Times New Roman"/>
                <w:b w:val="0"/>
                <w:bCs w:val="0"/>
                <w:color w:val="auto"/>
                <w:sz w:val="24"/>
                <w:szCs w:val="24"/>
                <w:lang w:val="en-US" w:eastAsia="zh-CN"/>
              </w:rPr>
              <w:t>据《</w:t>
            </w:r>
            <w:r>
              <w:rPr>
                <w:rFonts w:hint="default" w:ascii="Times New Roman" w:hAnsi="Times New Roman" w:cs="Times New Roman"/>
                <w:color w:val="auto"/>
                <w:sz w:val="24"/>
              </w:rPr>
              <w:t>白土镇智能制造产业园控制性详细规划环境影响报告书</w:t>
            </w:r>
            <w:r>
              <w:rPr>
                <w:rFonts w:hint="eastAsia" w:ascii="Times New Roman" w:hAnsi="Times New Roman" w:cs="Times New Roman"/>
                <w:b w:val="0"/>
                <w:bCs w:val="0"/>
                <w:color w:val="auto"/>
                <w:sz w:val="24"/>
                <w:szCs w:val="24"/>
                <w:lang w:val="en-US" w:eastAsia="zh-CN"/>
              </w:rPr>
              <w:t>》中的检测数据：“</w:t>
            </w:r>
            <w:r>
              <w:rPr>
                <w:rFonts w:hint="default" w:ascii="Times New Roman" w:hAnsi="Times New Roman" w:cs="Times New Roman"/>
                <w:color w:val="auto"/>
                <w:sz w:val="24"/>
                <w:szCs w:val="24"/>
                <w:highlight w:val="none"/>
              </w:rPr>
              <w:t>地表水</w:t>
            </w:r>
            <w:r>
              <w:rPr>
                <w:rFonts w:hint="eastAsia" w:ascii="Times New Roman" w:hAnsi="Times New Roman" w:cs="Times New Roman"/>
                <w:color w:val="auto"/>
                <w:sz w:val="24"/>
                <w:szCs w:val="24"/>
                <w:highlight w:val="none"/>
                <w:lang w:val="en-US" w:eastAsia="zh-CN"/>
              </w:rPr>
              <w:t>倒流河</w:t>
            </w:r>
            <w:r>
              <w:rPr>
                <w:rFonts w:hint="default" w:ascii="Times New Roman" w:hAnsi="Times New Roman" w:cs="Times New Roman"/>
                <w:color w:val="auto"/>
                <w:sz w:val="24"/>
                <w:szCs w:val="24"/>
                <w:highlight w:val="none"/>
                <w:lang w:val="en-US" w:eastAsia="zh-CN"/>
              </w:rPr>
              <w:t>满足</w:t>
            </w:r>
            <w:r>
              <w:rPr>
                <w:rFonts w:hint="default" w:ascii="Times New Roman" w:hAnsi="Times New Roman" w:cs="Times New Roman"/>
                <w:color w:val="auto"/>
                <w:sz w:val="24"/>
                <w:szCs w:val="24"/>
                <w:highlight w:val="none"/>
              </w:rPr>
              <w:t>《地表水环境质量标准》</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GB3838-2002</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中Ⅳ类标准</w:t>
            </w:r>
            <w:r>
              <w:rPr>
                <w:rFonts w:ascii="Times New Roman" w:hAnsi="Times New Roman" w:eastAsia="宋体" w:cs="Times New Roman"/>
                <w:color w:val="auto"/>
                <w:kern w:val="0"/>
                <w:sz w:val="24"/>
                <w:szCs w:val="24"/>
              </w:rPr>
              <w:t>。</w:t>
            </w:r>
            <w:r>
              <w:rPr>
                <w:rFonts w:hint="eastAsia" w:ascii="Times New Roman" w:hAnsi="Times New Roman" w:cs="Times New Roman"/>
                <w:b w:val="0"/>
                <w:bCs w:val="0"/>
                <w:color w:val="auto"/>
                <w:sz w:val="24"/>
                <w:szCs w:val="24"/>
                <w:lang w:val="en-US" w:eastAsia="zh-CN"/>
              </w:rPr>
              <w:t>”</w:t>
            </w:r>
          </w:p>
          <w:p>
            <w:pPr>
              <w:autoSpaceDE w:val="0"/>
              <w:autoSpaceDN w:val="0"/>
              <w:adjustRightInd w:val="0"/>
              <w:snapToGrid w:val="0"/>
              <w:spacing w:line="480" w:lineRule="exact"/>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sz w:val="24"/>
                <w:szCs w:val="24"/>
                <w:lang w:eastAsia="zh-CN"/>
              </w:rPr>
              <w:t>项目</w:t>
            </w:r>
            <w:r>
              <w:rPr>
                <w:rFonts w:hint="eastAsia" w:ascii="Times New Roman" w:hAnsi="Times New Roman" w:cs="Times New Roman"/>
                <w:color w:val="auto"/>
                <w:sz w:val="24"/>
                <w:szCs w:val="24"/>
                <w:lang w:eastAsia="zh-CN"/>
              </w:rPr>
              <w:t>运营期无生产性废水产生及排放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生活污水经厂区</w:t>
            </w:r>
            <w:r>
              <w:rPr>
                <w:rFonts w:hint="default" w:ascii="Times New Roman" w:hAnsi="Times New Roman" w:cs="Times New Roman"/>
                <w:color w:val="auto"/>
                <w:sz w:val="24"/>
                <w:szCs w:val="24"/>
                <w:lang w:eastAsia="zh-CN"/>
              </w:rPr>
              <w:t>自建</w:t>
            </w:r>
            <w:r>
              <w:rPr>
                <w:rFonts w:hint="eastAsia" w:ascii="Times New Roman" w:hAnsi="Times New Roman" w:cs="Times New Roman"/>
                <w:color w:val="auto"/>
                <w:sz w:val="24"/>
                <w:szCs w:val="24"/>
                <w:lang w:eastAsia="zh-CN"/>
              </w:rPr>
              <w:t>“隔油池</w:t>
            </w:r>
            <w:r>
              <w:rPr>
                <w:rFonts w:hint="eastAsia" w:ascii="Times New Roman" w:hAnsi="Times New Roman" w:cs="Times New Roman"/>
                <w:color w:val="auto"/>
                <w:sz w:val="24"/>
                <w:szCs w:val="24"/>
                <w:lang w:val="en-US" w:eastAsia="zh-CN"/>
              </w:rPr>
              <w:t>+化粪池</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预</w:t>
            </w:r>
            <w:r>
              <w:rPr>
                <w:rFonts w:hint="default" w:ascii="Times New Roman" w:hAnsi="Times New Roman" w:cs="Times New Roman"/>
                <w:color w:val="auto"/>
                <w:sz w:val="24"/>
                <w:szCs w:val="24"/>
              </w:rPr>
              <w:t>处理达《污水综合排放标准》（GB8978-1996）表4中三级标准及</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rPr>
              <w:t>接管</w:t>
            </w:r>
            <w:r>
              <w:rPr>
                <w:rFonts w:hint="eastAsia" w:ascii="Times New Roman" w:hAnsi="Times New Roman" w:cs="Times New Roman"/>
                <w:color w:val="auto"/>
                <w:sz w:val="24"/>
                <w:szCs w:val="24"/>
                <w:lang w:eastAsia="zh-CN"/>
              </w:rPr>
              <w:t>限值后</w:t>
            </w:r>
            <w:r>
              <w:rPr>
                <w:rFonts w:hint="default" w:ascii="Times New Roman" w:hAnsi="Times New Roman" w:cs="Times New Roman"/>
                <w:color w:val="auto"/>
                <w:sz w:val="24"/>
                <w:szCs w:val="24"/>
              </w:rPr>
              <w:t>排入</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rPr>
              <w:t>处理达《城镇污水处理厂污染物排放标准》（GB18918-2002）表1中一级</w:t>
            </w:r>
            <w:r>
              <w:rPr>
                <w:rFonts w:hint="default" w:ascii="Times New Roman" w:hAnsi="Times New Roman" w:cs="Times New Roman"/>
                <w:color w:val="auto"/>
                <w:sz w:val="24"/>
                <w:szCs w:val="24"/>
                <w:lang w:eastAsia="zh-CN"/>
              </w:rPr>
              <w:t>标准</w:t>
            </w:r>
            <w:r>
              <w:rPr>
                <w:rFonts w:hint="default" w:ascii="Times New Roman" w:hAnsi="Times New Roman" w:cs="Times New Roman"/>
                <w:color w:val="auto"/>
                <w:sz w:val="24"/>
                <w:szCs w:val="24"/>
              </w:rPr>
              <w:t>A标准后排入</w:t>
            </w:r>
            <w:r>
              <w:rPr>
                <w:rFonts w:hint="eastAsia" w:ascii="Times New Roman" w:hAnsi="Times New Roman" w:cs="Times New Roman"/>
                <w:color w:val="auto"/>
                <w:sz w:val="24"/>
                <w:szCs w:val="24"/>
                <w:lang w:eastAsia="zh-CN"/>
              </w:rPr>
              <w:t>倒流河</w:t>
            </w:r>
            <w:r>
              <w:rPr>
                <w:rFonts w:hint="default" w:ascii="Times New Roman" w:hAnsi="Times New Roman" w:eastAsia="宋体" w:cs="Times New Roman"/>
                <w:color w:val="auto"/>
                <w:kern w:val="0"/>
                <w:sz w:val="24"/>
                <w:szCs w:val="24"/>
                <w:lang w:eastAsia="zh-CN"/>
              </w:rPr>
              <w:t>，对</w:t>
            </w:r>
            <w:r>
              <w:rPr>
                <w:rFonts w:hint="eastAsia" w:ascii="Times New Roman" w:hAnsi="Times New Roman" w:eastAsia="宋体" w:cs="Times New Roman"/>
                <w:color w:val="auto"/>
                <w:kern w:val="0"/>
                <w:sz w:val="24"/>
                <w:szCs w:val="24"/>
                <w:lang w:eastAsia="zh-CN"/>
              </w:rPr>
              <w:t>倒流河</w:t>
            </w:r>
            <w:r>
              <w:rPr>
                <w:rFonts w:hint="default" w:ascii="Times New Roman" w:hAnsi="Times New Roman" w:eastAsia="宋体" w:cs="Times New Roman"/>
                <w:color w:val="auto"/>
                <w:kern w:val="0"/>
                <w:sz w:val="24"/>
                <w:szCs w:val="24"/>
                <w:lang w:eastAsia="zh-CN"/>
              </w:rPr>
              <w:t>的影响可接受，不会突破水环境质量底线</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lang w:eastAsia="zh-CN"/>
              </w:rPr>
              <w:t>符合水环境质量底线及环境分区管控要求。</w:t>
            </w:r>
          </w:p>
          <w:p>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《宿州市水环境管控分区图》见附图4</w:t>
            </w:r>
            <w:r>
              <w:rPr>
                <w:rFonts w:ascii="Times New Roman" w:hAnsi="Times New Roman" w:eastAsia="宋体" w:cs="Times New Roman"/>
                <w:color w:val="auto"/>
                <w:kern w:val="0"/>
                <w:sz w:val="24"/>
              </w:rPr>
              <w:t>。</w:t>
            </w:r>
          </w:p>
          <w:p>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③</w:t>
            </w:r>
            <w:r>
              <w:rPr>
                <w:rFonts w:hint="default" w:ascii="Times New Roman" w:hAnsi="Times New Roman" w:eastAsia="宋体" w:cs="Times New Roman"/>
                <w:color w:val="auto"/>
                <w:kern w:val="0"/>
                <w:sz w:val="24"/>
                <w:lang w:val="en-US" w:eastAsia="zh-CN"/>
              </w:rPr>
              <w:t>土壤环境风险防控底线及分区管控</w:t>
            </w:r>
          </w:p>
          <w:p>
            <w:pPr>
              <w:pStyle w:val="35"/>
              <w:spacing w:line="360" w:lineRule="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rPr>
              <w:t>本项目固废按照国家有关规定进行安全处置，其中危险废物暂存于设置危险废物暂存房，定期交由有资质单位处理，危险废物暂存间采取重点防渗措施，对土壤影响较小，符合土壤环境质量底线及环境分区管控要求。</w:t>
            </w:r>
          </w:p>
          <w:p>
            <w:pPr>
              <w:pStyle w:val="35"/>
              <w:spacing w:line="360" w:lineRule="auto"/>
              <w:ind w:firstLine="480"/>
              <w:rPr>
                <w:rFonts w:ascii="Times New Roman" w:hAnsi="Times New Roman" w:cs="Times New Roman"/>
                <w:color w:val="auto"/>
                <w:sz w:val="24"/>
                <w:szCs w:val="24"/>
              </w:rPr>
            </w:pPr>
            <w:r>
              <w:rPr>
                <w:rFonts w:hint="eastAsia" w:ascii="Times New Roman" w:hAnsi="Times New Roman" w:cs="Times New Roman"/>
                <w:color w:val="auto"/>
                <w:sz w:val="24"/>
                <w:szCs w:val="24"/>
              </w:rPr>
              <w:t>《宿州市土壤污染风险分区管控图》见附图6</w:t>
            </w:r>
            <w:r>
              <w:rPr>
                <w:rFonts w:ascii="Times New Roman" w:hAnsi="Times New Roman" w:cs="Times New Roman"/>
                <w:color w:val="auto"/>
                <w:sz w:val="24"/>
                <w:szCs w:val="24"/>
              </w:rPr>
              <w:t>。</w:t>
            </w:r>
          </w:p>
          <w:p>
            <w:pPr>
              <w:pStyle w:val="35"/>
              <w:spacing w:line="360" w:lineRule="auto"/>
              <w:ind w:firstLine="48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（3）资源利用上线</w:t>
            </w:r>
          </w:p>
          <w:p>
            <w:pPr>
              <w:pStyle w:val="35"/>
              <w:spacing w:line="360" w:lineRule="auto"/>
              <w:ind w:firstLine="480"/>
              <w:rPr>
                <w:rFonts w:ascii="Times New Roman" w:hAnsi="Times New Roman" w:cs="Times New Roman"/>
                <w:color w:val="auto"/>
                <w:sz w:val="24"/>
                <w:szCs w:val="24"/>
              </w:rPr>
            </w:pPr>
            <w:r>
              <w:rPr>
                <w:rFonts w:ascii="Times New Roman" w:hAnsi="Times New Roman" w:cs="Times New Roman"/>
                <w:color w:val="auto"/>
                <w:sz w:val="24"/>
                <w:szCs w:val="24"/>
              </w:rPr>
              <w:t>①煤炭资源利用上线及分区管控</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本项目不涉及煤炭的使用，</w:t>
            </w:r>
            <w:r>
              <w:rPr>
                <w:rFonts w:hint="eastAsia" w:ascii="Times New Roman" w:hAnsi="Times New Roman" w:cs="Times New Roman"/>
                <w:color w:val="auto"/>
                <w:sz w:val="24"/>
                <w:lang w:eastAsia="zh-CN"/>
              </w:rPr>
              <w:t>使用液化天然气清洁能源，</w:t>
            </w:r>
            <w:r>
              <w:rPr>
                <w:rFonts w:ascii="Times New Roman" w:hAnsi="Times New Roman" w:cs="Times New Roman"/>
                <w:color w:val="auto"/>
                <w:sz w:val="24"/>
              </w:rPr>
              <w:t>因此能够满足煤炭资源利用上线及分区管控要求。</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w:t>
            </w:r>
            <w:r>
              <w:rPr>
                <w:rFonts w:hint="eastAsia" w:ascii="Times New Roman" w:hAnsi="Times New Roman" w:cs="Times New Roman"/>
                <w:color w:val="auto"/>
                <w:sz w:val="24"/>
              </w:rPr>
              <w:t>宿州市</w:t>
            </w:r>
            <w:r>
              <w:rPr>
                <w:rFonts w:ascii="Times New Roman" w:hAnsi="Times New Roman" w:cs="Times New Roman"/>
                <w:color w:val="auto"/>
                <w:sz w:val="24"/>
              </w:rPr>
              <w:t>高污染燃料禁燃区分布图》</w:t>
            </w:r>
            <w:r>
              <w:rPr>
                <w:rFonts w:hint="eastAsia" w:ascii="Times New Roman" w:hAnsi="Times New Roman" w:cs="Times New Roman"/>
                <w:color w:val="auto"/>
                <w:sz w:val="24"/>
              </w:rPr>
              <w:t>见附图7。</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②水资源利用上线及分区管控</w:t>
            </w:r>
          </w:p>
          <w:p>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本项目用水来自市政供水管网，用水量较小，</w:t>
            </w:r>
            <w:r>
              <w:rPr>
                <w:rFonts w:ascii="Times New Roman" w:hAnsi="Times New Roman" w:cs="Times New Roman"/>
                <w:color w:val="auto"/>
                <w:sz w:val="24"/>
              </w:rPr>
              <w:t>不会突破水资源利用上线。</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w:t>
            </w:r>
            <w:r>
              <w:rPr>
                <w:rFonts w:hint="eastAsia" w:ascii="Times New Roman" w:hAnsi="Times New Roman" w:cs="Times New Roman"/>
                <w:color w:val="auto"/>
                <w:sz w:val="24"/>
              </w:rPr>
              <w:t>宿州市</w:t>
            </w:r>
            <w:r>
              <w:rPr>
                <w:rFonts w:ascii="Times New Roman" w:hAnsi="Times New Roman" w:cs="Times New Roman"/>
                <w:color w:val="auto"/>
                <w:sz w:val="24"/>
              </w:rPr>
              <w:t>地下水开采重点管控区图》</w:t>
            </w:r>
            <w:r>
              <w:rPr>
                <w:rFonts w:hint="eastAsia" w:ascii="Times New Roman" w:hAnsi="Times New Roman" w:cs="Times New Roman"/>
                <w:color w:val="auto"/>
                <w:sz w:val="24"/>
              </w:rPr>
              <w:t>见附图8。</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③土地资源利用上线及分区管控</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本项目位于</w:t>
            </w:r>
            <w:r>
              <w:rPr>
                <w:rFonts w:hint="eastAsia" w:ascii="Times New Roman" w:hAnsi="Times New Roman" w:cs="Times New Roman"/>
                <w:color w:val="auto"/>
                <w:sz w:val="24"/>
              </w:rPr>
              <w:t>项目建设地点位于</w:t>
            </w:r>
            <w:r>
              <w:rPr>
                <w:rFonts w:hint="eastAsia" w:ascii="Times New Roman" w:hAnsi="Times New Roman" w:cs="Times New Roman"/>
                <w:color w:val="auto"/>
                <w:sz w:val="24"/>
                <w:szCs w:val="24"/>
                <w:vertAlign w:val="baseline"/>
                <w:lang w:val="en-US" w:eastAsia="zh-CN"/>
              </w:rPr>
              <w:t>安徽萧县经济开发区白土镇智能制造产业园纬三路与青峰路交叉口</w:t>
            </w:r>
            <w:r>
              <w:rPr>
                <w:rFonts w:hint="eastAsia" w:ascii="Times New Roman" w:hAnsi="Times New Roman" w:cs="Times New Roman"/>
                <w:color w:val="auto"/>
                <w:sz w:val="24"/>
              </w:rPr>
              <w:t>，对照</w:t>
            </w:r>
            <w:r>
              <w:rPr>
                <w:rFonts w:hint="eastAsia" w:ascii="Times New Roman" w:hAnsi="Times New Roman" w:cs="Times New Roman"/>
                <w:color w:val="auto"/>
                <w:sz w:val="24"/>
                <w:lang w:eastAsia="zh-CN"/>
              </w:rPr>
              <w:t>《白土镇智能制造产业园控制性详细规划》-用地规划图</w:t>
            </w:r>
            <w:r>
              <w:rPr>
                <w:rFonts w:hint="eastAsia" w:ascii="Times New Roman" w:hAnsi="Times New Roman"/>
                <w:color w:val="auto"/>
                <w:sz w:val="24"/>
                <w:lang w:bidi="ar"/>
              </w:rPr>
              <w:t>，本项目选址处为</w:t>
            </w:r>
            <w:r>
              <w:rPr>
                <w:rFonts w:hint="eastAsia" w:ascii="Times New Roman" w:hAnsi="Times New Roman"/>
                <w:color w:val="auto"/>
                <w:sz w:val="24"/>
                <w:lang w:eastAsia="zh-CN" w:bidi="ar"/>
              </w:rPr>
              <w:t>工业用地</w:t>
            </w:r>
            <w:r>
              <w:rPr>
                <w:rFonts w:hint="eastAsia" w:ascii="Times New Roman" w:hAnsi="Times New Roman"/>
                <w:color w:val="auto"/>
                <w:sz w:val="24"/>
                <w:lang w:bidi="ar"/>
              </w:rPr>
              <w:t>，不占用基本农田</w:t>
            </w:r>
            <w:r>
              <w:rPr>
                <w:rFonts w:ascii="Times New Roman" w:hAnsi="Times New Roman" w:cs="Times New Roman"/>
                <w:color w:val="auto"/>
                <w:sz w:val="24"/>
              </w:rPr>
              <w:t>，不会突破土地资源利用上线。</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综合以上分析，本项目建设不会突破资源利用上线</w:t>
            </w:r>
            <w:r>
              <w:rPr>
                <w:rFonts w:hint="eastAsia" w:ascii="Times New Roman" w:hAnsi="Times New Roman" w:cs="Times New Roman"/>
                <w:color w:val="auto"/>
                <w:sz w:val="24"/>
              </w:rPr>
              <w:t>。</w:t>
            </w:r>
          </w:p>
          <w:p>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b w:val="0"/>
                <w:bCs w:val="0"/>
                <w:color w:val="auto"/>
                <w:sz w:val="24"/>
                <w:szCs w:val="24"/>
                <w:lang w:eastAsia="zh-CN"/>
              </w:rPr>
              <w:t>《宿州市土地资源重点管控区图》见附图</w:t>
            </w:r>
            <w:r>
              <w:rPr>
                <w:rFonts w:hint="eastAsia" w:ascii="Times New Roman" w:hAnsi="Times New Roman" w:cs="Times New Roman"/>
                <w:b w:val="0"/>
                <w:bCs w:val="0"/>
                <w:color w:val="auto"/>
                <w:sz w:val="24"/>
                <w:szCs w:val="24"/>
                <w:lang w:val="en-US" w:eastAsia="zh-CN"/>
              </w:rPr>
              <w:t>9，</w:t>
            </w:r>
            <w:r>
              <w:rPr>
                <w:rFonts w:hint="eastAsia" w:ascii="Times New Roman" w:hAnsi="Times New Roman" w:cs="Times New Roman"/>
                <w:color w:val="auto"/>
                <w:sz w:val="24"/>
                <w:szCs w:val="24"/>
                <w:lang w:eastAsia="zh-CN"/>
              </w:rPr>
              <w:t>《白土镇智能制造产业园控制性详细规划》-用地规划图见附图</w:t>
            </w:r>
            <w:r>
              <w:rPr>
                <w:rFonts w:hint="eastAsia" w:ascii="Times New Roman" w:hAnsi="Times New Roman" w:cs="Times New Roman"/>
                <w:color w:val="auto"/>
                <w:sz w:val="24"/>
                <w:szCs w:val="24"/>
                <w:lang w:val="en-US" w:eastAsia="zh-CN"/>
              </w:rPr>
              <w:t>10</w:t>
            </w:r>
            <w:r>
              <w:rPr>
                <w:rFonts w:hint="eastAsia"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w:t>
            </w:r>
            <w:r>
              <w:rPr>
                <w:rFonts w:hint="eastAsia" w:ascii="Times New Roman" w:hAnsi="Times New Roman" w:cs="Times New Roman"/>
                <w:color w:val="auto"/>
                <w:sz w:val="24"/>
                <w:szCs w:val="24"/>
                <w:lang w:eastAsia="zh-CN"/>
              </w:rPr>
              <w:t>生态环境</w:t>
            </w:r>
            <w:r>
              <w:rPr>
                <w:rFonts w:hint="default" w:ascii="Times New Roman" w:hAnsi="Times New Roman" w:cs="Times New Roman"/>
                <w:color w:val="auto"/>
                <w:sz w:val="24"/>
                <w:szCs w:val="24"/>
              </w:rPr>
              <w:t>准入清单相符性</w:t>
            </w:r>
          </w:p>
          <w:p>
            <w:pPr>
              <w:spacing w:line="360" w:lineRule="auto"/>
              <w:ind w:firstLine="480"/>
              <w:rPr>
                <w:rFonts w:hint="default"/>
                <w:b w:val="0"/>
                <w:bCs w:val="0"/>
                <w:color w:val="auto"/>
                <w:sz w:val="24"/>
                <w:szCs w:val="24"/>
                <w:lang w:val="en-US" w:eastAsia="zh-CN"/>
              </w:rPr>
            </w:pPr>
            <w:r>
              <w:rPr>
                <w:rFonts w:hint="eastAsia" w:ascii="Times New Roman" w:hAnsi="Times New Roman" w:cs="Times New Roman"/>
                <w:color w:val="auto"/>
                <w:sz w:val="24"/>
                <w:szCs w:val="24"/>
                <w:lang w:eastAsia="zh-CN"/>
              </w:rPr>
              <w:t>白土镇智能制造产业园生态环境准入清单见表</w:t>
            </w:r>
            <w:r>
              <w:rPr>
                <w:rFonts w:hint="eastAsia" w:ascii="Times New Roman" w:hAnsi="Times New Roman" w:cs="Times New Roman"/>
                <w:color w:val="auto"/>
                <w:sz w:val="24"/>
                <w:szCs w:val="24"/>
                <w:lang w:val="en-US" w:eastAsia="zh-CN"/>
              </w:rPr>
              <w:t>1.8。</w:t>
            </w:r>
          </w:p>
          <w:p>
            <w:pPr>
              <w:autoSpaceDE w:val="0"/>
              <w:autoSpaceDN w:val="0"/>
              <w:adjustRightInd w:val="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表</w:t>
            </w:r>
            <w:r>
              <w:rPr>
                <w:rFonts w:hint="default" w:ascii="Times New Roman" w:hAnsi="Times New Roman" w:cs="Times New Roman"/>
                <w:b/>
                <w:color w:val="auto"/>
                <w:kern w:val="0"/>
                <w:sz w:val="24"/>
                <w:lang w:val="en-US" w:eastAsia="zh-CN"/>
              </w:rPr>
              <w:t>1.</w:t>
            </w:r>
            <w:r>
              <w:rPr>
                <w:rFonts w:hint="eastAsia" w:ascii="Times New Roman" w:hAnsi="Times New Roman" w:cs="Times New Roman"/>
                <w:b/>
                <w:color w:val="auto"/>
                <w:kern w:val="0"/>
                <w:sz w:val="24"/>
                <w:lang w:val="en-US" w:eastAsia="zh-CN"/>
              </w:rPr>
              <w:t xml:space="preserve">8  </w:t>
            </w:r>
            <w:r>
              <w:rPr>
                <w:rFonts w:hint="eastAsia" w:ascii="Times New Roman" w:hAnsi="Times New Roman" w:cs="Times New Roman"/>
                <w:b/>
                <w:bCs/>
                <w:color w:val="auto"/>
                <w:sz w:val="24"/>
                <w:szCs w:val="24"/>
                <w:lang w:eastAsia="zh-CN"/>
              </w:rPr>
              <w:t>白土镇智能制造产业园生态环境准入清单</w:t>
            </w:r>
          </w:p>
          <w:tbl>
            <w:tblPr>
              <w:tblStyle w:val="24"/>
              <w:tblW w:w="878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30"/>
              <w:gridCol w:w="905"/>
              <w:gridCol w:w="3968"/>
              <w:gridCol w:w="2724"/>
              <w:gridCol w:w="5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清单类型</w:t>
                  </w:r>
                </w:p>
              </w:tc>
              <w:tc>
                <w:tcPr>
                  <w:tcW w:w="834"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管控类别</w:t>
                  </w:r>
                </w:p>
              </w:tc>
              <w:tc>
                <w:tcPr>
                  <w:tcW w:w="365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准入内容与管控要求</w:t>
                  </w:r>
                </w:p>
              </w:tc>
              <w:tc>
                <w:tcPr>
                  <w:tcW w:w="2510"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本项目情况</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相符性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restart"/>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空间布局约束</w:t>
                  </w:r>
                </w:p>
              </w:tc>
              <w:tc>
                <w:tcPr>
                  <w:tcW w:w="834"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禁止开发建设活动的要求</w:t>
                  </w: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钢铁、水泥、电解铝、平板玻璃、铸造等产能严重过剩行业新增产能项目，国家明令淘汰、禁止建设、不符合国家产业政策的项目以及新建燃煤自备锅炉建设项目。</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本项目不属于铁、水泥、电解铝、平板玻璃、铸造等重污染企业；本项目不涉及燃煤自备锅炉建设。</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834" w:type="dxa"/>
                  <w:vMerge w:val="restart"/>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禁止开发建设活动的要求</w:t>
                  </w: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淮河干流及主要支流岸线15公里范围内禁止建设没有环境容量和减排总量的项目。在岸线开发、河段利用、区域活动和产业发展等方面，全面执行国家长江经济带市场准入禁止限制目录。实施备案、环评、安评、能评等并联审批未落实生态环保、安全生产、能源节约要求的，一律不得开工建设。</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本项目属于淮河流域，不在干流及主要支流岸线15公里内；废水、废气均能做到达标排放。</w:t>
                  </w:r>
                  <w:r>
                    <w:rPr>
                      <w:rFonts w:hint="default"/>
                      <w:color w:val="auto"/>
                      <w:lang w:eastAsia="zh-CN"/>
                    </w:rPr>
                    <w:t>项目已</w:t>
                  </w:r>
                  <w:r>
                    <w:rPr>
                      <w:rFonts w:hint="default" w:ascii="Times New Roman" w:hAnsi="Times New Roman" w:cs="Times New Roman"/>
                      <w:color w:val="auto"/>
                      <w:lang w:eastAsia="zh-CN"/>
                    </w:rPr>
                    <w:t>于202</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年</w:t>
                  </w:r>
                  <w:r>
                    <w:rPr>
                      <w:rFonts w:hint="default" w:ascii="Times New Roman" w:hAnsi="Times New Roman" w:cs="Times New Roman"/>
                      <w:color w:val="auto"/>
                      <w:lang w:val="en-US" w:eastAsia="zh-CN"/>
                    </w:rPr>
                    <w:t>07</w:t>
                  </w:r>
                  <w:r>
                    <w:rPr>
                      <w:rFonts w:hint="default" w:ascii="Times New Roman" w:hAnsi="Times New Roman" w:cs="Times New Roman"/>
                      <w:color w:val="auto"/>
                      <w:lang w:eastAsia="zh-CN"/>
                    </w:rPr>
                    <w:t>月</w:t>
                  </w:r>
                  <w:r>
                    <w:rPr>
                      <w:rFonts w:hint="default" w:ascii="Times New Roman" w:hAnsi="Times New Roman" w:cs="Times New Roman"/>
                      <w:color w:val="auto"/>
                      <w:lang w:val="en-US" w:eastAsia="zh-CN"/>
                    </w:rPr>
                    <w:t>23</w:t>
                  </w:r>
                  <w:r>
                    <w:rPr>
                      <w:rFonts w:hint="default" w:ascii="Times New Roman" w:hAnsi="Times New Roman" w:cs="Times New Roman"/>
                      <w:color w:val="auto"/>
                      <w:lang w:eastAsia="zh-CN"/>
                    </w:rPr>
                    <w:t>日取得了《关于同意</w:t>
                  </w:r>
                  <w:r>
                    <w:rPr>
                      <w:rFonts w:hint="default" w:ascii="Times New Roman" w:hAnsi="Times New Roman" w:cs="Times New Roman"/>
                      <w:color w:val="auto"/>
                      <w:lang w:val="en-US" w:eastAsia="zh-CN"/>
                    </w:rPr>
                    <w:t>&lt;安徽戈巴迪智能装备股份有限公司</w:t>
                  </w:r>
                  <w:r>
                    <w:rPr>
                      <w:rFonts w:hint="default" w:ascii="Times New Roman" w:hAnsi="Times New Roman" w:cs="Times New Roman"/>
                      <w:color w:val="auto"/>
                      <w:lang w:eastAsia="zh-CN"/>
                    </w:rPr>
                    <w:t>年产500套矿山电厂环保降尘设备6000台矿山皮带输送类配套设备项目</w:t>
                  </w:r>
                  <w:r>
                    <w:rPr>
                      <w:rFonts w:hint="default" w:ascii="Times New Roman" w:hAnsi="Times New Roman" w:cs="Times New Roman"/>
                      <w:color w:val="auto"/>
                      <w:lang w:val="en-US" w:eastAsia="zh-CN"/>
                    </w:rPr>
                    <w:t>&gt;备案的函</w:t>
                  </w:r>
                  <w:r>
                    <w:rPr>
                      <w:rFonts w:hint="default" w:ascii="Times New Roman" w:hAnsi="Times New Roman" w:cs="Times New Roman"/>
                      <w:color w:val="auto"/>
                      <w:lang w:eastAsia="zh-CN"/>
                    </w:rPr>
                    <w:t>》（萧发改政务【</w:t>
                  </w:r>
                  <w:r>
                    <w:rPr>
                      <w:rFonts w:hint="default" w:ascii="Times New Roman" w:hAnsi="Times New Roman" w:cs="Times New Roman"/>
                      <w:color w:val="auto"/>
                      <w:lang w:val="en-US" w:eastAsia="zh-CN"/>
                    </w:rPr>
                    <w:t>2021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336号</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834"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安徽将禁止在淮河流域新建化学制浆造纸企业和印染、制革、化工、电镀、酿造等污染严重的小型企业。</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本项目不属于化学制浆造纸企业和印染、制革、化工、电镀、酿造等污染严重企业。</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834" w:type="dxa"/>
                  <w:vMerge w:val="restart"/>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限制开发建设活动的要求</w:t>
                  </w: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新建、改建、</w:t>
                  </w:r>
                  <w:r>
                    <w:rPr>
                      <w:rFonts w:hint="eastAsia" w:ascii="宋体" w:hAnsi="宋体" w:eastAsia="宋体" w:cs="宋体"/>
                      <w:color w:val="auto"/>
                      <w:lang w:val="en-US" w:eastAsia="zh-CN"/>
                    </w:rPr>
                    <w:t>扩建“两高”项目须符合生态环境保护法律法规和相关法定规划，满足重点污染物排放总量控制、碳排放达峰目标、生态环境准入清单、相关规划环评和相应行业建设项目环境准入条</w:t>
                  </w:r>
                  <w:r>
                    <w:rPr>
                      <w:rFonts w:hint="default" w:ascii="Times New Roman" w:hAnsi="Times New Roman" w:cs="Times New Roman"/>
                      <w:color w:val="auto"/>
                      <w:lang w:val="en-US" w:eastAsia="zh-CN"/>
                    </w:rPr>
                    <w:t>件、环评文件审批原则要求。</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eastAsia" w:ascii="Times New Roman" w:hAnsi="Times New Roman"/>
                      <w:b w:val="0"/>
                      <w:bCs w:val="0"/>
                      <w:color w:val="auto"/>
                      <w:sz w:val="21"/>
                      <w:szCs w:val="21"/>
                      <w:lang w:val="en-US" w:eastAsia="zh-CN"/>
                    </w:rPr>
                    <w:t>对照《关于印发&lt;安徽省“两高”项目管理目录（试行）&gt;的通知》（皖节能【2022】2号，2022年06月21日，安徽省节能减排及应对气候变化工作领导小组），本项目不属于“两高”项目。</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834"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新、改、扩建增加重金属污染物排放的项目</w:t>
                  </w:r>
                  <w:r>
                    <w:rPr>
                      <w:rFonts w:hint="eastAsia" w:ascii="Times New Roman" w:hAnsi="Times New Roman" w:cs="Times New Roman"/>
                      <w:color w:val="auto"/>
                      <w:lang w:val="en-US" w:eastAsia="zh-CN"/>
                    </w:rPr>
                    <w:t>。</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本项目不涉及重金属污染物排放。</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834"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严格限制在淮河流域新建印染、制革、化工、电镀、酿造等大中型项目或者其他污染严重的项目；建设该类项目的，应当事前征得省人民政府生态环境行政主管部门的同意，并按照规定办理有关手续。</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本项目不属于印染、制革、化工、电镀、酿造等大中型项目或者其他污染严重的项目。</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restart"/>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污染物排放管控</w:t>
                  </w:r>
                </w:p>
              </w:tc>
              <w:tc>
                <w:tcPr>
                  <w:tcW w:w="834" w:type="dxa"/>
                  <w:vMerge w:val="restart"/>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污染物排放总量限制要求</w:t>
                  </w: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规划建议园区大气污染物排放总量SO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0.21</w:t>
                  </w:r>
                  <w:r>
                    <w:rPr>
                      <w:rFonts w:hint="default" w:ascii="Times New Roman" w:hAnsi="Times New Roman" w:cs="Times New Roman"/>
                      <w:color w:val="auto"/>
                      <w:lang w:val="en-US" w:eastAsia="zh-CN"/>
                    </w:rPr>
                    <w:t>t/a、NO</w:t>
                  </w:r>
                  <w:r>
                    <w:rPr>
                      <w:rFonts w:hint="default" w:ascii="Times New Roman" w:hAnsi="Times New Roman" w:cs="Times New Roman"/>
                      <w:color w:val="auto"/>
                      <w:vertAlign w:val="subscript"/>
                      <w:lang w:val="en-US" w:eastAsia="zh-CN"/>
                    </w:rPr>
                    <w:t>x</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0.63</w:t>
                  </w:r>
                  <w:r>
                    <w:rPr>
                      <w:rFonts w:hint="default" w:ascii="Times New Roman" w:hAnsi="Times New Roman" w:cs="Times New Roman"/>
                      <w:color w:val="auto"/>
                      <w:lang w:val="en-US" w:eastAsia="zh-CN"/>
                    </w:rPr>
                    <w:t>t/a、粉（烟）尘：</w:t>
                  </w:r>
                  <w:r>
                    <w:rPr>
                      <w:rFonts w:hint="eastAsia" w:ascii="Times New Roman" w:hAnsi="Times New Roman" w:cs="Times New Roman"/>
                      <w:color w:val="auto"/>
                      <w:lang w:val="en-US" w:eastAsia="zh-CN"/>
                    </w:rPr>
                    <w:t>9.03</w:t>
                  </w:r>
                  <w:r>
                    <w:rPr>
                      <w:rFonts w:hint="default" w:ascii="Times New Roman" w:hAnsi="Times New Roman" w:cs="Times New Roman"/>
                      <w:color w:val="auto"/>
                      <w:lang w:val="en-US" w:eastAsia="zh-CN"/>
                    </w:rPr>
                    <w:t>t/a、非甲烷总烃：</w:t>
                  </w:r>
                  <w:r>
                    <w:rPr>
                      <w:rFonts w:hint="eastAsia" w:ascii="Times New Roman" w:hAnsi="Times New Roman" w:cs="Times New Roman"/>
                      <w:color w:val="auto"/>
                      <w:lang w:val="en-US" w:eastAsia="zh-CN"/>
                    </w:rPr>
                    <w:t>0.12</w:t>
                  </w:r>
                  <w:r>
                    <w:rPr>
                      <w:rFonts w:hint="default" w:ascii="Times New Roman" w:hAnsi="Times New Roman" w:cs="Times New Roman"/>
                      <w:color w:val="auto"/>
                      <w:lang w:val="en-US" w:eastAsia="zh-CN"/>
                    </w:rPr>
                    <w:t>t/a。</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420" w:firstLineChars="200"/>
                    <w:jc w:val="both"/>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宿州市生态环境局于202</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年</w:t>
                  </w:r>
                  <w:r>
                    <w:rPr>
                      <w:rFonts w:hint="eastAsia" w:ascii="Times New Roman" w:hAnsi="Times New Roman" w:cs="Times New Roman"/>
                      <w:color w:val="auto"/>
                      <w:sz w:val="21"/>
                      <w:szCs w:val="21"/>
                      <w:lang w:val="en-US" w:eastAsia="zh-CN"/>
                    </w:rPr>
                    <w:t>01</w:t>
                  </w:r>
                  <w:r>
                    <w:rPr>
                      <w:rFonts w:hint="default" w:ascii="Times New Roman" w:hAnsi="Times New Roman" w:cs="Times New Roman"/>
                      <w:color w:val="auto"/>
                      <w:sz w:val="21"/>
                      <w:szCs w:val="21"/>
                      <w:lang w:val="en-US" w:eastAsia="zh-CN"/>
                    </w:rPr>
                    <w:t>月</w:t>
                  </w:r>
                  <w:r>
                    <w:rPr>
                      <w:rFonts w:hint="eastAsia" w:ascii="Times New Roman" w:hAnsi="Times New Roman" w:cs="Times New Roman"/>
                      <w:color w:val="auto"/>
                      <w:sz w:val="21"/>
                      <w:szCs w:val="21"/>
                      <w:lang w:val="en-US" w:eastAsia="zh-CN"/>
                    </w:rPr>
                    <w:t>26日</w:t>
                  </w:r>
                  <w:r>
                    <w:rPr>
                      <w:rFonts w:hint="default" w:ascii="Times New Roman" w:hAnsi="Times New Roman" w:cs="Times New Roman"/>
                      <w:color w:val="auto"/>
                      <w:sz w:val="21"/>
                      <w:szCs w:val="21"/>
                      <w:lang w:val="en-US" w:eastAsia="zh-CN"/>
                    </w:rPr>
                    <w:t>下达了《</w:t>
                  </w:r>
                  <w:r>
                    <w:rPr>
                      <w:rFonts w:hint="eastAsia" w:ascii="Times New Roman" w:hAnsi="Times New Roman" w:cs="Times New Roman"/>
                      <w:color w:val="auto"/>
                      <w:sz w:val="21"/>
                      <w:szCs w:val="21"/>
                      <w:lang w:eastAsia="zh-CN"/>
                    </w:rPr>
                    <w:t>安徽戈巴迪智能装备股份有限公司年产500套矿山电厂环保降尘设备6000台矿山皮带输送类配套设备项目</w:t>
                  </w:r>
                  <w:r>
                    <w:rPr>
                      <w:rFonts w:hint="default" w:ascii="Times New Roman" w:hAnsi="Times New Roman" w:cs="Times New Roman"/>
                      <w:color w:val="auto"/>
                      <w:sz w:val="21"/>
                      <w:szCs w:val="21"/>
                      <w:lang w:val="en-US" w:eastAsia="zh-CN"/>
                    </w:rPr>
                    <w:t>主要污染物排放总量指标核定表（试行）》：</w:t>
                  </w: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烟（粉）尘</w:t>
                  </w:r>
                  <w:r>
                    <w:rPr>
                      <w:rFonts w:hint="eastAsia" w:ascii="Times New Roman" w:hAnsi="Times New Roman" w:cs="Times New Roman"/>
                      <w:color w:val="auto"/>
                      <w:sz w:val="21"/>
                      <w:szCs w:val="21"/>
                      <w:lang w:val="en-US" w:eastAsia="zh-CN"/>
                    </w:rPr>
                    <w:t>0.9930</w:t>
                  </w:r>
                  <w:r>
                    <w:rPr>
                      <w:rFonts w:hint="default" w:ascii="Times New Roman" w:hAnsi="Times New Roman" w:cs="Times New Roman"/>
                      <w:color w:val="auto"/>
                      <w:sz w:val="21"/>
                      <w:szCs w:val="21"/>
                      <w:lang w:val="en-US" w:eastAsia="zh-CN"/>
                    </w:rPr>
                    <w:t>吨/</w:t>
                  </w:r>
                  <w:r>
                    <w:rPr>
                      <w:rFonts w:hint="default" w:ascii="Times New Roman" w:hAnsi="Times New Roman" w:eastAsia="宋体" w:cs="Times New Roman"/>
                      <w:color w:val="auto"/>
                      <w:sz w:val="21"/>
                      <w:szCs w:val="21"/>
                      <w:lang w:val="en-US" w:eastAsia="zh-CN"/>
                    </w:rPr>
                    <w:t>年、挥发性有机物</w:t>
                  </w:r>
                  <w:r>
                    <w:rPr>
                      <w:rFonts w:hint="eastAsia" w:ascii="Times New Roman" w:hAnsi="Times New Roman" w:eastAsia="宋体" w:cs="Times New Roman"/>
                      <w:color w:val="auto"/>
                      <w:sz w:val="21"/>
                      <w:szCs w:val="21"/>
                      <w:lang w:val="en-US" w:eastAsia="zh-CN"/>
                    </w:rPr>
                    <w:t>0.2963</w:t>
                  </w:r>
                  <w:r>
                    <w:rPr>
                      <w:rFonts w:hint="default" w:ascii="Times New Roman" w:hAnsi="Times New Roman" w:eastAsia="宋体" w:cs="Times New Roman"/>
                      <w:color w:val="auto"/>
                      <w:sz w:val="21"/>
                      <w:szCs w:val="21"/>
                      <w:lang w:val="en-US" w:eastAsia="zh-CN"/>
                    </w:rPr>
                    <w:t>吨/年、二氧化硫</w:t>
                  </w:r>
                  <w:r>
                    <w:rPr>
                      <w:rFonts w:hint="eastAsia" w:ascii="Times New Roman" w:hAnsi="Times New Roman" w:eastAsia="宋体" w:cs="Times New Roman"/>
                      <w:color w:val="auto"/>
                      <w:sz w:val="21"/>
                      <w:szCs w:val="21"/>
                      <w:lang w:val="en-US" w:eastAsia="zh-CN"/>
                    </w:rPr>
                    <w:t>0.0800</w:t>
                  </w:r>
                  <w:r>
                    <w:rPr>
                      <w:rFonts w:hint="default" w:ascii="Times New Roman" w:hAnsi="Times New Roman" w:eastAsia="宋体" w:cs="Times New Roman"/>
                      <w:color w:val="auto"/>
                      <w:sz w:val="21"/>
                      <w:szCs w:val="21"/>
                      <w:lang w:val="en-US" w:eastAsia="zh-CN"/>
                    </w:rPr>
                    <w:t>吨/年、氮氧化物0.</w:t>
                  </w:r>
                  <w:r>
                    <w:rPr>
                      <w:rFonts w:hint="eastAsia" w:ascii="Times New Roman" w:hAnsi="Times New Roman" w:eastAsia="宋体" w:cs="Times New Roman"/>
                      <w:color w:val="auto"/>
                      <w:sz w:val="21"/>
                      <w:szCs w:val="21"/>
                      <w:lang w:val="en-US" w:eastAsia="zh-CN"/>
                    </w:rPr>
                    <w:t>1872</w:t>
                  </w:r>
                  <w:r>
                    <w:rPr>
                      <w:rFonts w:hint="default" w:ascii="Times New Roman" w:hAnsi="Times New Roman" w:eastAsia="宋体" w:cs="Times New Roman"/>
                      <w:color w:val="auto"/>
                      <w:sz w:val="21"/>
                      <w:szCs w:val="21"/>
                      <w:lang w:val="en-US" w:eastAsia="zh-CN"/>
                    </w:rPr>
                    <w:t>吨/</w:t>
                  </w:r>
                  <w:r>
                    <w:rPr>
                      <w:rFonts w:hint="eastAsia" w:ascii="宋体" w:hAnsi="宋体" w:eastAsia="宋体" w:cs="宋体"/>
                      <w:color w:val="auto"/>
                      <w:sz w:val="21"/>
                      <w:szCs w:val="21"/>
                      <w:lang w:val="en-US" w:eastAsia="zh-CN"/>
                    </w:rPr>
                    <w:t>年”。</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420" w:firstLineChars="200"/>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sz w:val="21"/>
                      <w:szCs w:val="21"/>
                      <w:lang w:val="en-US" w:eastAsia="zh-CN"/>
                    </w:rPr>
                    <w:t>本项目运营期挥发性有机物</w:t>
                  </w:r>
                  <w:r>
                    <w:rPr>
                      <w:rFonts w:hint="eastAsia" w:ascii="Times New Roman" w:hAnsi="Times New Roman" w:cs="Times New Roman"/>
                      <w:color w:val="auto"/>
                      <w:sz w:val="21"/>
                      <w:szCs w:val="21"/>
                      <w:lang w:val="en-US" w:eastAsia="zh-CN"/>
                    </w:rPr>
                    <w:t>最终排放量为0.21332</w:t>
                  </w:r>
                  <w:r>
                    <w:rPr>
                      <w:rFonts w:hint="default" w:ascii="Times New Roman" w:hAnsi="Times New Roman" w:cs="Times New Roman"/>
                      <w:color w:val="auto"/>
                      <w:sz w:val="21"/>
                      <w:szCs w:val="21"/>
                      <w:lang w:val="en-US" w:eastAsia="zh-CN"/>
                    </w:rPr>
                    <w:t>t/a，颗粒物</w:t>
                  </w:r>
                  <w:r>
                    <w:rPr>
                      <w:rFonts w:hint="eastAsia" w:ascii="Times New Roman" w:hAnsi="Times New Roman" w:cs="Times New Roman"/>
                      <w:color w:val="auto"/>
                      <w:sz w:val="21"/>
                      <w:szCs w:val="21"/>
                      <w:lang w:val="en-US" w:eastAsia="zh-CN"/>
                    </w:rPr>
                    <w:t>最终排放量0.51165</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二氧化硫</w:t>
                  </w:r>
                  <w:r>
                    <w:rPr>
                      <w:rFonts w:hint="eastAsia" w:ascii="Times New Roman" w:hAnsi="Times New Roman" w:cs="Times New Roman"/>
                      <w:color w:val="auto"/>
                      <w:sz w:val="21"/>
                      <w:szCs w:val="21"/>
                      <w:lang w:val="en-US" w:eastAsia="zh-CN"/>
                    </w:rPr>
                    <w:t>最终排放量为0.0080</w:t>
                  </w:r>
                  <w:r>
                    <w:rPr>
                      <w:rFonts w:hint="default" w:ascii="Times New Roman" w:hAnsi="Times New Roman" w:cs="Times New Roman"/>
                      <w:color w:val="auto"/>
                      <w:sz w:val="21"/>
                      <w:szCs w:val="21"/>
                      <w:lang w:val="en-US" w:eastAsia="zh-CN"/>
                    </w:rPr>
                    <w:t>t/a，</w:t>
                  </w:r>
                  <w:r>
                    <w:rPr>
                      <w:rFonts w:hint="default" w:ascii="Times New Roman" w:hAnsi="Times New Roman" w:eastAsia="宋体" w:cs="Times New Roman"/>
                      <w:color w:val="auto"/>
                      <w:sz w:val="21"/>
                      <w:szCs w:val="21"/>
                      <w:lang w:val="en-US" w:eastAsia="zh-CN"/>
                    </w:rPr>
                    <w:t>氮氧化物</w:t>
                  </w:r>
                  <w:r>
                    <w:rPr>
                      <w:rFonts w:hint="eastAsia" w:ascii="Times New Roman" w:hAnsi="Times New Roman" w:cs="Times New Roman"/>
                      <w:color w:val="auto"/>
                      <w:sz w:val="21"/>
                      <w:szCs w:val="21"/>
                      <w:lang w:val="en-US" w:eastAsia="zh-CN"/>
                    </w:rPr>
                    <w:t>最终排放量0.1872</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，满足宿州市生态环境局</w:t>
                  </w:r>
                  <w:r>
                    <w:rPr>
                      <w:rFonts w:hint="default" w:ascii="Times New Roman" w:hAnsi="Times New Roman" w:cs="Times New Roman"/>
                      <w:color w:val="auto"/>
                      <w:sz w:val="21"/>
                      <w:szCs w:val="21"/>
                      <w:lang w:val="en-US" w:eastAsia="zh-CN"/>
                    </w:rPr>
                    <w:t>给与本项目主要污染物排放容量</w:t>
                  </w:r>
                  <w:r>
                    <w:rPr>
                      <w:rFonts w:hint="eastAsia" w:ascii="Times New Roman" w:hAnsi="Times New Roman" w:cs="Times New Roman"/>
                      <w:color w:val="auto"/>
                      <w:sz w:val="21"/>
                      <w:szCs w:val="21"/>
                      <w:lang w:val="en-US" w:eastAsia="zh-CN"/>
                    </w:rPr>
                    <w:t>。</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834"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规划建议园区废水污染物排放总量COD：</w:t>
                  </w:r>
                  <w:r>
                    <w:rPr>
                      <w:rFonts w:hint="eastAsia" w:ascii="Times New Roman" w:hAnsi="Times New Roman" w:cs="Times New Roman"/>
                      <w:color w:val="auto"/>
                      <w:lang w:val="en-US" w:eastAsia="zh-CN"/>
                    </w:rPr>
                    <w:t>5.77</w:t>
                  </w:r>
                  <w:r>
                    <w:rPr>
                      <w:rFonts w:hint="default" w:ascii="Times New Roman" w:hAnsi="Times New Roman" w:cs="Times New Roman"/>
                      <w:color w:val="auto"/>
                      <w:lang w:val="en-US" w:eastAsia="zh-CN"/>
                    </w:rPr>
                    <w:t>t/a、NH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0.577</w:t>
                  </w:r>
                  <w:r>
                    <w:rPr>
                      <w:rFonts w:hint="default" w:ascii="Times New Roman" w:hAnsi="Times New Roman" w:cs="Times New Roman"/>
                      <w:color w:val="auto"/>
                      <w:lang w:val="en-US" w:eastAsia="zh-CN"/>
                    </w:rPr>
                    <w:t>t/a。</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1"/>
                      <w:szCs w:val="21"/>
                      <w:lang w:eastAsia="zh-CN"/>
                    </w:rPr>
                    <w:t>项目</w:t>
                  </w:r>
                  <w:r>
                    <w:rPr>
                      <w:rFonts w:hint="eastAsia" w:ascii="Times New Roman" w:hAnsi="Times New Roman" w:cs="Times New Roman"/>
                      <w:color w:val="auto"/>
                      <w:sz w:val="21"/>
                      <w:szCs w:val="21"/>
                      <w:lang w:eastAsia="zh-CN"/>
                    </w:rPr>
                    <w:t>运营期无生产性废水产生及排放</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生活污水经厂区</w:t>
                  </w:r>
                  <w:r>
                    <w:rPr>
                      <w:rFonts w:hint="default" w:ascii="Times New Roman" w:hAnsi="Times New Roman" w:cs="Times New Roman"/>
                      <w:color w:val="auto"/>
                      <w:sz w:val="21"/>
                      <w:szCs w:val="21"/>
                      <w:lang w:eastAsia="zh-CN"/>
                    </w:rPr>
                    <w:t>自建</w:t>
                  </w:r>
                  <w:r>
                    <w:rPr>
                      <w:rFonts w:hint="eastAsia" w:ascii="Times New Roman" w:hAnsi="Times New Roman" w:cs="Times New Roman"/>
                      <w:color w:val="auto"/>
                      <w:sz w:val="21"/>
                      <w:szCs w:val="21"/>
                      <w:lang w:eastAsia="zh-CN"/>
                    </w:rPr>
                    <w:t>“隔油池</w:t>
                  </w:r>
                  <w:r>
                    <w:rPr>
                      <w:rFonts w:hint="eastAsia" w:ascii="Times New Roman" w:hAnsi="Times New Roman" w:cs="Times New Roman"/>
                      <w:color w:val="auto"/>
                      <w:sz w:val="21"/>
                      <w:szCs w:val="21"/>
                      <w:lang w:val="en-US" w:eastAsia="zh-CN"/>
                    </w:rPr>
                    <w:t>+化粪池</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预</w:t>
                  </w:r>
                  <w:r>
                    <w:rPr>
                      <w:rFonts w:hint="default" w:ascii="Times New Roman" w:hAnsi="Times New Roman" w:cs="Times New Roman"/>
                      <w:color w:val="auto"/>
                      <w:sz w:val="21"/>
                      <w:szCs w:val="21"/>
                    </w:rPr>
                    <w:t>处理达《污水综合排放标准》（GB8978-1996）表4中三级标准及</w:t>
                  </w:r>
                  <w:r>
                    <w:rPr>
                      <w:rFonts w:hint="eastAsia" w:ascii="宋体" w:hAnsi="宋体" w:eastAsia="宋体" w:cs="宋体"/>
                      <w:color w:val="auto"/>
                      <w:sz w:val="21"/>
                      <w:szCs w:val="21"/>
                      <w:lang w:val="en-US" w:eastAsia="zh-CN"/>
                    </w:rPr>
                    <w:t>萧县清源污水处理有限公司</w:t>
                  </w:r>
                  <w:r>
                    <w:rPr>
                      <w:rFonts w:hint="default" w:ascii="Times New Roman" w:hAnsi="Times New Roman" w:cs="Times New Roman"/>
                      <w:color w:val="auto"/>
                      <w:sz w:val="21"/>
                      <w:szCs w:val="21"/>
                    </w:rPr>
                    <w:t>接管</w:t>
                  </w:r>
                  <w:r>
                    <w:rPr>
                      <w:rFonts w:hint="eastAsia" w:ascii="Times New Roman" w:hAnsi="Times New Roman" w:cs="Times New Roman"/>
                      <w:color w:val="auto"/>
                      <w:sz w:val="21"/>
                      <w:szCs w:val="21"/>
                      <w:lang w:eastAsia="zh-CN"/>
                    </w:rPr>
                    <w:t>限值后</w:t>
                  </w:r>
                  <w:r>
                    <w:rPr>
                      <w:rFonts w:hint="default" w:ascii="Times New Roman" w:hAnsi="Times New Roman" w:cs="Times New Roman"/>
                      <w:color w:val="auto"/>
                      <w:sz w:val="21"/>
                      <w:szCs w:val="21"/>
                    </w:rPr>
                    <w:t>排入</w:t>
                  </w:r>
                  <w:r>
                    <w:rPr>
                      <w:rFonts w:hint="eastAsia" w:ascii="宋体" w:hAnsi="宋体" w:eastAsia="宋体" w:cs="宋体"/>
                      <w:color w:val="auto"/>
                      <w:sz w:val="21"/>
                      <w:szCs w:val="21"/>
                      <w:lang w:val="en-US" w:eastAsia="zh-CN"/>
                    </w:rPr>
                    <w:t>萧县清源污水处理有限公司</w:t>
                  </w:r>
                  <w:r>
                    <w:rPr>
                      <w:rFonts w:hint="default" w:ascii="Times New Roman" w:hAnsi="Times New Roman" w:cs="Times New Roman"/>
                      <w:color w:val="auto"/>
                      <w:sz w:val="21"/>
                      <w:szCs w:val="21"/>
                    </w:rPr>
                    <w:t>处理达《城镇污水处理厂污染物排放标准》（GB18918-2002）表1中一级</w:t>
                  </w:r>
                  <w:r>
                    <w:rPr>
                      <w:rFonts w:hint="default" w:ascii="Times New Roman" w:hAnsi="Times New Roman" w:cs="Times New Roman"/>
                      <w:color w:val="auto"/>
                      <w:sz w:val="21"/>
                      <w:szCs w:val="21"/>
                      <w:lang w:eastAsia="zh-CN"/>
                    </w:rPr>
                    <w:t>标准</w:t>
                  </w:r>
                  <w:r>
                    <w:rPr>
                      <w:rFonts w:hint="default" w:ascii="Times New Roman" w:hAnsi="Times New Roman" w:cs="Times New Roman"/>
                      <w:color w:val="auto"/>
                      <w:sz w:val="21"/>
                      <w:szCs w:val="21"/>
                    </w:rPr>
                    <w:t>A标准后排入</w:t>
                  </w:r>
                  <w:r>
                    <w:rPr>
                      <w:rFonts w:hint="eastAsia" w:ascii="Times New Roman" w:hAnsi="Times New Roman" w:cs="Times New Roman"/>
                      <w:color w:val="auto"/>
                      <w:sz w:val="21"/>
                      <w:szCs w:val="21"/>
                      <w:lang w:eastAsia="zh-CN"/>
                    </w:rPr>
                    <w:t>倒流河</w:t>
                  </w:r>
                  <w:r>
                    <w:rPr>
                      <w:rFonts w:hint="default" w:ascii="Times New Roman" w:hAnsi="Times New Roman" w:cs="Times New Roman"/>
                      <w:color w:val="auto"/>
                      <w:sz w:val="21"/>
                      <w:szCs w:val="21"/>
                      <w:lang w:val="en-US" w:eastAsia="zh-CN"/>
                    </w:rPr>
                    <w:t>，在萧县清源污水处理有限公司内平衡，无需申请总量。</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834" w:type="dxa"/>
                  <w:vMerge w:val="restart"/>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其他污染物排放管控要求</w:t>
                  </w: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大气主要污染物总量指标实行区域内等量或倍量削减替代。单位工业增加值废水排放量≤7t/万元，单位工业增加值固废产生量≤0.1t/万元，单位工业增加值COD排放量≤1.0kg/万元，单位工业增加值SO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排放量≤1.0kg/万元。</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420" w:firstLineChars="200"/>
                    <w:jc w:val="both"/>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宿州市生态环境局于202</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年</w:t>
                  </w:r>
                  <w:r>
                    <w:rPr>
                      <w:rFonts w:hint="eastAsia" w:ascii="Times New Roman" w:hAnsi="Times New Roman" w:cs="Times New Roman"/>
                      <w:color w:val="auto"/>
                      <w:sz w:val="21"/>
                      <w:szCs w:val="21"/>
                      <w:lang w:val="en-US" w:eastAsia="zh-CN"/>
                    </w:rPr>
                    <w:t>01</w:t>
                  </w:r>
                  <w:r>
                    <w:rPr>
                      <w:rFonts w:hint="default" w:ascii="Times New Roman" w:hAnsi="Times New Roman" w:cs="Times New Roman"/>
                      <w:color w:val="auto"/>
                      <w:sz w:val="21"/>
                      <w:szCs w:val="21"/>
                      <w:lang w:val="en-US" w:eastAsia="zh-CN"/>
                    </w:rPr>
                    <w:t>月</w:t>
                  </w:r>
                  <w:r>
                    <w:rPr>
                      <w:rFonts w:hint="eastAsia" w:ascii="Times New Roman" w:hAnsi="Times New Roman" w:cs="Times New Roman"/>
                      <w:color w:val="auto"/>
                      <w:sz w:val="21"/>
                      <w:szCs w:val="21"/>
                      <w:lang w:val="en-US" w:eastAsia="zh-CN"/>
                    </w:rPr>
                    <w:t>26日</w:t>
                  </w:r>
                  <w:r>
                    <w:rPr>
                      <w:rFonts w:hint="default" w:ascii="Times New Roman" w:hAnsi="Times New Roman" w:cs="Times New Roman"/>
                      <w:color w:val="auto"/>
                      <w:sz w:val="21"/>
                      <w:szCs w:val="21"/>
                      <w:lang w:val="en-US" w:eastAsia="zh-CN"/>
                    </w:rPr>
                    <w:t>下达了《</w:t>
                  </w:r>
                  <w:r>
                    <w:rPr>
                      <w:rFonts w:hint="eastAsia" w:ascii="Times New Roman" w:hAnsi="Times New Roman" w:cs="Times New Roman"/>
                      <w:color w:val="auto"/>
                      <w:sz w:val="21"/>
                      <w:szCs w:val="21"/>
                      <w:lang w:eastAsia="zh-CN"/>
                    </w:rPr>
                    <w:t>安徽戈巴迪智能装备股份有限公司年产500套矿山电厂环保降尘设备6000台矿山皮带输送类配套设备项目</w:t>
                  </w:r>
                  <w:r>
                    <w:rPr>
                      <w:rFonts w:hint="default" w:ascii="Times New Roman" w:hAnsi="Times New Roman" w:cs="Times New Roman"/>
                      <w:color w:val="auto"/>
                      <w:sz w:val="21"/>
                      <w:szCs w:val="21"/>
                      <w:lang w:val="en-US" w:eastAsia="zh-CN"/>
                    </w:rPr>
                    <w:t>主要污染物排放总量指标核定表（试行）》：</w:t>
                  </w: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烟（粉）尘</w:t>
                  </w:r>
                  <w:r>
                    <w:rPr>
                      <w:rFonts w:hint="eastAsia" w:ascii="Times New Roman" w:hAnsi="Times New Roman" w:cs="Times New Roman"/>
                      <w:color w:val="auto"/>
                      <w:sz w:val="21"/>
                      <w:szCs w:val="21"/>
                      <w:lang w:val="en-US" w:eastAsia="zh-CN"/>
                    </w:rPr>
                    <w:t>0.9930</w:t>
                  </w:r>
                  <w:r>
                    <w:rPr>
                      <w:rFonts w:hint="default" w:ascii="Times New Roman" w:hAnsi="Times New Roman" w:cs="Times New Roman"/>
                      <w:color w:val="auto"/>
                      <w:sz w:val="21"/>
                      <w:szCs w:val="21"/>
                      <w:lang w:val="en-US" w:eastAsia="zh-CN"/>
                    </w:rPr>
                    <w:t>吨/</w:t>
                  </w:r>
                  <w:r>
                    <w:rPr>
                      <w:rFonts w:hint="default" w:ascii="Times New Roman" w:hAnsi="Times New Roman" w:eastAsia="宋体" w:cs="Times New Roman"/>
                      <w:color w:val="auto"/>
                      <w:sz w:val="21"/>
                      <w:szCs w:val="21"/>
                      <w:lang w:val="en-US" w:eastAsia="zh-CN"/>
                    </w:rPr>
                    <w:t>年、挥发性有机物</w:t>
                  </w:r>
                  <w:r>
                    <w:rPr>
                      <w:rFonts w:hint="eastAsia" w:ascii="Times New Roman" w:hAnsi="Times New Roman" w:eastAsia="宋体" w:cs="Times New Roman"/>
                      <w:color w:val="auto"/>
                      <w:sz w:val="21"/>
                      <w:szCs w:val="21"/>
                      <w:lang w:val="en-US" w:eastAsia="zh-CN"/>
                    </w:rPr>
                    <w:t>0.2963</w:t>
                  </w:r>
                  <w:r>
                    <w:rPr>
                      <w:rFonts w:hint="default" w:ascii="Times New Roman" w:hAnsi="Times New Roman" w:eastAsia="宋体" w:cs="Times New Roman"/>
                      <w:color w:val="auto"/>
                      <w:sz w:val="21"/>
                      <w:szCs w:val="21"/>
                      <w:lang w:val="en-US" w:eastAsia="zh-CN"/>
                    </w:rPr>
                    <w:t>吨/年、二氧化硫</w:t>
                  </w:r>
                  <w:r>
                    <w:rPr>
                      <w:rFonts w:hint="eastAsia" w:ascii="Times New Roman" w:hAnsi="Times New Roman" w:eastAsia="宋体" w:cs="Times New Roman"/>
                      <w:color w:val="auto"/>
                      <w:sz w:val="21"/>
                      <w:szCs w:val="21"/>
                      <w:lang w:val="en-US" w:eastAsia="zh-CN"/>
                    </w:rPr>
                    <w:t>0.0800</w:t>
                  </w:r>
                  <w:r>
                    <w:rPr>
                      <w:rFonts w:hint="default" w:ascii="Times New Roman" w:hAnsi="Times New Roman" w:eastAsia="宋体" w:cs="Times New Roman"/>
                      <w:color w:val="auto"/>
                      <w:sz w:val="21"/>
                      <w:szCs w:val="21"/>
                      <w:lang w:val="en-US" w:eastAsia="zh-CN"/>
                    </w:rPr>
                    <w:t>吨/年、氮氧化物0.</w:t>
                  </w:r>
                  <w:r>
                    <w:rPr>
                      <w:rFonts w:hint="eastAsia" w:ascii="Times New Roman" w:hAnsi="Times New Roman" w:eastAsia="宋体" w:cs="Times New Roman"/>
                      <w:color w:val="auto"/>
                      <w:sz w:val="21"/>
                      <w:szCs w:val="21"/>
                      <w:lang w:val="en-US" w:eastAsia="zh-CN"/>
                    </w:rPr>
                    <w:t>1872</w:t>
                  </w:r>
                  <w:r>
                    <w:rPr>
                      <w:rFonts w:hint="default" w:ascii="Times New Roman" w:hAnsi="Times New Roman" w:eastAsia="宋体" w:cs="Times New Roman"/>
                      <w:color w:val="auto"/>
                      <w:sz w:val="21"/>
                      <w:szCs w:val="21"/>
                      <w:lang w:val="en-US" w:eastAsia="zh-CN"/>
                    </w:rPr>
                    <w:t>吨/</w:t>
                  </w:r>
                  <w:r>
                    <w:rPr>
                      <w:rFonts w:hint="eastAsia" w:ascii="宋体" w:hAnsi="宋体" w:eastAsia="宋体" w:cs="宋体"/>
                      <w:color w:val="auto"/>
                      <w:sz w:val="21"/>
                      <w:szCs w:val="21"/>
                      <w:lang w:val="en-US" w:eastAsia="zh-CN"/>
                    </w:rPr>
                    <w:t>年”。</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1"/>
                      <w:szCs w:val="21"/>
                      <w:lang w:val="en-US" w:eastAsia="zh-CN"/>
                    </w:rPr>
                    <w:t>本项目运营期挥发性有机物</w:t>
                  </w:r>
                  <w:r>
                    <w:rPr>
                      <w:rFonts w:hint="eastAsia" w:ascii="Times New Roman" w:hAnsi="Times New Roman" w:cs="Times New Roman"/>
                      <w:color w:val="auto"/>
                      <w:sz w:val="21"/>
                      <w:szCs w:val="21"/>
                      <w:lang w:val="en-US" w:eastAsia="zh-CN"/>
                    </w:rPr>
                    <w:t>最终排放量为0.21332</w:t>
                  </w:r>
                  <w:r>
                    <w:rPr>
                      <w:rFonts w:hint="default" w:ascii="Times New Roman" w:hAnsi="Times New Roman" w:cs="Times New Roman"/>
                      <w:color w:val="auto"/>
                      <w:sz w:val="21"/>
                      <w:szCs w:val="21"/>
                      <w:lang w:val="en-US" w:eastAsia="zh-CN"/>
                    </w:rPr>
                    <w:t>t/a，颗粒物</w:t>
                  </w:r>
                  <w:r>
                    <w:rPr>
                      <w:rFonts w:hint="eastAsia" w:ascii="Times New Roman" w:hAnsi="Times New Roman" w:cs="Times New Roman"/>
                      <w:color w:val="auto"/>
                      <w:sz w:val="21"/>
                      <w:szCs w:val="21"/>
                      <w:lang w:val="en-US" w:eastAsia="zh-CN"/>
                    </w:rPr>
                    <w:t>最终排放量0.51165</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二氧化硫</w:t>
                  </w:r>
                  <w:r>
                    <w:rPr>
                      <w:rFonts w:hint="eastAsia" w:ascii="Times New Roman" w:hAnsi="Times New Roman" w:cs="Times New Roman"/>
                      <w:color w:val="auto"/>
                      <w:sz w:val="21"/>
                      <w:szCs w:val="21"/>
                      <w:lang w:val="en-US" w:eastAsia="zh-CN"/>
                    </w:rPr>
                    <w:t>最终排放量为0.0080</w:t>
                  </w:r>
                  <w:r>
                    <w:rPr>
                      <w:rFonts w:hint="default" w:ascii="Times New Roman" w:hAnsi="Times New Roman" w:cs="Times New Roman"/>
                      <w:color w:val="auto"/>
                      <w:sz w:val="21"/>
                      <w:szCs w:val="21"/>
                      <w:lang w:val="en-US" w:eastAsia="zh-CN"/>
                    </w:rPr>
                    <w:t>t/a，</w:t>
                  </w:r>
                  <w:r>
                    <w:rPr>
                      <w:rFonts w:hint="default" w:ascii="Times New Roman" w:hAnsi="Times New Roman" w:eastAsia="宋体" w:cs="Times New Roman"/>
                      <w:color w:val="auto"/>
                      <w:sz w:val="21"/>
                      <w:szCs w:val="21"/>
                      <w:lang w:val="en-US" w:eastAsia="zh-CN"/>
                    </w:rPr>
                    <w:t>氮氧化物</w:t>
                  </w:r>
                  <w:r>
                    <w:rPr>
                      <w:rFonts w:hint="eastAsia" w:ascii="Times New Roman" w:hAnsi="Times New Roman" w:cs="Times New Roman"/>
                      <w:color w:val="auto"/>
                      <w:sz w:val="21"/>
                      <w:szCs w:val="21"/>
                      <w:lang w:val="en-US" w:eastAsia="zh-CN"/>
                    </w:rPr>
                    <w:t>最终排放量0.1872</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，满足宿州市生态环境局</w:t>
                  </w:r>
                  <w:r>
                    <w:rPr>
                      <w:rFonts w:hint="default" w:ascii="Times New Roman" w:hAnsi="Times New Roman" w:cs="Times New Roman"/>
                      <w:color w:val="auto"/>
                      <w:sz w:val="21"/>
                      <w:szCs w:val="21"/>
                      <w:lang w:val="en-US" w:eastAsia="zh-CN"/>
                    </w:rPr>
                    <w:t>给与本项目主要污染物排放容量</w:t>
                  </w:r>
                  <w:r>
                    <w:rPr>
                      <w:rFonts w:hint="eastAsia" w:ascii="Times New Roman" w:hAnsi="Times New Roman" w:cs="Times New Roman"/>
                      <w:color w:val="auto"/>
                      <w:sz w:val="21"/>
                      <w:szCs w:val="21"/>
                      <w:lang w:val="en-US" w:eastAsia="zh-CN"/>
                    </w:rPr>
                    <w:t>。</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834"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eastAsia" w:ascii="宋体" w:hAnsi="宋体" w:eastAsia="宋体" w:cs="宋体"/>
                      <w:color w:val="auto"/>
                      <w:lang w:val="en-US" w:eastAsia="zh-CN"/>
                    </w:rPr>
                    <w:t>新、改、扩建涉重金属重点行业建设项目必须遵循重点重金属污染物排放“减量置换”或“等量替换”的原则，应在本省（区、市）行政区域内有明确具体的重金属污染物排放总量来源。</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restart"/>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环境风险防控</w:t>
                  </w:r>
                </w:p>
              </w:tc>
              <w:tc>
                <w:tcPr>
                  <w:tcW w:w="834" w:type="dxa"/>
                  <w:vMerge w:val="restart"/>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环境风险防控要求</w:t>
                  </w: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强环境应急预案编制与备案管理，推进跨部门、跨区域、跨流域监管与应急协调联动机制建设，建立流域突发环境事件监控预警与应急平台，强化环境应急队伍建设和物资储备，提升环境应急协调联动能力。建立健全船舶环保标准，提升港口和船舶污染物的接收、转运及处置能力，并加强设施间的衔接；加强危化品道路运输风险管控及运输过程安全监管，严防交通运输次生突发环境事件风险。</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企业承诺项目建成后及时编制突发环境事件应急预案，落实环境风险防控措施，定期开展隐患排查和培训。</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834"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园区内部分区域紧邻居住、科教等环境敏感目标的工业用地，禁止新建环境风险潜势等级高的建设项目。</w:t>
                  </w:r>
                </w:p>
              </w:tc>
              <w:tc>
                <w:tcPr>
                  <w:tcW w:w="251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本项目不属于环境风险潜势等级高的建设项目。</w:t>
                  </w:r>
                </w:p>
              </w:tc>
              <w:tc>
                <w:tcPr>
                  <w:tcW w:w="516"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restart"/>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资源开发利用要求</w:t>
                  </w:r>
                </w:p>
              </w:tc>
              <w:tc>
                <w:tcPr>
                  <w:tcW w:w="834"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水资源利用要求</w:t>
                  </w: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单位工业增加值新鲜水耗≤8m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/万元。</w:t>
                  </w:r>
                </w:p>
              </w:tc>
              <w:tc>
                <w:tcPr>
                  <w:tcW w:w="2510" w:type="dxa"/>
                  <w:vMerge w:val="restart"/>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516" w:type="dxa"/>
                  <w:vMerge w:val="restart"/>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834"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能源利用要求</w:t>
                  </w: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优化开发区能源结构，合理开发可再生能源，大力发展清洁能源，不断优化开发区能源结构；单位工业增加值综合能耗≤0.5吨标煤/万元。</w:t>
                  </w:r>
                </w:p>
              </w:tc>
              <w:tc>
                <w:tcPr>
                  <w:tcW w:w="2510"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516"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81"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834" w:type="dxa"/>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土地资源利用总量及效率要求</w:t>
                  </w:r>
                </w:p>
              </w:tc>
              <w:tc>
                <w:tcPr>
                  <w:tcW w:w="3656"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建设用地总量上限</w:t>
                  </w:r>
                  <w:r>
                    <w:rPr>
                      <w:rFonts w:hint="eastAsia" w:ascii="Times New Roman" w:hAnsi="Times New Roman" w:cs="Times New Roman"/>
                      <w:color w:val="auto"/>
                      <w:lang w:val="en-US" w:eastAsia="zh-CN"/>
                    </w:rPr>
                    <w:t>72.58</w:t>
                  </w:r>
                  <w:r>
                    <w:rPr>
                      <w:rFonts w:hint="default" w:ascii="Times New Roman" w:hAnsi="Times New Roman" w:cs="Times New Roman"/>
                      <w:color w:val="auto"/>
                      <w:lang w:val="en-US" w:eastAsia="zh-CN"/>
                    </w:rPr>
                    <w:t>公顷，新建工业项目平均投资强度≥200万元/亩。</w:t>
                  </w:r>
                </w:p>
              </w:tc>
              <w:tc>
                <w:tcPr>
                  <w:tcW w:w="2510"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c>
                <w:tcPr>
                  <w:tcW w:w="516" w:type="dxa"/>
                  <w:vMerge w:val="continue"/>
                  <w:noWrap w:val="0"/>
                  <w:tcMar>
                    <w:top w:w="0" w:type="dxa"/>
                    <w:left w:w="0" w:type="dxa"/>
                    <w:bottom w:w="0" w:type="dxa"/>
                    <w:right w:w="0" w:type="dxa"/>
                  </w:tcMar>
                  <w:vAlign w:val="center"/>
                </w:tcPr>
                <w:p>
                  <w:pPr>
                    <w:jc w:val="center"/>
                    <w:rPr>
                      <w:rFonts w:hint="default" w:ascii="Times New Roman" w:hAnsi="Times New Roman" w:cs="Times New Roman"/>
                      <w:color w:val="auto"/>
                      <w:lang w:val="en-US" w:eastAsia="zh-CN"/>
                    </w:rPr>
                  </w:pPr>
                </w:p>
              </w:tc>
            </w:tr>
          </w:tbl>
          <w:p>
            <w:pPr>
              <w:autoSpaceDE w:val="0"/>
              <w:autoSpaceDN w:val="0"/>
              <w:adjustRightInd w:val="0"/>
              <w:snapToGrid w:val="0"/>
              <w:spacing w:line="360" w:lineRule="auto"/>
              <w:ind w:firstLine="480" w:firstLineChars="200"/>
              <w:rPr>
                <w:rFonts w:hint="eastAsia"/>
                <w:bCs/>
                <w:color w:val="auto"/>
                <w:kern w:val="0"/>
                <w:sz w:val="24"/>
              </w:rPr>
            </w:pPr>
            <w:r>
              <w:rPr>
                <w:rFonts w:hint="eastAsia"/>
                <w:bCs/>
                <w:color w:val="auto"/>
                <w:kern w:val="0"/>
                <w:sz w:val="24"/>
              </w:rPr>
              <w:t>本项目位于</w:t>
            </w:r>
            <w:r>
              <w:rPr>
                <w:rFonts w:hint="eastAsia" w:ascii="Times New Roman" w:hAnsi="Times New Roman" w:cs="Times New Roman"/>
                <w:color w:val="auto"/>
                <w:sz w:val="24"/>
                <w:szCs w:val="24"/>
                <w:vertAlign w:val="baseline"/>
                <w:lang w:val="en-US" w:eastAsia="zh-CN"/>
              </w:rPr>
              <w:t>安徽萧县经济开发区白土镇智能制造产业园纬三路与青峰路交叉口</w:t>
            </w:r>
            <w:r>
              <w:rPr>
                <w:rFonts w:hint="eastAsia"/>
                <w:bCs/>
                <w:color w:val="auto"/>
                <w:kern w:val="0"/>
                <w:sz w:val="24"/>
              </w:rPr>
              <w:t>，</w:t>
            </w:r>
            <w:r>
              <w:rPr>
                <w:rFonts w:hint="eastAsia"/>
                <w:bCs/>
                <w:color w:val="auto"/>
                <w:kern w:val="0"/>
                <w:sz w:val="24"/>
                <w:lang w:eastAsia="zh-CN"/>
              </w:rPr>
              <w:t>属于</w:t>
            </w:r>
            <w:r>
              <w:rPr>
                <w:rFonts w:hint="eastAsia" w:ascii="Times New Roman" w:hAnsi="Times New Roman" w:cs="Times New Roman"/>
                <w:color w:val="auto"/>
                <w:sz w:val="24"/>
                <w:szCs w:val="24"/>
                <w:vertAlign w:val="baseline"/>
                <w:lang w:eastAsia="zh-CN"/>
              </w:rPr>
              <w:t>矿山机械制造【</w:t>
            </w:r>
            <w:r>
              <w:rPr>
                <w:rFonts w:hint="eastAsia" w:ascii="Times New Roman" w:hAnsi="Times New Roman" w:cs="Times New Roman"/>
                <w:color w:val="auto"/>
                <w:sz w:val="24"/>
                <w:szCs w:val="24"/>
                <w:vertAlign w:val="baseline"/>
                <w:lang w:val="en-US" w:eastAsia="zh-CN"/>
              </w:rPr>
              <w:t>C3511</w:t>
            </w:r>
            <w:r>
              <w:rPr>
                <w:rFonts w:hint="eastAsia" w:ascii="Times New Roman" w:hAnsi="Times New Roman" w:cs="Times New Roman"/>
                <w:color w:val="auto"/>
                <w:sz w:val="24"/>
                <w:szCs w:val="24"/>
                <w:vertAlign w:val="baseline"/>
                <w:lang w:eastAsia="zh-CN"/>
              </w:rPr>
              <w:t>】</w:t>
            </w:r>
            <w:r>
              <w:rPr>
                <w:rFonts w:hint="eastAsia"/>
                <w:bCs/>
                <w:color w:val="auto"/>
                <w:kern w:val="0"/>
                <w:sz w:val="24"/>
              </w:rPr>
              <w:t>，不在环境准入负面清单内。</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eastAsia="zh-CN"/>
              </w:rPr>
              <w:t>白土镇智能制造产业园</w:t>
            </w:r>
            <w:r>
              <w:rPr>
                <w:rFonts w:hint="eastAsia" w:ascii="Times New Roman" w:hAnsi="Times New Roman" w:eastAsia="宋体" w:cs="Times New Roman"/>
                <w:b w:val="0"/>
                <w:bCs w:val="0"/>
                <w:color w:val="auto"/>
                <w:sz w:val="24"/>
                <w:szCs w:val="24"/>
              </w:rPr>
              <w:t>产业准入负面清单</w:t>
            </w:r>
            <w:r>
              <w:rPr>
                <w:rFonts w:hint="eastAsia" w:ascii="Times New Roman" w:hAnsi="Times New Roman" w:cs="Times New Roman"/>
                <w:b w:val="0"/>
                <w:bCs w:val="0"/>
                <w:color w:val="auto"/>
                <w:sz w:val="24"/>
                <w:szCs w:val="24"/>
                <w:lang w:val="en-US" w:eastAsia="zh-CN"/>
              </w:rPr>
              <w:t>一览表见表1.9。</w:t>
            </w:r>
          </w:p>
          <w:p>
            <w:pPr>
              <w:tabs>
                <w:tab w:val="left" w:pos="788"/>
              </w:tabs>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 xml:space="preserve">1.9  </w:t>
            </w:r>
            <w:r>
              <w:rPr>
                <w:rFonts w:hint="eastAsia" w:ascii="Times New Roman" w:hAnsi="Times New Roman" w:cs="Times New Roman"/>
                <w:b/>
                <w:bCs/>
                <w:color w:val="auto"/>
                <w:sz w:val="24"/>
                <w:szCs w:val="24"/>
                <w:lang w:eastAsia="zh-CN"/>
              </w:rPr>
              <w:t>白土镇智能制造产业园</w:t>
            </w:r>
            <w:r>
              <w:rPr>
                <w:rFonts w:hint="eastAsia" w:ascii="Times New Roman" w:hAnsi="Times New Roman" w:eastAsia="宋体" w:cs="Times New Roman"/>
                <w:b/>
                <w:bCs/>
                <w:color w:val="auto"/>
                <w:sz w:val="24"/>
                <w:szCs w:val="24"/>
              </w:rPr>
              <w:t>产业准入负面清单</w:t>
            </w:r>
            <w:r>
              <w:rPr>
                <w:rFonts w:ascii="Times New Roman" w:hAnsi="Times New Roman" w:eastAsia="宋体" w:cs="Times New Roman"/>
                <w:b/>
                <w:bCs/>
                <w:color w:val="auto"/>
                <w:sz w:val="24"/>
                <w:szCs w:val="24"/>
              </w:rPr>
              <w:t>一览表</w:t>
            </w:r>
          </w:p>
          <w:tbl>
            <w:tblPr>
              <w:tblStyle w:val="25"/>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3240"/>
              <w:gridCol w:w="2808"/>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类别</w:t>
                  </w:r>
                </w:p>
              </w:tc>
              <w:tc>
                <w:tcPr>
                  <w:tcW w:w="3240"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优先及允许进入</w:t>
                  </w:r>
                </w:p>
              </w:tc>
              <w:tc>
                <w:tcPr>
                  <w:tcW w:w="2808"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限制进入</w:t>
                  </w:r>
                </w:p>
              </w:tc>
              <w:tc>
                <w:tcPr>
                  <w:tcW w:w="2199"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禁止进入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装备制造业</w:t>
                  </w:r>
                </w:p>
              </w:tc>
              <w:tc>
                <w:tcPr>
                  <w:tcW w:w="3240"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将白土镇智能制造产业园规划打造成布局优化、产业集聚、用地集聚、用地集约、匀度发展为特色的新型高端装备智造现代产业园。优先入园产业包括工程机械、</w:t>
                  </w:r>
                  <w:r>
                    <w:rPr>
                      <w:rFonts w:hint="eastAsia" w:ascii="Times New Roman" w:hAnsi="Times New Roman" w:cs="Times New Roman"/>
                      <w:b/>
                      <w:bCs/>
                      <w:color w:val="auto"/>
                      <w:lang w:val="en-US" w:eastAsia="zh-CN"/>
                    </w:rPr>
                    <w:t>矿山机械装备制造业</w:t>
                  </w:r>
                  <w:r>
                    <w:rPr>
                      <w:rFonts w:hint="eastAsia" w:ascii="Times New Roman" w:hAnsi="Times New Roman" w:cs="Times New Roman"/>
                      <w:color w:val="auto"/>
                      <w:lang w:val="en-US" w:eastAsia="zh-CN"/>
                    </w:rPr>
                    <w:t>、积极培育机械研发及再制造业。工程机械、矿山机械装备制造业、机械研发及再制造业以及配套以上产业发展定位的其他产业、无污染、高附加值的产业，主要行业分类：</w:t>
                  </w:r>
                </w:p>
                <w:p>
                  <w:pPr>
                    <w:jc w:val="center"/>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C33金属制品业</w:t>
                  </w:r>
                </w:p>
                <w:p>
                  <w:pPr>
                    <w:jc w:val="center"/>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C34通用设备制造业</w:t>
                  </w:r>
                </w:p>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C35专用设备制造业</w:t>
                  </w:r>
                </w:p>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C367汽车零部件及配件制造</w:t>
                  </w:r>
                </w:p>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C38电气机械和器材制造业</w:t>
                  </w:r>
                </w:p>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C39计算机、通信和其他电子设备制造业</w:t>
                  </w:r>
                </w:p>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C40仪器仪表制造业</w:t>
                  </w:r>
                </w:p>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C41其他制造业</w:t>
                  </w:r>
                </w:p>
              </w:tc>
              <w:tc>
                <w:tcPr>
                  <w:tcW w:w="2808"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1）对属于《产业结构调整指导目录》中限制类的现有生产能力，允许企业在一定期限内采取措施改造升级。</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2）新建电镀等大中型项目或者其他污染严重的项目；建设该类项目的，应当事前征得省人民政府生态环境行政主管部门的同意，并按照规定办理有关手续。</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3）园区内部分区域紧邻居住、科教等环境敏感目标的工业用地，禁止新建环境风险潜势等级高的建设项目。</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4）《指导目录》中鼓励类，在园区所在区域具备一定资源要素禀赋，但与所处重点生态功能区主体功能定位和发展方向不相符合的产业。</w:t>
                  </w:r>
                </w:p>
              </w:tc>
              <w:tc>
                <w:tcPr>
                  <w:tcW w:w="2199"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1）新建、扩建法律法规和相关政策明令禁止的落后产能项目。</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2）新建、扩建不符合国家产能置换要求的钢铁、水泥、电解铝、平板玻璃、铸造等严重过剩产能行业的项目以及新建燃煤自备锅炉建设项目（区域集中供热锅炉除外）。</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3）新建化学制浆造纸企业和印染、制革、化工、电镀、酿造等污染严重的小型企业。</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4）国家明令淘汰、禁止建设、不符合国家产业政策的项目。</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同时根据</w:t>
            </w:r>
            <w:r>
              <w:rPr>
                <w:rFonts w:hint="default" w:ascii="Times New Roman" w:hAnsi="Times New Roman" w:cs="Times New Roman"/>
                <w:color w:val="auto"/>
                <w:sz w:val="24"/>
                <w:szCs w:val="24"/>
                <w:lang w:val="en-US" w:eastAsia="zh-CN"/>
              </w:rPr>
              <w:t>《关于&lt;</w:t>
            </w:r>
            <w:r>
              <w:rPr>
                <w:rFonts w:hint="eastAsia"/>
                <w:color w:val="auto"/>
                <w:sz w:val="24"/>
                <w:szCs w:val="24"/>
                <w:lang w:val="en-US" w:eastAsia="zh-CN"/>
              </w:rPr>
              <w:t>白土镇智能制造产业园控制性详细规划环境影响报告书</w:t>
            </w:r>
            <w:r>
              <w:rPr>
                <w:rFonts w:hint="default" w:ascii="Times New Roman" w:hAnsi="Times New Roman" w:cs="Times New Roman"/>
                <w:color w:val="auto"/>
                <w:sz w:val="24"/>
                <w:szCs w:val="24"/>
                <w:lang w:val="en-US" w:eastAsia="zh-CN"/>
              </w:rPr>
              <w:t>&gt;</w:t>
            </w:r>
            <w:r>
              <w:rPr>
                <w:rFonts w:hint="eastAsia" w:ascii="Times New Roman" w:hAnsi="Times New Roman" w:cs="Times New Roman"/>
                <w:color w:val="auto"/>
                <w:sz w:val="24"/>
                <w:szCs w:val="24"/>
                <w:lang w:val="en-US" w:eastAsia="zh-CN"/>
              </w:rPr>
              <w:t>的审查意见</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萧环函</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2023</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号</w:t>
            </w:r>
            <w:r>
              <w:rPr>
                <w:rFonts w:hint="eastAsia" w:ascii="Times New Roman" w:hAnsi="Times New Roman" w:cs="Times New Roman"/>
                <w:color w:val="auto"/>
                <w:sz w:val="24"/>
                <w:szCs w:val="24"/>
                <w:lang w:val="en-US" w:eastAsia="zh-CN"/>
              </w:rPr>
              <w:t>，宿州市萧县生态环境分局，2023年01月30日</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w:t>
            </w:r>
            <w:r>
              <w:rPr>
                <w:rFonts w:hint="eastAsia" w:ascii="宋体" w:hAnsi="宋体" w:eastAsia="宋体" w:cs="宋体"/>
                <w:color w:val="auto"/>
                <w:sz w:val="24"/>
                <w:szCs w:val="24"/>
                <w:lang w:eastAsia="zh-CN"/>
              </w:rPr>
              <w:t>白土镇智能制造产业园位于白土镇镇区，具体规划范围为东至规划水渠，南至纬二路，西至皇藏大道，北至青云路，总用地面</w:t>
            </w:r>
            <w:r>
              <w:rPr>
                <w:rFonts w:hint="default" w:ascii="Times New Roman" w:hAnsi="Times New Roman" w:eastAsia="宋体" w:cs="Times New Roman"/>
                <w:color w:val="auto"/>
                <w:sz w:val="24"/>
                <w:szCs w:val="24"/>
                <w:lang w:eastAsia="zh-CN"/>
              </w:rPr>
              <w:t>积为</w:t>
            </w:r>
            <w:r>
              <w:rPr>
                <w:rFonts w:hint="default" w:ascii="Times New Roman" w:hAnsi="Times New Roman" w:eastAsia="宋体" w:cs="Times New Roman"/>
                <w:color w:val="auto"/>
                <w:sz w:val="24"/>
                <w:szCs w:val="24"/>
                <w:lang w:val="en-US" w:eastAsia="zh-CN"/>
              </w:rPr>
              <w:t>72.58公顷，</w:t>
            </w:r>
            <w:r>
              <w:rPr>
                <w:rFonts w:hint="eastAsia" w:ascii="宋体" w:hAnsi="宋体" w:eastAsia="宋体" w:cs="宋体"/>
                <w:color w:val="auto"/>
                <w:sz w:val="24"/>
                <w:szCs w:val="24"/>
                <w:lang w:val="en-US" w:eastAsia="zh-CN"/>
              </w:rPr>
              <w:t>工业园主要发展工程机械、矿山机械装备制造业、积极培育机械研发及再制造业</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项目产品为</w:t>
            </w:r>
            <w:r>
              <w:rPr>
                <w:rFonts w:hint="eastAsia" w:ascii="Times New Roman" w:hAnsi="Times New Roman" w:cs="Times New Roman"/>
                <w:color w:val="auto"/>
                <w:sz w:val="24"/>
                <w:szCs w:val="24"/>
                <w:lang w:val="en-US" w:eastAsia="zh-CN"/>
              </w:rPr>
              <w:t>矿山电厂环保除尘设备和矿山皮带输送类配套设备（皮带输送清扫器和工业毛刷设备），属于</w:t>
            </w:r>
            <w:r>
              <w:rPr>
                <w:rFonts w:hint="eastAsia" w:ascii="Times New Roman" w:hAnsi="Times New Roman" w:cs="Times New Roman"/>
                <w:color w:val="auto"/>
                <w:sz w:val="24"/>
                <w:szCs w:val="24"/>
                <w:vertAlign w:val="baseline"/>
                <w:lang w:eastAsia="zh-CN"/>
              </w:rPr>
              <w:t>矿山机械制造【</w:t>
            </w:r>
            <w:r>
              <w:rPr>
                <w:rFonts w:hint="eastAsia" w:ascii="Times New Roman" w:hAnsi="Times New Roman" w:cs="Times New Roman"/>
                <w:color w:val="auto"/>
                <w:sz w:val="24"/>
                <w:szCs w:val="24"/>
                <w:vertAlign w:val="baseline"/>
                <w:lang w:val="en-US" w:eastAsia="zh-CN"/>
              </w:rPr>
              <w:t>C3511</w:t>
            </w:r>
            <w:r>
              <w:rPr>
                <w:rFonts w:hint="eastAsia" w:ascii="Times New Roman" w:hAnsi="Times New Roman" w:cs="Times New Roman"/>
                <w:color w:val="auto"/>
                <w:sz w:val="24"/>
                <w:szCs w:val="24"/>
                <w:vertAlign w:val="baseline"/>
                <w:lang w:eastAsia="zh-CN"/>
              </w:rPr>
              <w:t>】，</w:t>
            </w:r>
            <w:r>
              <w:rPr>
                <w:rFonts w:hint="eastAsia" w:ascii="Times New Roman" w:hAnsi="Times New Roman" w:cs="Times New Roman"/>
                <w:color w:val="auto"/>
                <w:sz w:val="24"/>
                <w:szCs w:val="24"/>
                <w:lang w:val="en-US" w:eastAsia="zh-CN"/>
              </w:rPr>
              <w:t>符合</w:t>
            </w:r>
            <w:r>
              <w:rPr>
                <w:rFonts w:hint="eastAsia"/>
                <w:color w:val="auto"/>
                <w:sz w:val="24"/>
                <w:szCs w:val="24"/>
                <w:lang w:val="en-US" w:eastAsia="zh-CN"/>
              </w:rPr>
              <w:t>白土镇智能制造产业园产业发展定位</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为</w:t>
            </w:r>
            <w:r>
              <w:rPr>
                <w:rFonts w:hint="eastAsia" w:ascii="Times New Roman" w:hAnsi="Times New Roman" w:cs="Times New Roman"/>
                <w:color w:val="auto"/>
                <w:sz w:val="24"/>
                <w:szCs w:val="24"/>
                <w:lang w:val="en-US" w:eastAsia="zh-CN"/>
              </w:rPr>
              <w:t>优先及允许进入类别，</w:t>
            </w:r>
            <w:r>
              <w:rPr>
                <w:rFonts w:hint="eastAsia" w:ascii="Times New Roman" w:hAnsi="Times New Roman" w:eastAsia="宋体" w:cs="Times New Roman"/>
                <w:color w:val="auto"/>
                <w:sz w:val="24"/>
                <w:szCs w:val="24"/>
                <w:lang w:eastAsia="zh-CN"/>
              </w:rPr>
              <w:t>符合</w:t>
            </w:r>
            <w:r>
              <w:rPr>
                <w:rFonts w:hint="eastAsia"/>
                <w:color w:val="auto"/>
                <w:sz w:val="24"/>
                <w:szCs w:val="24"/>
                <w:lang w:val="en-US" w:eastAsia="zh-CN"/>
              </w:rPr>
              <w:t>白土镇智能制造产业园控制性详细规划</w:t>
            </w:r>
            <w:r>
              <w:rPr>
                <w:rFonts w:hint="default" w:ascii="Times New Roman" w:hAnsi="Times New Roman" w:cs="Times New Roman"/>
                <w:color w:val="auto"/>
                <w:sz w:val="24"/>
                <w:szCs w:val="24"/>
                <w:lang w:val="en-US" w:eastAsia="zh-CN"/>
              </w:rPr>
              <w:t>。</w:t>
            </w:r>
          </w:p>
          <w:p>
            <w:pPr>
              <w:spacing w:line="360" w:lineRule="auto"/>
              <w:ind w:firstLine="482" w:firstLineChars="200"/>
              <w:rPr>
                <w:rFonts w:hint="eastAsia" w:ascii="Times New Roman" w:hAnsi="Times New Roman" w:cs="Times New Roman" w:eastAsiaTheme="minorEastAsia"/>
                <w:b/>
                <w:bCs/>
                <w:color w:val="auto"/>
                <w:sz w:val="24"/>
                <w:szCs w:val="24"/>
                <w:lang w:eastAsia="zh-CN"/>
              </w:rPr>
            </w:pPr>
            <w:r>
              <w:rPr>
                <w:rFonts w:hint="eastAsia"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rPr>
              <w:t>、</w:t>
            </w:r>
            <w:r>
              <w:rPr>
                <w:rFonts w:hint="eastAsia" w:ascii="Times New Roman" w:hAnsi="Times New Roman" w:cs="Times New Roman"/>
                <w:b/>
                <w:bCs/>
                <w:color w:val="auto"/>
                <w:sz w:val="24"/>
                <w:szCs w:val="24"/>
                <w:lang w:eastAsia="zh-CN"/>
              </w:rPr>
              <w:t>项目建设可行性分析</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（1）</w:t>
            </w:r>
            <w:r>
              <w:rPr>
                <w:rFonts w:hint="eastAsia" w:ascii="Times New Roman" w:hAnsi="Times New Roman" w:eastAsia="宋体"/>
                <w:color w:val="auto"/>
                <w:sz w:val="24"/>
                <w:szCs w:val="24"/>
                <w:lang w:eastAsia="zh-CN"/>
              </w:rPr>
              <w:t>环境相容性</w:t>
            </w:r>
            <w:r>
              <w:rPr>
                <w:rFonts w:ascii="Times New Roman" w:hAnsi="Times New Roman" w:eastAsia="宋体"/>
                <w:color w:val="auto"/>
                <w:sz w:val="24"/>
                <w:szCs w:val="24"/>
              </w:rPr>
              <w:t>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项目建设地点位于</w:t>
            </w:r>
            <w:r>
              <w:rPr>
                <w:rFonts w:hint="eastAsia" w:ascii="Times New Roman" w:hAnsi="Times New Roman" w:cs="Times New Roman"/>
                <w:color w:val="auto"/>
                <w:sz w:val="24"/>
                <w:szCs w:val="24"/>
                <w:vertAlign w:val="baseline"/>
                <w:lang w:val="en-US" w:eastAsia="zh-CN"/>
              </w:rPr>
              <w:t>安徽萧县经济开发区白土镇智能制造产业园纬三路与青峰路交叉口</w:t>
            </w:r>
            <w:r>
              <w:rPr>
                <w:rFonts w:hint="default" w:ascii="Times New Roman" w:hAnsi="Times New Roman" w:cs="Times New Roman"/>
                <w:color w:val="auto"/>
                <w:sz w:val="24"/>
                <w:szCs w:val="24"/>
              </w:rPr>
              <w:t>。根据现场勘察，项目</w:t>
            </w:r>
            <w:r>
              <w:rPr>
                <w:rFonts w:hint="eastAsia" w:ascii="Times New Roman" w:hAnsi="Times New Roman" w:cs="Times New Roman"/>
                <w:color w:val="auto"/>
                <w:sz w:val="24"/>
                <w:szCs w:val="24"/>
                <w:lang w:eastAsia="zh-CN"/>
              </w:rPr>
              <w:t>厂界</w:t>
            </w:r>
            <w:r>
              <w:rPr>
                <w:rFonts w:hint="default" w:ascii="Times New Roman" w:hAnsi="Times New Roman" w:cs="Times New Roman"/>
                <w:color w:val="auto"/>
                <w:sz w:val="24"/>
                <w:szCs w:val="24"/>
              </w:rPr>
              <w:t>东侧</w:t>
            </w:r>
            <w:r>
              <w:rPr>
                <w:rFonts w:hint="eastAsia" w:ascii="Times New Roman" w:hAnsi="Times New Roman" w:cs="Times New Roman"/>
                <w:color w:val="auto"/>
                <w:sz w:val="24"/>
                <w:szCs w:val="24"/>
                <w:lang w:eastAsia="zh-CN"/>
              </w:rPr>
              <w:t>隔泄洪道、</w:t>
            </w:r>
            <w:r>
              <w:rPr>
                <w:rFonts w:hint="eastAsia" w:ascii="Times New Roman" w:hAnsi="Times New Roman" w:cs="Times New Roman"/>
                <w:color w:val="auto"/>
                <w:sz w:val="24"/>
                <w:szCs w:val="24"/>
                <w:vertAlign w:val="baseline"/>
                <w:lang w:val="en-US" w:eastAsia="zh-CN"/>
              </w:rPr>
              <w:t>青峰路</w:t>
            </w:r>
            <w:r>
              <w:rPr>
                <w:rFonts w:hint="eastAsia" w:ascii="Times New Roman" w:hAnsi="Times New Roman" w:cs="Times New Roman"/>
                <w:color w:val="auto"/>
                <w:sz w:val="24"/>
                <w:szCs w:val="24"/>
                <w:lang w:val="en-US" w:eastAsia="zh-CN"/>
              </w:rPr>
              <w:t>为</w:t>
            </w:r>
            <w:r>
              <w:rPr>
                <w:rFonts w:hint="eastAsia" w:ascii="Times New Roman" w:hAnsi="Times New Roman" w:cs="Times New Roman"/>
                <w:b w:val="0"/>
                <w:bCs w:val="0"/>
                <w:color w:val="auto"/>
                <w:kern w:val="2"/>
                <w:sz w:val="24"/>
                <w:szCs w:val="24"/>
                <w:lang w:val="en-US" w:eastAsia="zh-CN" w:bidi="ar-SA"/>
              </w:rPr>
              <w:t>安徽驰川机械科技有限公司</w:t>
            </w:r>
            <w:r>
              <w:rPr>
                <w:rFonts w:hint="default" w:ascii="Times New Roman" w:hAnsi="Times New Roman" w:cs="Times New Roman"/>
                <w:color w:val="auto"/>
                <w:sz w:val="24"/>
                <w:szCs w:val="24"/>
              </w:rPr>
              <w:t>，南侧</w:t>
            </w:r>
            <w:r>
              <w:rPr>
                <w:rFonts w:hint="eastAsia" w:ascii="Times New Roman" w:hAnsi="Times New Roman" w:cs="Times New Roman"/>
                <w:color w:val="auto"/>
                <w:sz w:val="24"/>
                <w:szCs w:val="24"/>
                <w:lang w:eastAsia="zh-CN"/>
              </w:rPr>
              <w:t>为空地（规划工业用地）</w:t>
            </w:r>
            <w:r>
              <w:rPr>
                <w:rFonts w:hint="default" w:ascii="Times New Roman" w:hAnsi="Times New Roman" w:cs="Times New Roman"/>
                <w:color w:val="auto"/>
                <w:sz w:val="24"/>
                <w:szCs w:val="24"/>
              </w:rPr>
              <w:t>，西侧</w:t>
            </w:r>
            <w:r>
              <w:rPr>
                <w:rFonts w:hint="eastAsia" w:ascii="Times New Roman" w:hAnsi="Times New Roman" w:cs="Times New Roman"/>
                <w:color w:val="auto"/>
                <w:sz w:val="24"/>
                <w:szCs w:val="24"/>
                <w:lang w:eastAsia="zh-CN"/>
              </w:rPr>
              <w:t>为</w:t>
            </w:r>
            <w:r>
              <w:rPr>
                <w:rFonts w:hint="eastAsia" w:ascii="Times New Roman" w:hAnsi="Times New Roman" w:cs="Times New Roman"/>
                <w:color w:val="auto"/>
                <w:sz w:val="24"/>
                <w:szCs w:val="24"/>
                <w:vertAlign w:val="baseline"/>
                <w:lang w:val="en-US" w:eastAsia="zh-CN"/>
              </w:rPr>
              <w:t>安徽拓发工程机械有限公司</w:t>
            </w:r>
            <w:r>
              <w:rPr>
                <w:rFonts w:hint="default" w:ascii="Times New Roman" w:hAnsi="Times New Roman" w:cs="Times New Roman"/>
                <w:color w:val="auto"/>
                <w:sz w:val="24"/>
                <w:szCs w:val="24"/>
              </w:rPr>
              <w:t>，北侧</w:t>
            </w:r>
            <w:r>
              <w:rPr>
                <w:rFonts w:hint="eastAsia" w:ascii="Times New Roman" w:hAnsi="Times New Roman" w:cs="Times New Roman"/>
                <w:color w:val="auto"/>
                <w:sz w:val="24"/>
                <w:szCs w:val="24"/>
                <w:lang w:eastAsia="zh-CN"/>
              </w:rPr>
              <w:t>隔纬三路</w:t>
            </w:r>
            <w:r>
              <w:rPr>
                <w:rFonts w:hint="eastAsia" w:ascii="Times New Roman" w:hAnsi="Times New Roman" w:cs="Times New Roman"/>
                <w:color w:val="auto"/>
                <w:sz w:val="24"/>
                <w:szCs w:val="24"/>
                <w:vertAlign w:val="baseline"/>
                <w:lang w:val="en-US" w:eastAsia="zh-CN"/>
              </w:rPr>
              <w:t>为工业企业（在建），西北侧约58米处为</w:t>
            </w:r>
            <w:r>
              <w:rPr>
                <w:rStyle w:val="42"/>
                <w:rFonts w:hint="eastAsia" w:ascii="Times New Roman" w:hAnsi="Times New Roman" w:cs="Times New Roman"/>
                <w:color w:val="auto"/>
                <w:sz w:val="24"/>
                <w:szCs w:val="24"/>
                <w:lang w:val="en-US" w:eastAsia="zh-CN" w:bidi="ar"/>
              </w:rPr>
              <w:t>宿州市萧县智能制造产业园工业社区中心（在建）</w:t>
            </w:r>
            <w:r>
              <w:rPr>
                <w:rFonts w:hint="default" w:ascii="Times New Roman" w:hAnsi="Times New Roman" w:cs="Times New Roman"/>
                <w:color w:val="auto"/>
                <w:sz w:val="24"/>
                <w:szCs w:val="24"/>
              </w:rPr>
              <w:t>。</w:t>
            </w:r>
          </w:p>
          <w:p>
            <w:pPr>
              <w:pStyle w:val="54"/>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t>项目周边均为工业企业，因此项目选址与周边环境相容。</w:t>
            </w:r>
          </w:p>
          <w:p>
            <w:pPr>
              <w:pStyle w:val="54"/>
              <w:rPr>
                <w:rFonts w:hint="eastAsia" w:ascii="Times New Roman" w:hAnsi="Times New Roman" w:cs="Times New Roman"/>
                <w:color w:val="auto"/>
                <w:lang w:eastAsia="zh-CN"/>
              </w:rPr>
            </w:pPr>
            <w:r>
              <w:rPr>
                <w:rFonts w:hint="eastAsia" w:ascii="Times New Roman" w:hAnsi="Times New Roman" w:eastAsia="宋体" w:cs="Times New Roman"/>
                <w:color w:val="auto"/>
                <w:szCs w:val="24"/>
                <w:lang w:eastAsia="zh-CN"/>
              </w:rPr>
              <w:t>建设项目周边环境概况图见附图</w:t>
            </w:r>
            <w:r>
              <w:rPr>
                <w:rFonts w:hint="eastAsia" w:ascii="Times New Roman" w:hAnsi="Times New Roman" w:eastAsia="宋体" w:cs="Times New Roman"/>
                <w:color w:val="auto"/>
                <w:szCs w:val="24"/>
                <w:lang w:val="en-US" w:eastAsia="zh-CN"/>
              </w:rPr>
              <w:t>11。</w:t>
            </w:r>
          </w:p>
          <w:p>
            <w:pPr>
              <w:pStyle w:val="54"/>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t>（</w:t>
            </w:r>
            <w:r>
              <w:rPr>
                <w:rFonts w:hint="eastAsia" w:ascii="Times New Roman" w:hAnsi="Times New Roman" w:eastAsia="宋体" w:cs="Times New Roman"/>
                <w:color w:val="auto"/>
                <w:szCs w:val="24"/>
                <w:lang w:val="en-US" w:eastAsia="zh-CN"/>
              </w:rPr>
              <w:t>2</w:t>
            </w:r>
            <w:r>
              <w:rPr>
                <w:rFonts w:hint="eastAsia" w:ascii="Times New Roman" w:hAnsi="Times New Roman" w:eastAsia="宋体" w:cs="Times New Roman"/>
                <w:color w:val="auto"/>
                <w:szCs w:val="24"/>
                <w:lang w:eastAsia="zh-CN"/>
              </w:rPr>
              <w:t>）选址合理性分析</w:t>
            </w:r>
          </w:p>
          <w:p>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ⅰ</w:t>
            </w:r>
            <w:r>
              <w:rPr>
                <w:rFonts w:ascii="Times New Roman" w:hAnsi="Times New Roman" w:eastAsia="宋体"/>
                <w:color w:val="auto"/>
                <w:sz w:val="24"/>
                <w:szCs w:val="24"/>
              </w:rPr>
              <w:t>.本项目不涉及饮用水水源保护区、</w:t>
            </w:r>
            <w:r>
              <w:rPr>
                <w:rFonts w:ascii="Times New Roman" w:hAnsi="Times New Roman" w:eastAsia="宋体"/>
                <w:color w:val="auto"/>
                <w:kern w:val="0"/>
                <w:sz w:val="24"/>
                <w:szCs w:val="24"/>
              </w:rPr>
              <w:t>风景区、自然保护区、历史文物古迹保护区、基本农田保护区等。</w:t>
            </w:r>
            <w:r>
              <w:rPr>
                <w:rFonts w:hint="eastAsia" w:ascii="Times New Roman" w:hAnsi="Times New Roman" w:eastAsia="宋体"/>
                <w:color w:val="auto"/>
                <w:sz w:val="24"/>
                <w:szCs w:val="24"/>
              </w:rPr>
              <w:t>ⅱ</w:t>
            </w:r>
            <w:r>
              <w:rPr>
                <w:rFonts w:ascii="Times New Roman" w:hAnsi="Times New Roman" w:eastAsia="宋体"/>
                <w:color w:val="auto"/>
                <w:sz w:val="24"/>
                <w:szCs w:val="24"/>
              </w:rPr>
              <w:t>.项目所在的区域环境承载力能满足项目建设的需要。</w:t>
            </w:r>
            <w:r>
              <w:rPr>
                <w:rFonts w:hint="eastAsia" w:ascii="Times New Roman" w:hAnsi="Times New Roman" w:eastAsia="宋体"/>
                <w:color w:val="auto"/>
                <w:sz w:val="24"/>
                <w:szCs w:val="24"/>
              </w:rPr>
              <w:t>ⅲ</w:t>
            </w:r>
            <w:r>
              <w:rPr>
                <w:rFonts w:ascii="Times New Roman" w:hAnsi="Times New Roman" w:eastAsia="宋体"/>
                <w:color w:val="auto"/>
                <w:sz w:val="24"/>
                <w:szCs w:val="24"/>
              </w:rPr>
              <w:t>.项目污水通过管道输送至</w:t>
            </w:r>
            <w:r>
              <w:rPr>
                <w:rFonts w:hint="eastAsia" w:ascii="宋体" w:hAnsi="宋体" w:eastAsia="宋体" w:cs="宋体"/>
                <w:color w:val="auto"/>
                <w:sz w:val="24"/>
                <w:szCs w:val="24"/>
                <w:lang w:val="en-US" w:eastAsia="zh-CN"/>
              </w:rPr>
              <w:t>萧县清源污水处理有限公司</w:t>
            </w:r>
            <w:r>
              <w:rPr>
                <w:rFonts w:ascii="Times New Roman" w:hAnsi="Times New Roman" w:eastAsia="宋体"/>
                <w:color w:val="auto"/>
                <w:sz w:val="24"/>
                <w:szCs w:val="24"/>
              </w:rPr>
              <w:t>，利用其污水处理系统处理，处理达标后排放，污水的妥善处理有保障，不会污染周边自然水体。</w:t>
            </w:r>
            <w:r>
              <w:rPr>
                <w:rFonts w:hint="eastAsia" w:ascii="Times New Roman" w:hAnsi="Times New Roman" w:eastAsia="宋体"/>
                <w:color w:val="auto"/>
                <w:sz w:val="24"/>
                <w:szCs w:val="24"/>
              </w:rPr>
              <w:t>ⅳ</w:t>
            </w:r>
            <w:r>
              <w:rPr>
                <w:rFonts w:ascii="Times New Roman" w:hAnsi="Times New Roman" w:eastAsia="宋体"/>
                <w:color w:val="auto"/>
                <w:sz w:val="24"/>
                <w:szCs w:val="24"/>
              </w:rPr>
              <w:t>.</w:t>
            </w:r>
            <w:r>
              <w:rPr>
                <w:rFonts w:ascii="Times New Roman" w:hAnsi="Times New Roman" w:eastAsia="宋体"/>
                <w:color w:val="auto"/>
                <w:kern w:val="0"/>
                <w:sz w:val="24"/>
                <w:szCs w:val="24"/>
              </w:rPr>
              <w:t>本项目运营期排放的废气对周边环境影响较小，噪声可实现达标排放，不改变区域环境功能级别</w:t>
            </w:r>
            <w:r>
              <w:rPr>
                <w:rFonts w:ascii="Times New Roman" w:hAnsi="Times New Roman" w:eastAsia="宋体"/>
                <w:color w:val="auto"/>
                <w:sz w:val="24"/>
                <w:szCs w:val="24"/>
              </w:rPr>
              <w:t>。</w:t>
            </w:r>
          </w:p>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（3）“三线一单”及分区管控符合性分析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项目选址满足水、大气、土壤等</w:t>
            </w:r>
            <w:r>
              <w:rPr>
                <w:rFonts w:hint="eastAsia" w:ascii="Times New Roman" w:hAnsi="Times New Roman" w:eastAsia="宋体" w:cs="Times New Roman"/>
                <w:color w:val="auto"/>
                <w:kern w:val="0"/>
                <w:sz w:val="24"/>
                <w:szCs w:val="24"/>
              </w:rPr>
              <w:t>水环境质量底线及环境分区管控</w:t>
            </w:r>
            <w:r>
              <w:rPr>
                <w:rFonts w:hint="eastAsia" w:ascii="Times New Roman" w:hAnsi="Times New Roman" w:eastAsia="宋体" w:cs="Times New Roman"/>
                <w:color w:val="auto"/>
                <w:kern w:val="0"/>
                <w:sz w:val="24"/>
                <w:szCs w:val="24"/>
                <w:lang w:eastAsia="zh-CN"/>
              </w:rPr>
              <w:t>要求。同时本项目</w:t>
            </w:r>
            <w:r>
              <w:rPr>
                <w:rFonts w:hint="eastAsia" w:ascii="Times New Roman" w:hAnsi="Times New Roman" w:cs="Times New Roman"/>
                <w:color w:val="auto"/>
                <w:sz w:val="24"/>
                <w:szCs w:val="24"/>
                <w:lang w:val="en-US" w:eastAsia="zh-CN"/>
              </w:rPr>
              <w:t>符合</w:t>
            </w:r>
            <w:r>
              <w:rPr>
                <w:rFonts w:hint="eastAsia"/>
                <w:color w:val="auto"/>
                <w:sz w:val="24"/>
                <w:szCs w:val="24"/>
                <w:lang w:val="en-US" w:eastAsia="zh-CN"/>
              </w:rPr>
              <w:t>白土镇智能制造产业园产业发展定位</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为</w:t>
            </w:r>
            <w:r>
              <w:rPr>
                <w:rFonts w:hint="eastAsia" w:ascii="Times New Roman" w:hAnsi="Times New Roman" w:cs="Times New Roman"/>
                <w:color w:val="auto"/>
                <w:sz w:val="24"/>
                <w:szCs w:val="24"/>
                <w:lang w:val="en-US" w:eastAsia="zh-CN"/>
              </w:rPr>
              <w:t>优先及允许进入类别，</w:t>
            </w:r>
            <w:r>
              <w:rPr>
                <w:rFonts w:hint="eastAsia" w:ascii="Times New Roman" w:hAnsi="Times New Roman" w:eastAsia="宋体" w:cs="Times New Roman"/>
                <w:color w:val="auto"/>
                <w:sz w:val="24"/>
                <w:szCs w:val="24"/>
                <w:lang w:eastAsia="zh-CN"/>
              </w:rPr>
              <w:t>符合</w:t>
            </w:r>
            <w:r>
              <w:rPr>
                <w:rFonts w:hint="eastAsia"/>
                <w:color w:val="auto"/>
                <w:sz w:val="24"/>
                <w:szCs w:val="24"/>
                <w:lang w:val="en-US" w:eastAsia="zh-CN"/>
              </w:rPr>
              <w:t>白土镇智能制造产业园控制性详细规划</w:t>
            </w:r>
            <w:r>
              <w:rPr>
                <w:rFonts w:hint="default" w:ascii="Times New Roman" w:hAnsi="Times New Roman" w:cs="Times New Roman"/>
                <w:color w:val="auto"/>
                <w:sz w:val="24"/>
                <w:szCs w:val="24"/>
                <w:lang w:val="en-US" w:eastAsia="zh-CN"/>
              </w:rPr>
              <w:t>。</w:t>
            </w:r>
          </w:p>
          <w:p>
            <w:pPr>
              <w:spacing w:line="360" w:lineRule="auto"/>
              <w:ind w:firstLine="480" w:firstLineChars="200"/>
              <w:rPr>
                <w:rFonts w:hint="eastAsia"/>
                <w:color w:val="auto"/>
                <w:lang w:eastAsia="zh-CN"/>
              </w:rPr>
            </w:pPr>
            <w:r>
              <w:rPr>
                <w:rFonts w:hint="eastAsia" w:ascii="Times New Roman" w:hAnsi="Times New Roman" w:cs="Times New Roman"/>
                <w:b w:val="0"/>
                <w:bCs w:val="0"/>
                <w:color w:val="auto"/>
                <w:sz w:val="24"/>
                <w:szCs w:val="24"/>
                <w:lang w:val="en-US" w:eastAsia="zh-CN"/>
              </w:rPr>
              <w:t>综上，本项目的建设是可行的。</w:t>
            </w:r>
          </w:p>
        </w:tc>
      </w:tr>
    </w:tbl>
    <w:p>
      <w:pPr>
        <w:spacing w:line="240" w:lineRule="auto"/>
        <w:jc w:val="left"/>
        <w:rPr>
          <w:rFonts w:hint="default"/>
          <w:b/>
          <w:bCs/>
          <w:color w:val="auto"/>
          <w:sz w:val="28"/>
          <w:szCs w:val="28"/>
          <w:lang w:val="en-US" w:eastAsia="zh-CN"/>
        </w:rPr>
      </w:pPr>
      <w:r>
        <w:rPr>
          <w:rFonts w:hint="eastAsia"/>
          <w:b/>
          <w:bCs/>
          <w:color w:val="auto"/>
          <w:sz w:val="28"/>
          <w:szCs w:val="28"/>
          <w:lang w:val="en-US" w:eastAsia="zh-CN"/>
        </w:rPr>
        <w:t>二</w:t>
      </w:r>
      <w:r>
        <w:rPr>
          <w:rFonts w:hint="eastAsia"/>
          <w:b/>
          <w:bCs/>
          <w:color w:val="auto"/>
          <w:sz w:val="28"/>
          <w:szCs w:val="28"/>
          <w:lang w:eastAsia="zh-CN"/>
        </w:rPr>
        <w:t>、建设项目</w:t>
      </w:r>
      <w:r>
        <w:rPr>
          <w:rFonts w:hint="eastAsia"/>
          <w:b/>
          <w:bCs/>
          <w:color w:val="auto"/>
          <w:sz w:val="28"/>
          <w:szCs w:val="28"/>
          <w:lang w:val="en-US" w:eastAsia="zh-CN"/>
        </w:rPr>
        <w:t>工程分析</w:t>
      </w:r>
    </w:p>
    <w:tbl>
      <w:tblPr>
        <w:tblStyle w:val="25"/>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1"/>
        <w:gridCol w:w="97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232" w:hRule="atLeast"/>
          <w:jc w:val="center"/>
        </w:trPr>
        <w:tc>
          <w:tcPr>
            <w:tcW w:w="426" w:type="dxa"/>
            <w:vAlign w:val="center"/>
          </w:tcPr>
          <w:p>
            <w:pPr>
              <w:jc w:val="center"/>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建设内容</w:t>
            </w:r>
          </w:p>
        </w:tc>
        <w:tc>
          <w:tcPr>
            <w:tcW w:w="9013" w:type="dxa"/>
            <w:vAlign w:val="center"/>
          </w:tcPr>
          <w:p>
            <w:pPr>
              <w:spacing w:line="360" w:lineRule="auto"/>
              <w:ind w:firstLine="482" w:firstLineChars="200"/>
              <w:rPr>
                <w:rFonts w:hint="eastAsia" w:ascii="Times New Roman" w:hAnsi="Times New Roman" w:cs="Times New Roman" w:eastAsiaTheme="minorEastAsia"/>
                <w:b/>
                <w:bCs/>
                <w:color w:val="auto"/>
                <w:sz w:val="24"/>
                <w:szCs w:val="24"/>
                <w:lang w:eastAsia="zh-CN"/>
              </w:rPr>
            </w:pP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、建设项目</w:t>
            </w:r>
            <w:r>
              <w:rPr>
                <w:rFonts w:hint="eastAsia" w:ascii="Times New Roman" w:hAnsi="Times New Roman" w:cs="Times New Roman"/>
                <w:b/>
                <w:bCs/>
                <w:color w:val="auto"/>
                <w:sz w:val="24"/>
                <w:szCs w:val="24"/>
                <w:lang w:eastAsia="zh-CN"/>
              </w:rPr>
              <w:t>由来</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安徽戈巴迪智能装备股份有限公司</w:t>
            </w:r>
            <w:r>
              <w:rPr>
                <w:rFonts w:hint="eastAsia" w:ascii="Times New Roman" w:hAnsi="Times New Roman" w:cs="Times New Roman"/>
                <w:color w:val="auto"/>
                <w:sz w:val="24"/>
                <w:szCs w:val="24"/>
                <w:lang w:val="en-US" w:eastAsia="zh-CN"/>
              </w:rPr>
              <w:t>成立于2021年07月12日，注册地址位于安徽省宿州市萧县经济开发区皇藏大道以东、智造二路2号。建设单位于2021年10月18日委托安徽绿之铃环境科技有限公司编制了《</w:t>
            </w:r>
            <w:r>
              <w:rPr>
                <w:rFonts w:hint="eastAsia" w:ascii="Times New Roman" w:hAnsi="Times New Roman" w:cs="Times New Roman"/>
                <w:color w:val="auto"/>
                <w:sz w:val="24"/>
                <w:szCs w:val="24"/>
                <w:lang w:eastAsia="zh-CN"/>
              </w:rPr>
              <w:t>安徽戈巴迪智能装备股份有限公司年产500套矿山电厂环保降尘设备6000台矿山皮带输送类配套设备项目环境影响报告表</w:t>
            </w:r>
            <w:r>
              <w:rPr>
                <w:rFonts w:hint="eastAsia" w:ascii="Times New Roman" w:hAnsi="Times New Roman" w:cs="Times New Roman"/>
                <w:color w:val="auto"/>
                <w:sz w:val="24"/>
                <w:szCs w:val="24"/>
                <w:lang w:val="en-US" w:eastAsia="zh-CN"/>
              </w:rPr>
              <w:t>》，并于2022年02月18日取得了宿州市萧县生态环境分局下达的《关于&lt;</w:t>
            </w:r>
            <w:r>
              <w:rPr>
                <w:rFonts w:hint="eastAsia" w:ascii="Times New Roman" w:hAnsi="Times New Roman" w:cs="Times New Roman"/>
                <w:color w:val="auto"/>
                <w:sz w:val="24"/>
                <w:szCs w:val="24"/>
                <w:lang w:eastAsia="zh-CN"/>
              </w:rPr>
              <w:t>安徽戈巴迪智能装备股份有限公司年产500套矿山电厂环保降尘设备6000台矿山皮带输送类配套设备项目环境影响报告表</w:t>
            </w:r>
            <w:r>
              <w:rPr>
                <w:rFonts w:hint="eastAsia" w:ascii="Times New Roman" w:hAnsi="Times New Roman" w:cs="Times New Roman"/>
                <w:color w:val="auto"/>
                <w:sz w:val="24"/>
                <w:szCs w:val="24"/>
                <w:lang w:val="en-US" w:eastAsia="zh-CN"/>
              </w:rPr>
              <w:t>&gt;审批意见的函》（萧环建【2022】7号）。</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因产品标准及市场变动原因，项目在建设过程中发生了如下变动及调整：</w:t>
            </w:r>
          </w:p>
          <w:p>
            <w:pPr>
              <w:spacing w:line="360" w:lineRule="auto"/>
              <w:ind w:firstLine="480" w:firstLineChars="200"/>
              <w:rPr>
                <w:rFonts w:hint="eastAsia" w:ascii="Times New Roman" w:hAnsi="Times New Roman" w:cs="Times New Roman"/>
                <w:b w:val="0"/>
                <w:bCs w:val="0"/>
                <w:color w:val="auto"/>
                <w:sz w:val="24"/>
                <w:szCs w:val="24"/>
                <w:u w:val="none"/>
                <w:lang w:eastAsia="zh-CN"/>
              </w:rPr>
            </w:pPr>
            <w:r>
              <w:rPr>
                <w:rFonts w:hint="eastAsia" w:ascii="Times New Roman" w:hAnsi="Times New Roman" w:cs="Times New Roman"/>
                <w:b w:val="0"/>
                <w:bCs w:val="0"/>
                <w:color w:val="auto"/>
                <w:sz w:val="24"/>
                <w:szCs w:val="24"/>
                <w:u w:val="none"/>
                <w:lang w:eastAsia="zh-CN"/>
              </w:rPr>
              <w:t>①新增木质包装箱生产线，木质包装箱自产自用，不对外销售。</w:t>
            </w:r>
          </w:p>
          <w:p>
            <w:pPr>
              <w:spacing w:line="360" w:lineRule="auto"/>
              <w:ind w:firstLine="480" w:firstLineChars="200"/>
              <w:rPr>
                <w:rFonts w:hint="eastAsia" w:ascii="Times New Roman" w:hAnsi="Times New Roman" w:cs="Times New Roman"/>
                <w:b w:val="0"/>
                <w:bCs w:val="0"/>
                <w:color w:val="auto"/>
                <w:sz w:val="24"/>
                <w:szCs w:val="24"/>
                <w:u w:val="none"/>
                <w:lang w:eastAsia="zh-CN"/>
              </w:rPr>
            </w:pPr>
            <w:r>
              <w:rPr>
                <w:rFonts w:hint="eastAsia" w:ascii="Times New Roman" w:hAnsi="Times New Roman" w:cs="Times New Roman"/>
                <w:b w:val="0"/>
                <w:bCs w:val="0"/>
                <w:color w:val="auto"/>
                <w:sz w:val="24"/>
                <w:szCs w:val="24"/>
                <w:u w:val="none"/>
                <w:lang w:eastAsia="zh-CN"/>
              </w:rPr>
              <w:t>②新增橡胶胶片硫化工序，用于生产皮带输送清扫器的零部件，自产自用，不对外</w:t>
            </w:r>
            <w:r>
              <w:rPr>
                <w:rFonts w:hint="eastAsia" w:ascii="Times New Roman" w:hAnsi="Times New Roman" w:cs="Times New Roman"/>
                <w:b w:val="0"/>
                <w:bCs w:val="0"/>
                <w:color w:val="auto"/>
                <w:sz w:val="24"/>
                <w:szCs w:val="24"/>
                <w:u w:val="none"/>
                <w:lang w:val="en-US" w:eastAsia="zh-CN"/>
              </w:rPr>
              <w:t>销售。</w:t>
            </w:r>
          </w:p>
          <w:p>
            <w:pPr>
              <w:spacing w:line="360" w:lineRule="auto"/>
              <w:ind w:firstLine="480" w:firstLineChars="200"/>
              <w:rPr>
                <w:rFonts w:hint="eastAsia" w:ascii="Times New Roman" w:hAnsi="Times New Roman" w:cs="Times New Roman"/>
                <w:b w:val="0"/>
                <w:bCs w:val="0"/>
                <w:color w:val="auto"/>
                <w:sz w:val="24"/>
                <w:szCs w:val="24"/>
                <w:u w:val="none"/>
                <w:lang w:eastAsia="zh-CN"/>
              </w:rPr>
            </w:pPr>
            <w:r>
              <w:rPr>
                <w:rFonts w:hint="eastAsia" w:ascii="Times New Roman" w:hAnsi="Times New Roman" w:cs="Times New Roman"/>
                <w:b w:val="0"/>
                <w:bCs w:val="0"/>
                <w:color w:val="auto"/>
                <w:sz w:val="24"/>
                <w:szCs w:val="24"/>
                <w:u w:val="none"/>
                <w:lang w:eastAsia="zh-CN"/>
              </w:rPr>
              <w:t>③新增一条大构件喷塑线（以液化天然气为能源）。</w:t>
            </w:r>
          </w:p>
          <w:p>
            <w:pPr>
              <w:spacing w:line="360" w:lineRule="auto"/>
              <w:ind w:firstLine="480" w:firstLineChars="200"/>
              <w:rPr>
                <w:rFonts w:hint="eastAsia" w:ascii="Times New Roman" w:hAnsi="Times New Roman" w:cs="Times New Roman"/>
                <w:color w:val="auto"/>
                <w:sz w:val="24"/>
                <w:szCs w:val="24"/>
                <w:u w:val="none"/>
                <w:lang w:val="en-US" w:eastAsia="zh-CN"/>
              </w:rPr>
            </w:pPr>
            <w:r>
              <w:rPr>
                <w:rFonts w:hint="eastAsia" w:ascii="Times New Roman" w:hAnsi="Times New Roman" w:cs="Times New Roman"/>
                <w:b w:val="0"/>
                <w:bCs w:val="0"/>
                <w:color w:val="auto"/>
                <w:sz w:val="24"/>
                <w:szCs w:val="24"/>
                <w:u w:val="none"/>
                <w:lang w:eastAsia="zh-CN"/>
              </w:rPr>
              <w:t>④喷砂工艺改为抛丸工艺</w:t>
            </w:r>
            <w:r>
              <w:rPr>
                <w:rFonts w:hint="eastAsia" w:ascii="Times New Roman" w:hAnsi="Times New Roman" w:cs="Times New Roman"/>
                <w:color w:val="auto"/>
                <w:sz w:val="24"/>
                <w:szCs w:val="24"/>
                <w:u w:val="none"/>
                <w:lang w:val="en-US" w:eastAsia="zh-CN"/>
              </w:rPr>
              <w:t>。</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对照《关于印发&lt;污染影响类建设项目重大变动清单（试行）&gt;的通知》（环办环评函【2020】688号），项目属于重大变动。</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变动内容见下表2.1。</w:t>
            </w:r>
          </w:p>
          <w:p>
            <w:pPr>
              <w:spacing w:line="24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 xml:space="preserve">1  </w:t>
            </w:r>
            <w:r>
              <w:rPr>
                <w:rFonts w:hint="eastAsia" w:ascii="Times New Roman" w:hAnsi="Times New Roman"/>
                <w:b/>
                <w:bCs w:val="0"/>
                <w:color w:val="auto"/>
                <w:sz w:val="24"/>
                <w:szCs w:val="24"/>
                <w:lang w:eastAsia="zh-CN" w:bidi="ar"/>
              </w:rPr>
              <w:t>《关于印发</w:t>
            </w:r>
            <w:r>
              <w:rPr>
                <w:rFonts w:hint="eastAsia" w:ascii="Times New Roman" w:hAnsi="Times New Roman"/>
                <w:b/>
                <w:bCs w:val="0"/>
                <w:color w:val="auto"/>
                <w:sz w:val="24"/>
                <w:szCs w:val="24"/>
                <w:lang w:val="en-US" w:eastAsia="zh-CN" w:bidi="ar"/>
              </w:rPr>
              <w:t>&lt;污染影响类建设项目重大变动清单（试行）&gt;的通知</w:t>
            </w:r>
            <w:r>
              <w:rPr>
                <w:rFonts w:hint="eastAsia" w:ascii="Times New Roman" w:hAnsi="Times New Roman"/>
                <w:b/>
                <w:bCs w:val="0"/>
                <w:color w:val="auto"/>
                <w:sz w:val="24"/>
                <w:szCs w:val="24"/>
                <w:lang w:eastAsia="zh-CN" w:bidi="ar"/>
              </w:rPr>
              <w:t>》</w:t>
            </w:r>
          </w:p>
          <w:tbl>
            <w:tblPr>
              <w:tblStyle w:val="2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5268"/>
              <w:gridCol w:w="2226"/>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类别</w:t>
                  </w:r>
                </w:p>
              </w:tc>
              <w:tc>
                <w:tcPr>
                  <w:tcW w:w="5206" w:type="dxa"/>
                  <w:shd w:val="clear" w:color="auto" w:fill="auto"/>
                  <w:vAlign w:val="center"/>
                </w:tcPr>
                <w:p>
                  <w:pPr>
                    <w:jc w:val="center"/>
                    <w:rPr>
                      <w:rFonts w:hint="default" w:ascii="Times New Roman" w:hAnsi="Times New Roman" w:cs="Times New Roman"/>
                      <w:color w:val="auto"/>
                    </w:rPr>
                  </w:pPr>
                  <w:r>
                    <w:rPr>
                      <w:rFonts w:hint="eastAsia" w:ascii="Times New Roman" w:hAnsi="Times New Roman"/>
                      <w:b w:val="0"/>
                      <w:bCs/>
                      <w:color w:val="auto"/>
                      <w:sz w:val="21"/>
                      <w:szCs w:val="21"/>
                      <w:lang w:eastAsia="zh-CN" w:bidi="ar"/>
                    </w:rPr>
                    <w:t>《关于印发</w:t>
                  </w:r>
                  <w:r>
                    <w:rPr>
                      <w:rFonts w:hint="eastAsia" w:ascii="Times New Roman" w:hAnsi="Times New Roman"/>
                      <w:b w:val="0"/>
                      <w:bCs/>
                      <w:color w:val="auto"/>
                      <w:sz w:val="21"/>
                      <w:szCs w:val="21"/>
                      <w:lang w:val="en-US" w:eastAsia="zh-CN" w:bidi="ar"/>
                    </w:rPr>
                    <w:t>&lt;污染影响类建设项目重大变动清单（试行）&gt;的通知</w:t>
                  </w:r>
                  <w:r>
                    <w:rPr>
                      <w:rFonts w:hint="eastAsia" w:ascii="Times New Roman" w:hAnsi="Times New Roman"/>
                      <w:b w:val="0"/>
                      <w:bCs/>
                      <w:color w:val="auto"/>
                      <w:sz w:val="21"/>
                      <w:szCs w:val="21"/>
                      <w:lang w:eastAsia="zh-CN" w:bidi="ar"/>
                    </w:rPr>
                    <w:t>》内容</w:t>
                  </w:r>
                </w:p>
              </w:tc>
              <w:tc>
                <w:tcPr>
                  <w:tcW w:w="2200" w:type="dxa"/>
                  <w:shd w:val="clear" w:color="auto" w:fill="auto"/>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本项目</w:t>
                  </w:r>
                </w:p>
              </w:tc>
              <w:tc>
                <w:tcPr>
                  <w:tcW w:w="1108" w:type="dxa"/>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shd w:val="clear" w:color="auto" w:fill="auto"/>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性质</w:t>
                  </w:r>
                </w:p>
              </w:tc>
              <w:tc>
                <w:tcPr>
                  <w:tcW w:w="520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1.建设项目开发、使用功能发生变化的。</w:t>
                  </w:r>
                </w:p>
              </w:tc>
              <w:tc>
                <w:tcPr>
                  <w:tcW w:w="220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color w:val="auto"/>
                      <w:lang w:eastAsia="zh-CN"/>
                    </w:rPr>
                  </w:pPr>
                  <w:r>
                    <w:rPr>
                      <w:rFonts w:hint="eastAsia" w:ascii="Times New Roman" w:hAnsi="Times New Roman" w:cs="Times New Roman"/>
                      <w:color w:val="auto"/>
                      <w:lang w:eastAsia="zh-CN"/>
                    </w:rPr>
                    <w:t>未发生变化。</w:t>
                  </w:r>
                </w:p>
              </w:tc>
              <w:tc>
                <w:tcPr>
                  <w:tcW w:w="1108" w:type="dxa"/>
                  <w:shd w:val="clear" w:color="auto" w:fill="auto"/>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shd w:val="clear" w:color="auto" w:fill="auto"/>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规模</w:t>
                  </w:r>
                </w:p>
              </w:tc>
              <w:tc>
                <w:tcPr>
                  <w:tcW w:w="520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2.生产、处置或储存能力增大30%及以上的。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3.生产、处置或储存能力增大，导致废水第一类污染物排放量增加的。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color w:val="auto"/>
                      <w:lang w:val="en-US" w:eastAsia="zh-CN"/>
                    </w:rPr>
                  </w:pPr>
                  <w:r>
                    <w:rPr>
                      <w:rFonts w:hint="default" w:ascii="Times New Roman" w:hAnsi="Times New Roman" w:cs="Times New Roman"/>
                      <w:color w:val="auto"/>
                      <w:lang w:val="en-US" w:eastAsia="zh-CN"/>
                    </w:rPr>
                    <w:t>4.位于环境质量不达标区的建设项目生产、处置或储存能力增大，导致相应污染物排放量增加的（细颗粒物不达标区，相应污染物为二</w:t>
                  </w:r>
                  <w:r>
                    <w:rPr>
                      <w:rFonts w:hint="eastAsia"/>
                      <w:color w:val="auto"/>
                      <w:lang w:val="en-US" w:eastAsia="zh-CN"/>
                    </w:rPr>
                    <w:t>氧化硫、氮氧化物、可吸入颗粒</w:t>
                  </w:r>
                  <w:r>
                    <w:rPr>
                      <w:rFonts w:hint="default" w:ascii="Times New Roman" w:hAnsi="Times New Roman" w:cs="Times New Roman"/>
                      <w:color w:val="auto"/>
                      <w:lang w:val="en-US" w:eastAsia="zh-CN"/>
                    </w:rPr>
                    <w:t>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20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color w:val="auto"/>
                      <w:lang w:eastAsia="zh-CN"/>
                    </w:rPr>
                  </w:pPr>
                  <w:r>
                    <w:rPr>
                      <w:rFonts w:hint="eastAsia" w:ascii="Times New Roman" w:hAnsi="Times New Roman" w:cs="Times New Roman"/>
                      <w:color w:val="auto"/>
                      <w:lang w:eastAsia="zh-CN"/>
                    </w:rPr>
                    <w:t>未发生变化。</w:t>
                  </w:r>
                </w:p>
              </w:tc>
              <w:tc>
                <w:tcPr>
                  <w:tcW w:w="1108" w:type="dxa"/>
                  <w:shd w:val="clear" w:color="auto" w:fill="auto"/>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shd w:val="clear" w:color="auto" w:fill="auto"/>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地点</w:t>
                  </w:r>
                </w:p>
              </w:tc>
              <w:tc>
                <w:tcPr>
                  <w:tcW w:w="520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r>
                    <w:rPr>
                      <w:rFonts w:hint="eastAsia" w:ascii="Times New Roman" w:hAnsi="Times New Roman" w:cs="Times New Roman"/>
                      <w:b w:val="0"/>
                      <w:bCs w:val="0"/>
                      <w:color w:val="auto"/>
                      <w:lang w:val="en-US" w:eastAsia="zh-CN"/>
                    </w:rPr>
                    <w:t>重新选址；</w:t>
                  </w:r>
                  <w:r>
                    <w:rPr>
                      <w:rFonts w:hint="eastAsia" w:ascii="Times New Roman" w:hAnsi="Times New Roman" w:cs="Times New Roman"/>
                      <w:color w:val="auto"/>
                      <w:lang w:val="en-US" w:eastAsia="zh-CN"/>
                    </w:rPr>
                    <w:t>在原厂址附近调整（包括总平面布置变化）导致环境防护距离范围内变化且新增敏感点的。</w:t>
                  </w:r>
                </w:p>
              </w:tc>
              <w:tc>
                <w:tcPr>
                  <w:tcW w:w="220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color w:val="auto"/>
                      <w:lang w:eastAsia="zh-CN"/>
                    </w:rPr>
                  </w:pPr>
                  <w:r>
                    <w:rPr>
                      <w:rFonts w:hint="eastAsia" w:ascii="Times New Roman" w:hAnsi="Times New Roman" w:cs="Times New Roman"/>
                      <w:color w:val="auto"/>
                      <w:lang w:eastAsia="zh-CN"/>
                    </w:rPr>
                    <w:t>未发生变化。</w:t>
                  </w:r>
                </w:p>
              </w:tc>
              <w:tc>
                <w:tcPr>
                  <w:tcW w:w="1108" w:type="dxa"/>
                  <w:shd w:val="clear" w:color="auto" w:fill="auto"/>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shd w:val="clear" w:color="auto" w:fill="D7D7D7" w:themeFill="background1" w:themeFillShade="D8"/>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生产工艺</w:t>
                  </w:r>
                </w:p>
              </w:tc>
              <w:tc>
                <w:tcPr>
                  <w:tcW w:w="5206"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6.新增产品品种或生产工艺（含主要生产装置、设备及配套设施）、主要原辅材料、燃料变化，导致以下情形之一：</w:t>
                  </w:r>
                </w:p>
                <w:p>
                  <w:pPr>
                    <w:keepNext w:val="0"/>
                    <w:keepLines w:val="0"/>
                    <w:pageBreakBefore w:val="0"/>
                    <w:widowControl w:val="0"/>
                    <w:kinsoku/>
                    <w:wordWrap/>
                    <w:overflowPunct/>
                    <w:topLinePunct w:val="0"/>
                    <w:autoSpaceDE/>
                    <w:autoSpaceDN/>
                    <w:bidi w:val="0"/>
                    <w:adjustRightInd/>
                    <w:snapToGrid/>
                    <w:ind w:firstLine="422" w:firstLineChars="200"/>
                    <w:jc w:val="both"/>
                    <w:textAlignment w:val="auto"/>
                    <w:rPr>
                      <w:rFonts w:hint="default" w:ascii="Times New Roman" w:hAnsi="Times New Roman" w:cs="Times New Roman"/>
                      <w:color w:val="auto"/>
                    </w:rPr>
                  </w:pPr>
                  <w:r>
                    <w:rPr>
                      <w:rFonts w:hint="default" w:ascii="Times New Roman" w:hAnsi="Times New Roman" w:cs="Times New Roman"/>
                      <w:b/>
                      <w:bCs/>
                      <w:color w:val="auto"/>
                    </w:rPr>
                    <w:t>（1）新增排放污染物种类的（毒性、挥发性降低的除外）</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default" w:ascii="Times New Roman" w:hAnsi="Times New Roman" w:cs="Times New Roman"/>
                      <w:color w:val="auto"/>
                    </w:rPr>
                  </w:pPr>
                  <w:r>
                    <w:rPr>
                      <w:rFonts w:hint="default" w:ascii="Times New Roman" w:hAnsi="Times New Roman" w:cs="Times New Roman"/>
                      <w:b/>
                      <w:bCs/>
                      <w:color w:val="auto"/>
                    </w:rPr>
                    <w:t>（2）位于环境质量不达标区的建设项目相应污染物排放量增加的</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（3）废水第一类污染物排放量增加的；</w:t>
                  </w:r>
                </w:p>
                <w:p>
                  <w:pPr>
                    <w:jc w:val="center"/>
                    <w:rPr>
                      <w:rFonts w:hint="default" w:ascii="Times New Roman" w:hAnsi="Times New Roman" w:cs="Times New Roman"/>
                      <w:color w:val="auto"/>
                    </w:rPr>
                  </w:pPr>
                  <w:r>
                    <w:rPr>
                      <w:rFonts w:hint="default" w:ascii="Times New Roman" w:hAnsi="Times New Roman" w:cs="Times New Roman"/>
                      <w:color w:val="auto"/>
                    </w:rPr>
                    <w:t>（4）其他污染物排放量增加10%及以上的。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eastAsia="宋体"/>
                      <w:color w:val="auto"/>
                      <w:lang w:val="en-US" w:eastAsia="zh-CN"/>
                    </w:rPr>
                  </w:pPr>
                  <w:r>
                    <w:rPr>
                      <w:rFonts w:hint="default" w:ascii="Times New Roman" w:hAnsi="Times New Roman" w:cs="Times New Roman"/>
                      <w:color w:val="auto"/>
                      <w:lang w:val="en-US" w:eastAsia="zh-CN"/>
                    </w:rPr>
                    <w:t>7.物料运输、装卸、贮存方式变化，导致大气污染物无组织排放量增加10%及以上的。</w:t>
                  </w:r>
                </w:p>
              </w:tc>
              <w:tc>
                <w:tcPr>
                  <w:tcW w:w="2200"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eastAsiaTheme="minorEastAsia"/>
                      <w:color w:val="auto"/>
                      <w:lang w:eastAsia="zh-CN"/>
                    </w:rPr>
                  </w:pPr>
                  <w:r>
                    <w:rPr>
                      <w:rFonts w:hint="eastAsia" w:ascii="Times New Roman" w:hAnsi="Times New Roman" w:cs="Times New Roman"/>
                      <w:b w:val="0"/>
                      <w:bCs w:val="0"/>
                      <w:color w:val="auto"/>
                      <w:lang w:eastAsia="zh-CN"/>
                    </w:rPr>
                    <w:t>①新增木质包装箱生产线，木质包装箱自产自用，不对外销售。②新增橡胶胶片硫化工序，用于生产皮带输送清扫器的零部件，自产自用，不对外销售。③新增一条大构件喷塑线（以液化天然气为能源）。④喷砂工艺改为抛丸工艺。</w:t>
                  </w:r>
                </w:p>
              </w:tc>
              <w:tc>
                <w:tcPr>
                  <w:tcW w:w="1108" w:type="dxa"/>
                  <w:shd w:val="clear" w:color="auto" w:fill="D7D7D7" w:themeFill="background1" w:themeFillShade="D8"/>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b/>
                      <w:bCs/>
                      <w:color w:val="auto"/>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环境保护措施</w:t>
                  </w:r>
                </w:p>
              </w:tc>
              <w:tc>
                <w:tcPr>
                  <w:tcW w:w="520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8.废气、废水污染防治措施变化，导致第6条中所列情形之一（废气无组织排放改为有组织排放、污染防治措施强化或改进的除外）或大气污染物无组织排放量增加10%及以上的。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9.新增废水直接排放口；废水由间接排放改为直接拍饭；废水直接排放口位置变化，导致不利环境影响加重的。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10.新增废气主要排放口（废气无组织排放改为有组织排放的除外）；主要排放口排气筒高度降低10%及以上的。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11.噪声、土壤或地下水污染防治措施变化，导致不利环境影响加重的。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220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未发生变化。</w:t>
                  </w:r>
                </w:p>
              </w:tc>
              <w:tc>
                <w:tcPr>
                  <w:tcW w:w="1108" w:type="dxa"/>
                  <w:shd w:val="clear" w:color="auto" w:fill="auto"/>
                  <w:vAlign w:val="center"/>
                </w:tcPr>
                <w:p>
                  <w:pPr>
                    <w:jc w:val="center"/>
                    <w:rPr>
                      <w:rFonts w:hint="default" w:ascii="Times New Roman" w:hAnsi="Times New Roman" w:cs="Times New Roman"/>
                      <w:color w:val="auto"/>
                    </w:rPr>
                  </w:pPr>
                  <w:r>
                    <w:rPr>
                      <w:rFonts w:hint="eastAsia" w:ascii="Times New Roman" w:hAnsi="Times New Roman" w:cs="Times New Roman"/>
                      <w:color w:val="auto"/>
                      <w:lang w:eastAsia="zh-CN"/>
                    </w:rPr>
                    <w:t>否</w:t>
                  </w:r>
                </w:p>
              </w:tc>
            </w:tr>
          </w:tbl>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对照表</w:t>
            </w:r>
            <w:r>
              <w:rPr>
                <w:rFonts w:hint="eastAsia" w:ascii="Times New Roman" w:hAnsi="Times New Roman" w:cs="Times New Roman"/>
                <w:color w:val="auto"/>
                <w:sz w:val="24"/>
                <w:szCs w:val="24"/>
                <w:lang w:val="en-US" w:eastAsia="zh-CN"/>
              </w:rPr>
              <w:t>2.1可知，本项目属于“重大变动”。《中华人民共和国环境影响评价法（2018修正版）》：“第二十四条 建设项目的环境影响评价文件经批准后，建设项目的性质、规模、地点、采用的生产工艺或者防治污染、防止生态破坏的措施发生重大变动的，建设单位应当重新报批建设项目的环境影响评价文件。”</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因此，建设单位应当重新报批建设项目的环境影响评价文件。</w:t>
            </w:r>
          </w:p>
          <w:p>
            <w:pPr>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、建设项目</w:t>
            </w:r>
            <w:r>
              <w:rPr>
                <w:rFonts w:hint="default" w:ascii="Times New Roman" w:hAnsi="Times New Roman" w:cs="Times New Roman"/>
                <w:b/>
                <w:bCs/>
                <w:color w:val="auto"/>
                <w:sz w:val="24"/>
                <w:szCs w:val="24"/>
              </w:rPr>
              <w:t>建设内容</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项目</w:t>
            </w:r>
            <w:r>
              <w:rPr>
                <w:rFonts w:hint="eastAsia" w:ascii="Times New Roman" w:hAnsi="Times New Roman" w:cs="Times New Roman"/>
                <w:color w:val="auto"/>
                <w:sz w:val="24"/>
                <w:szCs w:val="24"/>
                <w:lang w:val="en-US" w:eastAsia="zh-CN"/>
              </w:rPr>
              <w:t>规划总用地面积为20399.0m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vertAlign w:val="baseline"/>
                <w:lang w:val="en-US" w:eastAsia="zh-CN"/>
              </w:rPr>
              <w:t>（合30.5985亩）</w:t>
            </w:r>
            <w:r>
              <w:rPr>
                <w:rFonts w:hint="eastAsia" w:ascii="Times New Roman" w:hAnsi="Times New Roman" w:cs="Times New Roman"/>
                <w:color w:val="auto"/>
                <w:sz w:val="24"/>
                <w:szCs w:val="24"/>
                <w:lang w:val="en-US" w:eastAsia="zh-CN"/>
              </w:rPr>
              <w:t>，总建筑面积14535.32m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eastAsia="zh-CN"/>
              </w:rPr>
              <w:t>，规划建设厂房、门卫室</w:t>
            </w:r>
            <w:r>
              <w:rPr>
                <w:rFonts w:hint="eastAsia" w:ascii="Times New Roman" w:hAnsi="Times New Roman" w:cs="Times New Roman"/>
                <w:color w:val="auto"/>
                <w:sz w:val="24"/>
                <w:szCs w:val="24"/>
                <w:lang w:val="en-US" w:eastAsia="zh-CN"/>
              </w:rPr>
              <w:t>1、门卫室2、配电室</w:t>
            </w:r>
            <w:r>
              <w:rPr>
                <w:rFonts w:hint="eastAsia" w:ascii="Times New Roman" w:hAnsi="Times New Roman" w:cs="Times New Roman"/>
                <w:color w:val="auto"/>
                <w:sz w:val="24"/>
                <w:szCs w:val="24"/>
                <w:lang w:eastAsia="zh-CN"/>
              </w:rPr>
              <w:t>建筑物，</w:t>
            </w:r>
            <w:r>
              <w:rPr>
                <w:rFonts w:hint="default" w:ascii="Times New Roman" w:hAnsi="Times New Roman" w:cs="Times New Roman"/>
                <w:color w:val="auto"/>
                <w:sz w:val="24"/>
                <w:szCs w:val="24"/>
                <w:lang w:val="en-US" w:eastAsia="zh-CN"/>
              </w:rPr>
              <w:t>购置</w:t>
            </w:r>
            <w:r>
              <w:rPr>
                <w:rFonts w:hint="eastAsia" w:ascii="Times New Roman" w:hAnsi="Times New Roman" w:cs="Times New Roman"/>
                <w:color w:val="auto"/>
                <w:sz w:val="24"/>
                <w:szCs w:val="24"/>
                <w:lang w:eastAsia="zh-CN"/>
              </w:rPr>
              <w:t>激光气割机、精密铣床、车床、摇臂钻床、电焊机、</w:t>
            </w:r>
            <w:r>
              <w:rPr>
                <w:rFonts w:hint="eastAsia" w:ascii="Times New Roman" w:hAnsi="Times New Roman" w:cs="Times New Roman"/>
                <w:b w:val="0"/>
                <w:bCs w:val="0"/>
                <w:color w:val="auto"/>
                <w:sz w:val="24"/>
                <w:szCs w:val="24"/>
                <w:vertAlign w:val="baseline"/>
                <w:lang w:val="en-US" w:eastAsia="zh-CN"/>
              </w:rPr>
              <w:t>折弯机、平板硫化机、吊钩式抛丸清理机、锯床</w:t>
            </w:r>
            <w:r>
              <w:rPr>
                <w:rFonts w:hint="default" w:ascii="Times New Roman" w:hAnsi="Times New Roman" w:cs="Times New Roman"/>
                <w:color w:val="auto"/>
                <w:sz w:val="24"/>
                <w:szCs w:val="24"/>
                <w:lang w:val="en-US" w:eastAsia="zh-CN"/>
              </w:rPr>
              <w:t>等生产加工设备，</w:t>
            </w:r>
            <w:r>
              <w:rPr>
                <w:rFonts w:hint="default" w:ascii="Times New Roman" w:hAnsi="Times New Roman" w:cs="Times New Roman"/>
                <w:color w:val="auto"/>
                <w:sz w:val="24"/>
                <w:szCs w:val="24"/>
                <w:lang w:eastAsia="zh-CN"/>
              </w:rPr>
              <w:t>并配套建设给排水、变配电、消防、绿化等辅助设施</w:t>
            </w:r>
            <w:r>
              <w:rPr>
                <w:rFonts w:hint="default" w:ascii="Times New Roman" w:hAnsi="Times New Roman" w:cs="Times New Roman"/>
                <w:color w:val="auto"/>
                <w:sz w:val="24"/>
                <w:szCs w:val="24"/>
                <w:lang w:val="en-US" w:eastAsia="zh-CN"/>
              </w:rPr>
              <w:t>。项目建成后</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可实现</w:t>
            </w:r>
            <w:r>
              <w:rPr>
                <w:rFonts w:hint="default" w:ascii="Times New Roman" w:hAnsi="Times New Roman" w:cs="Times New Roman"/>
                <w:color w:val="auto"/>
                <w:sz w:val="24"/>
                <w:szCs w:val="24"/>
                <w:lang w:eastAsia="zh-CN"/>
              </w:rPr>
              <w:t>年产</w:t>
            </w:r>
            <w:r>
              <w:rPr>
                <w:rFonts w:hint="eastAsia" w:ascii="Times New Roman" w:hAnsi="Times New Roman" w:cs="Times New Roman"/>
                <w:color w:val="auto"/>
                <w:sz w:val="24"/>
                <w:szCs w:val="24"/>
                <w:lang w:val="en-US" w:eastAsia="zh-CN"/>
              </w:rPr>
              <w:t>500套矿山电厂环保除尘设备和6000台矿山皮带输送类配套设备</w:t>
            </w:r>
            <w:r>
              <w:rPr>
                <w:rFonts w:hint="default" w:ascii="Times New Roman" w:hAnsi="Times New Roman" w:cs="Times New Roman"/>
                <w:color w:val="auto"/>
                <w:sz w:val="24"/>
                <w:szCs w:val="24"/>
                <w:lang w:eastAsia="zh-CN"/>
              </w:rPr>
              <w:t>的生产能力。</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项目建设内容一览表见表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 xml:space="preserve">  项目建设内容一览表</w:t>
            </w:r>
          </w:p>
          <w:tbl>
            <w:tblPr>
              <w:tblStyle w:val="2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645"/>
              <w:gridCol w:w="2718"/>
              <w:gridCol w:w="2718"/>
              <w:gridCol w:w="2374"/>
              <w:gridCol w:w="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工程类别</w:t>
                  </w:r>
                </w:p>
              </w:tc>
              <w:tc>
                <w:tcPr>
                  <w:tcW w:w="66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单项工程</w:t>
                  </w:r>
                </w:p>
              </w:tc>
              <w:tc>
                <w:tcPr>
                  <w:tcW w:w="2835" w:type="dxa"/>
                  <w:noWrap w:val="0"/>
                  <w:vAlign w:val="center"/>
                </w:tcPr>
                <w:p>
                  <w:pPr>
                    <w:jc w:val="center"/>
                    <w:rPr>
                      <w:rFonts w:hint="default" w:ascii="Times New Roman" w:hAnsi="Times New Roman" w:cs="Times New Roman"/>
                      <w:color w:val="auto"/>
                    </w:rPr>
                  </w:pPr>
                  <w:r>
                    <w:rPr>
                      <w:rFonts w:hint="eastAsia" w:ascii="Times New Roman" w:hAnsi="Times New Roman" w:cs="Times New Roman"/>
                      <w:color w:val="auto"/>
                      <w:lang w:eastAsia="zh-CN"/>
                    </w:rPr>
                    <w:t>原环评批复</w:t>
                  </w:r>
                  <w:r>
                    <w:rPr>
                      <w:rFonts w:hint="default" w:ascii="Times New Roman" w:hAnsi="Times New Roman" w:cs="Times New Roman"/>
                      <w:color w:val="auto"/>
                    </w:rPr>
                    <w:t>工程内容及规模</w:t>
                  </w:r>
                </w:p>
              </w:tc>
              <w:tc>
                <w:tcPr>
                  <w:tcW w:w="2835" w:type="dxa"/>
                  <w:noWrap w:val="0"/>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本项目工程内容及规模</w:t>
                  </w:r>
                </w:p>
              </w:tc>
              <w:tc>
                <w:tcPr>
                  <w:tcW w:w="2475" w:type="dxa"/>
                  <w:noWrap w:val="0"/>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变化情况</w:t>
                  </w:r>
                </w:p>
              </w:tc>
              <w:tc>
                <w:tcPr>
                  <w:tcW w:w="481"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37"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主体工程</w:t>
                  </w:r>
                </w:p>
              </w:tc>
              <w:tc>
                <w:tcPr>
                  <w:tcW w:w="665"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生产车间</w:t>
                  </w:r>
                </w:p>
              </w:tc>
              <w:tc>
                <w:tcPr>
                  <w:tcW w:w="2835" w:type="dxa"/>
                  <w:noWrap w:val="0"/>
                  <w:vAlign w:val="center"/>
                </w:tcPr>
                <w:p>
                  <w:pPr>
                    <w:spacing w:line="240" w:lineRule="auto"/>
                    <w:ind w:firstLine="420" w:firstLineChars="20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1F</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钢结构，建筑面积</w:t>
                  </w:r>
                  <w:r>
                    <w:rPr>
                      <w:rFonts w:hint="default" w:ascii="Times New Roman" w:hAnsi="Times New Roman" w:cs="Times New Roman"/>
                      <w:color w:val="auto"/>
                      <w:sz w:val="21"/>
                      <w:szCs w:val="21"/>
                      <w:lang w:eastAsia="zh-CN"/>
                    </w:rPr>
                    <w:t>约</w:t>
                  </w:r>
                  <w:r>
                    <w:rPr>
                      <w:rFonts w:hint="default" w:ascii="Times New Roman" w:hAnsi="Times New Roman" w:cs="Times New Roman"/>
                      <w:color w:val="auto"/>
                      <w:sz w:val="21"/>
                      <w:szCs w:val="21"/>
                    </w:rPr>
                    <w:t>为</w:t>
                  </w:r>
                  <w:r>
                    <w:rPr>
                      <w:rFonts w:hint="eastAsia"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000m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，内置</w:t>
                  </w:r>
                  <w:r>
                    <w:rPr>
                      <w:rFonts w:hint="eastAsia" w:ascii="Times New Roman" w:hAnsi="Times New Roman" w:cs="Times New Roman"/>
                      <w:color w:val="auto"/>
                      <w:sz w:val="21"/>
                      <w:szCs w:val="21"/>
                      <w:lang w:val="en-US" w:eastAsia="zh-CN"/>
                    </w:rPr>
                    <w:t>立式锯床、普通车床、铣床等生产加工设备</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项目建成后可实现</w:t>
                  </w:r>
                  <w:r>
                    <w:rPr>
                      <w:rFonts w:hint="eastAsia" w:ascii="Times New Roman" w:hAnsi="Times New Roman" w:cs="Times New Roman"/>
                      <w:color w:val="auto"/>
                      <w:sz w:val="21"/>
                      <w:szCs w:val="21"/>
                      <w:vertAlign w:val="baseline"/>
                      <w:lang w:eastAsia="zh-CN"/>
                    </w:rPr>
                    <w:t>年产500套矿山电厂环保降尘设备和6000台矿山皮带输送类配套设备的生产能力</w:t>
                  </w:r>
                  <w:r>
                    <w:rPr>
                      <w:rFonts w:hint="default" w:ascii="Times New Roman" w:hAnsi="Times New Roman" w:cs="Times New Roman"/>
                      <w:color w:val="auto"/>
                      <w:sz w:val="21"/>
                      <w:szCs w:val="21"/>
                    </w:rPr>
                    <w:t>。</w:t>
                  </w:r>
                </w:p>
              </w:tc>
              <w:tc>
                <w:tcPr>
                  <w:tcW w:w="2835" w:type="dxa"/>
                  <w:noWrap w:val="0"/>
                  <w:vAlign w:val="center"/>
                </w:tcPr>
                <w:p>
                  <w:pPr>
                    <w:spacing w:line="240" w:lineRule="auto"/>
                    <w:ind w:firstLine="420" w:firstLineChars="2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1F，钢结构，总建筑面积14327.08m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购置</w:t>
                  </w:r>
                  <w:r>
                    <w:rPr>
                      <w:rFonts w:hint="eastAsia" w:ascii="Times New Roman" w:hAnsi="Times New Roman" w:cs="Times New Roman"/>
                      <w:color w:val="auto"/>
                      <w:sz w:val="21"/>
                      <w:szCs w:val="21"/>
                      <w:lang w:eastAsia="zh-CN"/>
                    </w:rPr>
                    <w:t>激光气割机、精密铣床、车床、摇臂钻床、电焊机、</w:t>
                  </w:r>
                  <w:r>
                    <w:rPr>
                      <w:rFonts w:hint="eastAsia" w:ascii="Times New Roman" w:hAnsi="Times New Roman" w:cs="Times New Roman"/>
                      <w:b w:val="0"/>
                      <w:bCs w:val="0"/>
                      <w:color w:val="auto"/>
                      <w:sz w:val="21"/>
                      <w:szCs w:val="21"/>
                      <w:vertAlign w:val="baseline"/>
                      <w:lang w:val="en-US" w:eastAsia="zh-CN"/>
                    </w:rPr>
                    <w:t>折弯机、平板硫化机、吊钩式抛丸清理机、锯床</w:t>
                  </w:r>
                  <w:r>
                    <w:rPr>
                      <w:rFonts w:hint="default" w:ascii="Times New Roman" w:hAnsi="Times New Roman" w:cs="Times New Roman"/>
                      <w:color w:val="auto"/>
                      <w:sz w:val="21"/>
                      <w:szCs w:val="21"/>
                      <w:lang w:val="en-US" w:eastAsia="zh-CN"/>
                    </w:rPr>
                    <w:t>等生产加工设备。项目建成后</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可实现</w:t>
                  </w:r>
                  <w:r>
                    <w:rPr>
                      <w:rFonts w:hint="default" w:ascii="Times New Roman" w:hAnsi="Times New Roman" w:cs="Times New Roman"/>
                      <w:color w:val="auto"/>
                      <w:sz w:val="21"/>
                      <w:szCs w:val="21"/>
                      <w:lang w:eastAsia="zh-CN"/>
                    </w:rPr>
                    <w:t>年产</w:t>
                  </w:r>
                  <w:r>
                    <w:rPr>
                      <w:rFonts w:hint="eastAsia" w:ascii="Times New Roman" w:hAnsi="Times New Roman" w:cs="Times New Roman"/>
                      <w:color w:val="auto"/>
                      <w:sz w:val="21"/>
                      <w:szCs w:val="21"/>
                      <w:lang w:val="en-US" w:eastAsia="zh-CN"/>
                    </w:rPr>
                    <w:t>500套矿山电厂环保除尘设备和6000台矿山皮带输送类配套设备</w:t>
                  </w:r>
                  <w:r>
                    <w:rPr>
                      <w:rFonts w:hint="default" w:ascii="Times New Roman" w:hAnsi="Times New Roman" w:cs="Times New Roman"/>
                      <w:color w:val="auto"/>
                      <w:sz w:val="21"/>
                      <w:szCs w:val="21"/>
                      <w:lang w:eastAsia="zh-CN"/>
                    </w:rPr>
                    <w:t>的生产能力</w:t>
                  </w:r>
                  <w:r>
                    <w:rPr>
                      <w:rFonts w:hint="eastAsia" w:ascii="Times New Roman" w:hAnsi="Times New Roman" w:cs="Times New Roman"/>
                      <w:color w:val="auto"/>
                      <w:sz w:val="21"/>
                      <w:szCs w:val="21"/>
                      <w:lang w:eastAsia="zh-CN"/>
                    </w:rPr>
                    <w:t>。</w:t>
                  </w:r>
                </w:p>
              </w:tc>
              <w:tc>
                <w:tcPr>
                  <w:tcW w:w="2475" w:type="dxa"/>
                  <w:noWrap w:val="0"/>
                  <w:vAlign w:val="center"/>
                </w:tcPr>
                <w:p>
                  <w:pPr>
                    <w:spacing w:line="240" w:lineRule="auto"/>
                    <w:ind w:firstLine="420" w:firstLineChars="20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u w:val="none"/>
                    </w:rPr>
                    <w:t>①</w:t>
                  </w:r>
                  <w:r>
                    <w:rPr>
                      <w:rFonts w:hint="eastAsia" w:ascii="Times New Roman" w:hAnsi="Times New Roman" w:cs="Times New Roman"/>
                      <w:color w:val="auto"/>
                      <w:sz w:val="21"/>
                      <w:szCs w:val="21"/>
                      <w:u w:val="none"/>
                      <w:lang w:eastAsia="zh-CN"/>
                    </w:rPr>
                    <w:t>总建筑面积发生变化，增加至</w:t>
                  </w:r>
                  <w:r>
                    <w:rPr>
                      <w:rFonts w:hint="eastAsia" w:ascii="Times New Roman" w:hAnsi="Times New Roman" w:cs="Times New Roman"/>
                      <w:color w:val="auto"/>
                      <w:sz w:val="21"/>
                      <w:szCs w:val="21"/>
                      <w:u w:val="none"/>
                      <w:lang w:val="en-US" w:eastAsia="zh-CN"/>
                    </w:rPr>
                    <w:t>14327.08m</w:t>
                  </w:r>
                  <w:r>
                    <w:rPr>
                      <w:rFonts w:hint="eastAsia" w:ascii="Times New Roman" w:hAnsi="Times New Roman" w:cs="Times New Roman"/>
                      <w:color w:val="auto"/>
                      <w:sz w:val="21"/>
                      <w:szCs w:val="21"/>
                      <w:u w:val="none"/>
                      <w:vertAlign w:val="superscript"/>
                      <w:lang w:val="en-US" w:eastAsia="zh-CN"/>
                    </w:rPr>
                    <w:t>2</w:t>
                  </w:r>
                  <w:r>
                    <w:rPr>
                      <w:rFonts w:hint="eastAsia" w:ascii="Times New Roman" w:hAnsi="Times New Roman" w:cs="Times New Roman"/>
                      <w:color w:val="auto"/>
                      <w:sz w:val="21"/>
                      <w:szCs w:val="21"/>
                      <w:u w:val="none"/>
                      <w:lang w:val="en-US" w:eastAsia="zh-CN"/>
                    </w:rPr>
                    <w:t>。</w:t>
                  </w:r>
                  <w:r>
                    <w:rPr>
                      <w:rFonts w:hint="eastAsia" w:ascii="Times New Roman" w:hAnsi="Times New Roman" w:cs="Times New Roman"/>
                      <w:b w:val="0"/>
                      <w:bCs w:val="0"/>
                      <w:color w:val="auto"/>
                      <w:sz w:val="21"/>
                      <w:szCs w:val="21"/>
                      <w:u w:val="none"/>
                      <w:lang w:eastAsia="zh-CN"/>
                    </w:rPr>
                    <w:t>②新增木质包装箱生产线，木质包装箱自产自用，不对外销售。③新增橡胶胶片硫化工序，用于生产皮带输送清扫器的零部件，自产自用，不对外销售。④新增一条大构件喷塑线（以液化天然气为能源）。⑤喷砂工艺改为抛丸工艺</w:t>
                  </w:r>
                  <w:r>
                    <w:rPr>
                      <w:rFonts w:hint="eastAsia" w:ascii="Times New Roman" w:hAnsi="Times New Roman" w:cs="Times New Roman"/>
                      <w:color w:val="auto"/>
                      <w:sz w:val="21"/>
                      <w:szCs w:val="21"/>
                      <w:u w:val="none"/>
                      <w:lang w:val="en-US" w:eastAsia="zh-CN"/>
                    </w:rPr>
                    <w:t>。</w:t>
                  </w:r>
                </w:p>
              </w:tc>
              <w:tc>
                <w:tcPr>
                  <w:tcW w:w="481"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辅助工程</w:t>
                  </w:r>
                </w:p>
              </w:tc>
              <w:tc>
                <w:tcPr>
                  <w:tcW w:w="665" w:type="dxa"/>
                  <w:noWrap w:val="0"/>
                  <w:vAlign w:val="center"/>
                </w:tcPr>
                <w:p>
                  <w:pPr>
                    <w:widowControl/>
                    <w:jc w:val="center"/>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办公</w:t>
                  </w:r>
                </w:p>
              </w:tc>
              <w:tc>
                <w:tcPr>
                  <w:tcW w:w="2835" w:type="dxa"/>
                  <w:noWrap w:val="0"/>
                  <w:vAlign w:val="center"/>
                </w:tcPr>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val="en-US" w:eastAsia="zh-CN"/>
                    </w:rPr>
                    <w:t>生产车间内隔间</w:t>
                  </w:r>
                  <w:r>
                    <w:rPr>
                      <w:rFonts w:hint="default" w:ascii="Times New Roman" w:hAnsi="Times New Roman" w:cs="Times New Roman"/>
                      <w:color w:val="auto"/>
                    </w:rPr>
                    <w:t>，用于厂区职工办公。</w:t>
                  </w:r>
                </w:p>
              </w:tc>
              <w:tc>
                <w:tcPr>
                  <w:tcW w:w="2835" w:type="dxa"/>
                  <w:noWrap w:val="0"/>
                  <w:vAlign w:val="center"/>
                </w:tcPr>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生产车间内隔间</w:t>
                  </w:r>
                  <w:r>
                    <w:rPr>
                      <w:rFonts w:hint="default" w:ascii="Times New Roman" w:hAnsi="Times New Roman" w:cs="Times New Roman"/>
                      <w:color w:val="auto"/>
                    </w:rPr>
                    <w:t>，用于厂区职工办公。</w:t>
                  </w:r>
                </w:p>
              </w:tc>
              <w:tc>
                <w:tcPr>
                  <w:tcW w:w="247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eastAsia="zh-CN"/>
                    </w:rPr>
                    <w:t>未发生变化</w:t>
                  </w:r>
                </w:p>
              </w:tc>
              <w:tc>
                <w:tcPr>
                  <w:tcW w:w="481" w:type="dxa"/>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widowControl/>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eastAsia="zh-CN"/>
                    </w:rPr>
                    <w:t>门卫室</w:t>
                  </w:r>
                  <w:r>
                    <w:rPr>
                      <w:rFonts w:hint="eastAsia" w:ascii="Times New Roman" w:hAnsi="Times New Roman" w:cs="Times New Roman"/>
                      <w:color w:val="auto"/>
                      <w:lang w:val="en-US" w:eastAsia="zh-CN"/>
                    </w:rPr>
                    <w:t>1</w:t>
                  </w:r>
                </w:p>
              </w:tc>
              <w:tc>
                <w:tcPr>
                  <w:tcW w:w="283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w:t>
                  </w:r>
                </w:p>
              </w:tc>
              <w:tc>
                <w:tcPr>
                  <w:tcW w:w="2835" w:type="dxa"/>
                  <w:noWrap w:val="0"/>
                  <w:vAlign w:val="center"/>
                </w:tcPr>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F，建筑面积</w:t>
                  </w:r>
                  <w:r>
                    <w:rPr>
                      <w:rFonts w:hint="eastAsia" w:ascii="Times New Roman" w:hAnsi="Times New Roman" w:cs="Times New Roman"/>
                      <w:color w:val="auto"/>
                      <w:lang w:val="en-US" w:eastAsia="zh-CN"/>
                    </w:rPr>
                    <w:t>68.12</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位于厂区北侧（含食堂、餐厅、多功能厅、门卫）</w:t>
                  </w:r>
                  <w:r>
                    <w:rPr>
                      <w:rFonts w:hint="eastAsia" w:ascii="Times New Roman" w:hAnsi="Times New Roman" w:cs="Times New Roman"/>
                      <w:color w:val="auto"/>
                      <w:lang w:eastAsia="zh-CN"/>
                    </w:rPr>
                    <w:t>。</w:t>
                  </w:r>
                </w:p>
              </w:tc>
              <w:tc>
                <w:tcPr>
                  <w:tcW w:w="247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发生变化</w:t>
                  </w:r>
                </w:p>
              </w:tc>
              <w:tc>
                <w:tcPr>
                  <w:tcW w:w="481" w:type="dxa"/>
                  <w:noWrap w:val="0"/>
                  <w:vAlign w:val="center"/>
                </w:tcPr>
                <w:p>
                  <w:pPr>
                    <w:jc w:val="center"/>
                    <w:rPr>
                      <w:rFonts w:hint="default" w:ascii="Times New Roman" w:hAnsi="Times New Roman" w:cs="Times New Roman"/>
                      <w:color w:val="auto"/>
                      <w:lang w:eastAsia="zh-CN"/>
                    </w:rPr>
                  </w:pPr>
                  <w:r>
                    <w:rPr>
                      <w:rFonts w:hint="eastAsia"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widowControl/>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门卫室</w:t>
                  </w:r>
                  <w:r>
                    <w:rPr>
                      <w:rFonts w:hint="eastAsia" w:ascii="Times New Roman" w:hAnsi="Times New Roman" w:cs="Times New Roman"/>
                      <w:color w:val="auto"/>
                      <w:lang w:val="en-US" w:eastAsia="zh-CN"/>
                    </w:rPr>
                    <w:t>2</w:t>
                  </w:r>
                </w:p>
              </w:tc>
              <w:tc>
                <w:tcPr>
                  <w:tcW w:w="283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2835" w:type="dxa"/>
                  <w:noWrap w:val="0"/>
                  <w:vAlign w:val="center"/>
                </w:tcPr>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F，建筑面积</w:t>
                  </w:r>
                  <w:r>
                    <w:rPr>
                      <w:rFonts w:hint="eastAsia" w:ascii="Times New Roman" w:hAnsi="Times New Roman" w:cs="Times New Roman"/>
                      <w:color w:val="auto"/>
                      <w:lang w:val="en-US" w:eastAsia="zh-CN"/>
                    </w:rPr>
                    <w:t>68.12</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位于厂区南侧</w:t>
                  </w:r>
                  <w:r>
                    <w:rPr>
                      <w:rFonts w:hint="eastAsia" w:ascii="Times New Roman" w:hAnsi="Times New Roman" w:cs="Times New Roman"/>
                      <w:color w:val="auto"/>
                      <w:lang w:eastAsia="zh-CN"/>
                    </w:rPr>
                    <w:t>。</w:t>
                  </w:r>
                </w:p>
              </w:tc>
              <w:tc>
                <w:tcPr>
                  <w:tcW w:w="247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发生变化</w:t>
                  </w:r>
                </w:p>
              </w:tc>
              <w:tc>
                <w:tcPr>
                  <w:tcW w:w="481" w:type="dxa"/>
                  <w:noWrap w:val="0"/>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widowControl/>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配电室</w:t>
                  </w:r>
                </w:p>
              </w:tc>
              <w:tc>
                <w:tcPr>
                  <w:tcW w:w="283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2835" w:type="dxa"/>
                  <w:noWrap w:val="0"/>
                  <w:vAlign w:val="center"/>
                </w:tcPr>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F，建筑面积</w:t>
                  </w:r>
                  <w:r>
                    <w:rPr>
                      <w:rFonts w:hint="eastAsia" w:ascii="Times New Roman" w:hAnsi="Times New Roman" w:cs="Times New Roman"/>
                      <w:color w:val="auto"/>
                      <w:lang w:val="en-US" w:eastAsia="zh-CN"/>
                    </w:rPr>
                    <w:t>72.00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位于厂区西南角</w:t>
                  </w:r>
                  <w:r>
                    <w:rPr>
                      <w:rFonts w:hint="eastAsia" w:ascii="Times New Roman" w:hAnsi="Times New Roman" w:cs="Times New Roman"/>
                      <w:color w:val="auto"/>
                      <w:lang w:eastAsia="zh-CN"/>
                    </w:rPr>
                    <w:t>。</w:t>
                  </w:r>
                </w:p>
              </w:tc>
              <w:tc>
                <w:tcPr>
                  <w:tcW w:w="247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发生变化</w:t>
                  </w:r>
                </w:p>
              </w:tc>
              <w:tc>
                <w:tcPr>
                  <w:tcW w:w="481" w:type="dxa"/>
                  <w:noWrap w:val="0"/>
                  <w:vAlign w:val="center"/>
                </w:tcPr>
                <w:p>
                  <w:pPr>
                    <w:jc w:val="center"/>
                    <w:rPr>
                      <w:rFonts w:hint="default" w:ascii="Times New Roman" w:hAnsi="Times New Roman" w:cs="Times New Roman"/>
                      <w:color w:val="auto"/>
                      <w:lang w:eastAsia="zh-CN"/>
                    </w:rPr>
                  </w:pPr>
                  <w:r>
                    <w:rPr>
                      <w:rFonts w:hint="eastAsia"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储运工程</w:t>
                  </w:r>
                </w:p>
              </w:tc>
              <w:tc>
                <w:tcPr>
                  <w:tcW w:w="665" w:type="dxa"/>
                  <w:noWrap w:val="0"/>
                  <w:vAlign w:val="center"/>
                </w:tcPr>
                <w:p>
                  <w:pPr>
                    <w:widowControl/>
                    <w:jc w:val="center"/>
                    <w:rPr>
                      <w:rFonts w:hint="default" w:ascii="Times New Roman" w:hAnsi="Times New Roman" w:cs="Times New Roman"/>
                      <w:color w:val="auto"/>
                      <w:lang w:eastAsia="zh-CN"/>
                    </w:rPr>
                  </w:pPr>
                  <w:r>
                    <w:rPr>
                      <w:rFonts w:hint="eastAsia" w:ascii="Times New Roman" w:hAnsi="Times New Roman" w:cs="Times New Roman"/>
                      <w:color w:val="auto"/>
                      <w:lang w:eastAsia="zh-CN"/>
                    </w:rPr>
                    <w:t>仓库</w:t>
                  </w:r>
                </w:p>
              </w:tc>
              <w:tc>
                <w:tcPr>
                  <w:tcW w:w="2835" w:type="dxa"/>
                  <w:noWrap w:val="0"/>
                  <w:vAlign w:val="center"/>
                </w:tcPr>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eastAsiaTheme="minorEastAsia"/>
                      <w:color w:val="auto"/>
                      <w:lang w:eastAsia="zh-CN"/>
                    </w:rPr>
                  </w:pPr>
                  <w:r>
                    <w:rPr>
                      <w:rFonts w:hint="default" w:ascii="Times New Roman" w:hAnsi="Times New Roman" w:cs="Times New Roman"/>
                      <w:color w:val="auto"/>
                      <w:sz w:val="21"/>
                      <w:szCs w:val="21"/>
                    </w:rPr>
                    <w:t>1F</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钢结构，</w:t>
                  </w:r>
                  <w:r>
                    <w:rPr>
                      <w:rFonts w:hint="eastAsia" w:ascii="Times New Roman" w:hAnsi="Times New Roman" w:cs="Times New Roman"/>
                      <w:color w:val="auto"/>
                      <w:sz w:val="21"/>
                      <w:szCs w:val="21"/>
                      <w:lang w:eastAsia="zh-CN"/>
                    </w:rPr>
                    <w:t>生产车间内分隔，</w:t>
                  </w:r>
                  <w:r>
                    <w:rPr>
                      <w:rFonts w:hint="default" w:ascii="Times New Roman" w:hAnsi="Times New Roman" w:cs="Times New Roman"/>
                      <w:color w:val="auto"/>
                      <w:sz w:val="21"/>
                      <w:szCs w:val="21"/>
                    </w:rPr>
                    <w:t>建筑面积</w:t>
                  </w:r>
                  <w:r>
                    <w:rPr>
                      <w:rFonts w:hint="default" w:ascii="Times New Roman" w:hAnsi="Times New Roman" w:cs="Times New Roman"/>
                      <w:color w:val="auto"/>
                      <w:sz w:val="21"/>
                      <w:szCs w:val="21"/>
                      <w:lang w:eastAsia="zh-CN"/>
                    </w:rPr>
                    <w:t>约</w:t>
                  </w:r>
                  <w:r>
                    <w:rPr>
                      <w:rFonts w:hint="default" w:ascii="Times New Roman" w:hAnsi="Times New Roman" w:cs="Times New Roman"/>
                      <w:color w:val="auto"/>
                      <w:sz w:val="21"/>
                      <w:szCs w:val="21"/>
                    </w:rPr>
                    <w:t>为</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000m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用于存放原材料及产品</w:t>
                  </w:r>
                  <w:r>
                    <w:rPr>
                      <w:rFonts w:hint="default" w:ascii="Times New Roman" w:hAnsi="Times New Roman" w:cs="Times New Roman"/>
                      <w:color w:val="auto"/>
                      <w:sz w:val="21"/>
                      <w:szCs w:val="21"/>
                    </w:rPr>
                    <w:t>。</w:t>
                  </w:r>
                </w:p>
              </w:tc>
              <w:tc>
                <w:tcPr>
                  <w:tcW w:w="2835" w:type="dxa"/>
                  <w:noWrap w:val="0"/>
                  <w:vAlign w:val="center"/>
                </w:tcPr>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lang w:eastAsia="zh-CN"/>
                    </w:rPr>
                  </w:pPr>
                  <w:r>
                    <w:rPr>
                      <w:rFonts w:hint="default" w:ascii="Times New Roman" w:hAnsi="Times New Roman" w:cs="Times New Roman"/>
                      <w:color w:val="auto"/>
                      <w:sz w:val="21"/>
                      <w:szCs w:val="21"/>
                    </w:rPr>
                    <w:t>1F</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钢结构，</w:t>
                  </w:r>
                  <w:r>
                    <w:rPr>
                      <w:rFonts w:hint="eastAsia" w:ascii="Times New Roman" w:hAnsi="Times New Roman" w:cs="Times New Roman"/>
                      <w:color w:val="auto"/>
                      <w:sz w:val="21"/>
                      <w:szCs w:val="21"/>
                      <w:lang w:eastAsia="zh-CN"/>
                    </w:rPr>
                    <w:t>生产车间内分隔，</w:t>
                  </w:r>
                  <w:r>
                    <w:rPr>
                      <w:rFonts w:hint="default" w:ascii="Times New Roman" w:hAnsi="Times New Roman" w:cs="Times New Roman"/>
                      <w:color w:val="auto"/>
                      <w:sz w:val="21"/>
                      <w:szCs w:val="21"/>
                    </w:rPr>
                    <w:t>建筑面积</w:t>
                  </w:r>
                  <w:r>
                    <w:rPr>
                      <w:rFonts w:hint="default" w:ascii="Times New Roman" w:hAnsi="Times New Roman" w:cs="Times New Roman"/>
                      <w:color w:val="auto"/>
                      <w:sz w:val="21"/>
                      <w:szCs w:val="21"/>
                      <w:lang w:eastAsia="zh-CN"/>
                    </w:rPr>
                    <w:t>约</w:t>
                  </w:r>
                  <w:r>
                    <w:rPr>
                      <w:rFonts w:hint="default" w:ascii="Times New Roman" w:hAnsi="Times New Roman" w:cs="Times New Roman"/>
                      <w:color w:val="auto"/>
                      <w:sz w:val="21"/>
                      <w:szCs w:val="21"/>
                    </w:rPr>
                    <w:t>为</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000m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用于存放原材料及产品</w:t>
                  </w:r>
                  <w:r>
                    <w:rPr>
                      <w:rFonts w:hint="default" w:ascii="Times New Roman" w:hAnsi="Times New Roman" w:cs="Times New Roman"/>
                      <w:color w:val="auto"/>
                      <w:sz w:val="21"/>
                      <w:szCs w:val="21"/>
                    </w:rPr>
                    <w:t>。</w:t>
                  </w:r>
                </w:p>
              </w:tc>
              <w:tc>
                <w:tcPr>
                  <w:tcW w:w="247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cs="Times New Roman"/>
                      <w:color w:val="auto"/>
                      <w:lang w:eastAsia="zh-CN"/>
                    </w:rPr>
                  </w:pPr>
                  <w:r>
                    <w:rPr>
                      <w:rFonts w:hint="eastAsia" w:ascii="Times New Roman" w:hAnsi="Times New Roman" w:cs="Times New Roman"/>
                      <w:color w:val="auto"/>
                      <w:lang w:eastAsia="zh-CN"/>
                    </w:rPr>
                    <w:t>未发生变化</w:t>
                  </w:r>
                </w:p>
              </w:tc>
              <w:tc>
                <w:tcPr>
                  <w:tcW w:w="481" w:type="dxa"/>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公用工程</w:t>
                  </w:r>
                </w:p>
              </w:tc>
              <w:tc>
                <w:tcPr>
                  <w:tcW w:w="66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给水</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cs="Times New Roman"/>
                      <w:color w:val="auto"/>
                    </w:rPr>
                  </w:pPr>
                  <w:r>
                    <w:rPr>
                      <w:rFonts w:hint="default" w:ascii="Times New Roman" w:hAnsi="Times New Roman" w:cs="Times New Roman"/>
                      <w:color w:val="auto"/>
                    </w:rPr>
                    <w:t>给水来自</w:t>
                  </w:r>
                  <w:r>
                    <w:rPr>
                      <w:rFonts w:hint="default" w:ascii="Times New Roman" w:hAnsi="Times New Roman" w:cs="Times New Roman"/>
                      <w:color w:val="auto"/>
                      <w:lang w:eastAsia="zh-CN"/>
                    </w:rPr>
                    <w:t>市政供水管网</w:t>
                  </w:r>
                  <w:r>
                    <w:rPr>
                      <w:rFonts w:hint="default" w:ascii="Times New Roman" w:hAnsi="Times New Roman" w:cs="Times New Roman"/>
                      <w:color w:val="auto"/>
                    </w:rPr>
                    <w:t>，用水量为</w:t>
                  </w:r>
                  <w:r>
                    <w:rPr>
                      <w:rFonts w:hint="eastAsia" w:ascii="Times New Roman" w:hAnsi="Times New Roman" w:cs="Times New Roman"/>
                      <w:color w:val="auto"/>
                      <w:lang w:val="en-US" w:eastAsia="zh-CN"/>
                    </w:rPr>
                    <w:t>975</w:t>
                  </w:r>
                  <w:r>
                    <w:rPr>
                      <w:rFonts w:hint="default" w:ascii="Times New Roman" w:hAnsi="Times New Roman" w:cs="Times New Roman"/>
                      <w:color w:val="auto"/>
                    </w:rPr>
                    <w:t>t/a。</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给水来自</w:t>
                  </w:r>
                  <w:r>
                    <w:rPr>
                      <w:rFonts w:hint="default" w:ascii="Times New Roman" w:hAnsi="Times New Roman" w:cs="Times New Roman"/>
                      <w:color w:val="auto"/>
                      <w:lang w:eastAsia="zh-CN"/>
                    </w:rPr>
                    <w:t>市政供水管网</w:t>
                  </w:r>
                  <w:r>
                    <w:rPr>
                      <w:rFonts w:hint="default" w:ascii="Times New Roman" w:hAnsi="Times New Roman" w:cs="Times New Roman"/>
                      <w:color w:val="auto"/>
                    </w:rPr>
                    <w:t>，用水量为</w:t>
                  </w:r>
                  <w:r>
                    <w:rPr>
                      <w:rFonts w:hint="eastAsia" w:ascii="Times New Roman" w:hAnsi="Times New Roman" w:cs="Times New Roman"/>
                      <w:color w:val="auto"/>
                      <w:lang w:val="en-US" w:eastAsia="zh-CN"/>
                    </w:rPr>
                    <w:t>3493.2</w:t>
                  </w:r>
                  <w:r>
                    <w:rPr>
                      <w:rFonts w:hint="default" w:ascii="Times New Roman" w:hAnsi="Times New Roman" w:cs="Times New Roman"/>
                      <w:color w:val="auto"/>
                    </w:rPr>
                    <w:t>t/a。</w:t>
                  </w:r>
                  <w:r>
                    <w:rPr>
                      <w:rFonts w:hint="eastAsia" w:ascii="Times New Roman" w:hAnsi="Times New Roman" w:cs="Times New Roman"/>
                      <w:color w:val="auto"/>
                      <w:lang w:eastAsia="zh-CN"/>
                    </w:rPr>
                    <w:t>新增绿化用水。</w:t>
                  </w:r>
                </w:p>
              </w:tc>
              <w:tc>
                <w:tcPr>
                  <w:tcW w:w="247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用水量增加</w:t>
                  </w:r>
                </w:p>
              </w:tc>
              <w:tc>
                <w:tcPr>
                  <w:tcW w:w="481" w:type="dxa"/>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排水</w:t>
                  </w:r>
                </w:p>
              </w:tc>
              <w:tc>
                <w:tcPr>
                  <w:tcW w:w="283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排水实行雨、污分流。</w:t>
                  </w:r>
                </w:p>
              </w:tc>
              <w:tc>
                <w:tcPr>
                  <w:tcW w:w="283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排水实行雨、污分流。</w:t>
                  </w:r>
                </w:p>
              </w:tc>
              <w:tc>
                <w:tcPr>
                  <w:tcW w:w="2475" w:type="dxa"/>
                  <w:noWrap w:val="0"/>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未发生变化</w:t>
                  </w:r>
                </w:p>
              </w:tc>
              <w:tc>
                <w:tcPr>
                  <w:tcW w:w="481"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供电</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cs="Times New Roman"/>
                      <w:color w:val="auto"/>
                    </w:rPr>
                  </w:pPr>
                  <w:r>
                    <w:rPr>
                      <w:rFonts w:hint="default" w:ascii="Times New Roman" w:hAnsi="Times New Roman" w:cs="Times New Roman"/>
                      <w:color w:val="auto"/>
                    </w:rPr>
                    <w:t>供电来自市政供电电网，用电量为</w:t>
                  </w:r>
                  <w:r>
                    <w:rPr>
                      <w:rFonts w:hint="eastAsia" w:ascii="Times New Roman" w:hAnsi="Times New Roman" w:cs="Times New Roman"/>
                      <w:color w:val="auto"/>
                      <w:lang w:val="en-US" w:eastAsia="zh-CN"/>
                    </w:rPr>
                    <w:t>20</w:t>
                  </w:r>
                  <w:r>
                    <w:rPr>
                      <w:rFonts w:hint="default" w:ascii="Times New Roman" w:hAnsi="Times New Roman" w:cs="Times New Roman"/>
                      <w:color w:val="auto"/>
                    </w:rPr>
                    <w:t>万kW</w:t>
                  </w:r>
                  <w:r>
                    <w:rPr>
                      <w:rFonts w:hint="eastAsia" w:ascii="Times New Roman" w:hAnsi="Times New Roman" w:cs="Times New Roman"/>
                      <w:color w:val="auto"/>
                      <w:lang w:val="en-US" w:eastAsia="zh-CN"/>
                    </w:rPr>
                    <w:t>·</w:t>
                  </w:r>
                  <w:r>
                    <w:rPr>
                      <w:rFonts w:hint="default" w:ascii="Times New Roman" w:hAnsi="Times New Roman" w:cs="Times New Roman"/>
                      <w:color w:val="auto"/>
                    </w:rPr>
                    <w:t>h/a。</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供电来自市政供电电网，用电量为</w:t>
                  </w:r>
                  <w:r>
                    <w:rPr>
                      <w:rFonts w:hint="eastAsia" w:ascii="Times New Roman" w:hAnsi="Times New Roman" w:cs="Times New Roman"/>
                      <w:color w:val="auto"/>
                      <w:lang w:val="en-US" w:eastAsia="zh-CN"/>
                    </w:rPr>
                    <w:t>300</w:t>
                  </w:r>
                  <w:r>
                    <w:rPr>
                      <w:rFonts w:hint="default" w:ascii="Times New Roman" w:hAnsi="Times New Roman" w:cs="Times New Roman"/>
                      <w:color w:val="auto"/>
                    </w:rPr>
                    <w:t>万kW</w:t>
                  </w:r>
                  <w:r>
                    <w:rPr>
                      <w:rFonts w:hint="eastAsia" w:ascii="Times New Roman" w:hAnsi="Times New Roman" w:cs="Times New Roman"/>
                      <w:color w:val="auto"/>
                      <w:lang w:val="en-US" w:eastAsia="zh-CN"/>
                    </w:rPr>
                    <w:t>·</w:t>
                  </w:r>
                  <w:r>
                    <w:rPr>
                      <w:rFonts w:hint="default" w:ascii="Times New Roman" w:hAnsi="Times New Roman" w:cs="Times New Roman"/>
                      <w:color w:val="auto"/>
                    </w:rPr>
                    <w:t>h/a。</w:t>
                  </w:r>
                  <w:r>
                    <w:rPr>
                      <w:rFonts w:hint="eastAsia" w:ascii="Times New Roman" w:hAnsi="Times New Roman" w:cs="Times New Roman"/>
                      <w:color w:val="auto"/>
                      <w:lang w:eastAsia="zh-CN"/>
                    </w:rPr>
                    <w:t>生产设备增加等，导致用电量增加。</w:t>
                  </w:r>
                </w:p>
              </w:tc>
              <w:tc>
                <w:tcPr>
                  <w:tcW w:w="247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用电量增加</w:t>
                  </w:r>
                </w:p>
              </w:tc>
              <w:tc>
                <w:tcPr>
                  <w:tcW w:w="481"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消防</w:t>
                  </w:r>
                </w:p>
              </w:tc>
              <w:tc>
                <w:tcPr>
                  <w:tcW w:w="283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按照相关规定设置各类消防设施。</w:t>
                  </w:r>
                </w:p>
              </w:tc>
              <w:tc>
                <w:tcPr>
                  <w:tcW w:w="283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按照相关规定设置各类消防设施。</w:t>
                  </w:r>
                </w:p>
              </w:tc>
              <w:tc>
                <w:tcPr>
                  <w:tcW w:w="2475" w:type="dxa"/>
                  <w:noWrap w:val="0"/>
                  <w:vAlign w:val="center"/>
                </w:tcPr>
                <w:p>
                  <w:pPr>
                    <w:jc w:val="center"/>
                    <w:rPr>
                      <w:rFonts w:hint="default" w:ascii="Times New Roman" w:hAnsi="Times New Roman" w:cs="Times New Roman"/>
                      <w:color w:val="auto"/>
                    </w:rPr>
                  </w:pPr>
                  <w:r>
                    <w:rPr>
                      <w:rFonts w:hint="eastAsia" w:ascii="Times New Roman" w:hAnsi="Times New Roman" w:cs="Times New Roman"/>
                      <w:color w:val="auto"/>
                      <w:lang w:eastAsia="zh-CN"/>
                    </w:rPr>
                    <w:t>未发生变化</w:t>
                  </w:r>
                </w:p>
              </w:tc>
              <w:tc>
                <w:tcPr>
                  <w:tcW w:w="481"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供气</w:t>
                  </w:r>
                </w:p>
              </w:tc>
              <w:tc>
                <w:tcPr>
                  <w:tcW w:w="2835" w:type="dxa"/>
                  <w:noWrap w:val="0"/>
                  <w:vAlign w:val="center"/>
                </w:tcPr>
                <w:p>
                  <w:pPr>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w:t>
                  </w:r>
                </w:p>
              </w:tc>
              <w:tc>
                <w:tcPr>
                  <w:tcW w:w="2835" w:type="dxa"/>
                  <w:noWrap w:val="0"/>
                  <w:vAlign w:val="center"/>
                </w:tcPr>
                <w:p>
                  <w:pPr>
                    <w:jc w:val="center"/>
                    <w:rPr>
                      <w:rFonts w:hint="default" w:ascii="Times New Roman" w:hAnsi="Times New Roman" w:cs="Times New Roman"/>
                      <w:color w:val="auto"/>
                      <w:lang w:val="en-US"/>
                    </w:rPr>
                  </w:pPr>
                  <w:r>
                    <w:rPr>
                      <w:rFonts w:hint="eastAsia" w:ascii="Times New Roman" w:hAnsi="Times New Roman" w:cs="Times New Roman"/>
                      <w:color w:val="auto"/>
                      <w:lang w:val="en-US" w:eastAsia="zh-CN"/>
                    </w:rPr>
                    <w:t>新增液化天然气用量为20万m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/a，罐装；远期市政供气管网提供天然气</w:t>
                  </w:r>
                </w:p>
              </w:tc>
              <w:tc>
                <w:tcPr>
                  <w:tcW w:w="2475" w:type="dxa"/>
                  <w:noWrap w:val="0"/>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液化天然气使用量增加</w:t>
                  </w:r>
                </w:p>
              </w:tc>
              <w:tc>
                <w:tcPr>
                  <w:tcW w:w="481"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环保工程</w:t>
                  </w:r>
                </w:p>
              </w:tc>
              <w:tc>
                <w:tcPr>
                  <w:tcW w:w="665"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废水治理</w:t>
                  </w:r>
                </w:p>
              </w:tc>
              <w:tc>
                <w:tcPr>
                  <w:tcW w:w="2835" w:type="dxa"/>
                  <w:noWrap w:val="0"/>
                  <w:vAlign w:val="center"/>
                </w:tcPr>
                <w:p>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项目排水实行雨污分流制，雨水经厂区雨水管网收集后排入</w:t>
                  </w:r>
                  <w:r>
                    <w:rPr>
                      <w:rFonts w:hint="eastAsia" w:ascii="Times New Roman" w:hAnsi="Times New Roman" w:cs="Times New Roman"/>
                      <w:color w:val="auto"/>
                      <w:sz w:val="21"/>
                      <w:szCs w:val="21"/>
                      <w:vertAlign w:val="baseline"/>
                      <w:lang w:val="en-US" w:eastAsia="zh-CN"/>
                    </w:rPr>
                    <w:t>安徽萧县经济开发区白土镇智能制造产业园</w:t>
                  </w:r>
                  <w:r>
                    <w:rPr>
                      <w:rFonts w:hint="default" w:ascii="Times New Roman" w:hAnsi="Times New Roman" w:cs="Times New Roman"/>
                      <w:color w:val="auto"/>
                      <w:sz w:val="21"/>
                      <w:szCs w:val="21"/>
                    </w:rPr>
                    <w:t>市政雨水管网。</w:t>
                  </w:r>
                  <w:r>
                    <w:rPr>
                      <w:rFonts w:hint="default" w:ascii="Times New Roman" w:hAnsi="Times New Roman" w:cs="Times New Roman"/>
                      <w:color w:val="auto"/>
                      <w:sz w:val="21"/>
                      <w:szCs w:val="21"/>
                      <w:lang w:eastAsia="zh-CN"/>
                    </w:rPr>
                    <w:t>项目</w:t>
                  </w:r>
                  <w:r>
                    <w:rPr>
                      <w:rFonts w:hint="eastAsia" w:ascii="Times New Roman" w:hAnsi="Times New Roman" w:cs="Times New Roman"/>
                      <w:color w:val="auto"/>
                      <w:sz w:val="21"/>
                      <w:szCs w:val="21"/>
                      <w:lang w:eastAsia="zh-CN"/>
                    </w:rPr>
                    <w:t>运营期无生产性废水产生及排放</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生活污水经厂区</w:t>
                  </w:r>
                  <w:r>
                    <w:rPr>
                      <w:rFonts w:hint="default" w:ascii="Times New Roman" w:hAnsi="Times New Roman" w:cs="Times New Roman"/>
                      <w:color w:val="auto"/>
                      <w:sz w:val="21"/>
                      <w:szCs w:val="21"/>
                      <w:lang w:eastAsia="zh-CN"/>
                    </w:rPr>
                    <w:t>自建</w:t>
                  </w:r>
                  <w:r>
                    <w:rPr>
                      <w:rFonts w:hint="eastAsia" w:ascii="Times New Roman" w:hAnsi="Times New Roman" w:cs="Times New Roman"/>
                      <w:color w:val="auto"/>
                      <w:sz w:val="21"/>
                      <w:szCs w:val="21"/>
                      <w:lang w:eastAsia="zh-CN"/>
                    </w:rPr>
                    <w:t>“隔油池</w:t>
                  </w:r>
                  <w:r>
                    <w:rPr>
                      <w:rFonts w:hint="eastAsia" w:ascii="Times New Roman" w:hAnsi="Times New Roman" w:cs="Times New Roman"/>
                      <w:color w:val="auto"/>
                      <w:sz w:val="21"/>
                      <w:szCs w:val="21"/>
                      <w:lang w:val="en-US" w:eastAsia="zh-CN"/>
                    </w:rPr>
                    <w:t>+化粪池</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预</w:t>
                  </w:r>
                  <w:r>
                    <w:rPr>
                      <w:rFonts w:hint="default" w:ascii="Times New Roman" w:hAnsi="Times New Roman" w:cs="Times New Roman"/>
                      <w:color w:val="auto"/>
                      <w:sz w:val="21"/>
                      <w:szCs w:val="21"/>
                    </w:rPr>
                    <w:t>处理达《污水综合排放标准》（GB8978-1996）表4中三级标准及</w:t>
                  </w:r>
                  <w:r>
                    <w:rPr>
                      <w:rFonts w:hint="eastAsia" w:ascii="宋体" w:hAnsi="宋体" w:eastAsia="宋体" w:cs="宋体"/>
                      <w:color w:val="auto"/>
                      <w:sz w:val="21"/>
                      <w:szCs w:val="21"/>
                      <w:lang w:val="en-US" w:eastAsia="zh-CN"/>
                    </w:rPr>
                    <w:t>萧县清源污水处理有限公司</w:t>
                  </w:r>
                  <w:r>
                    <w:rPr>
                      <w:rFonts w:hint="default" w:ascii="Times New Roman" w:hAnsi="Times New Roman" w:cs="Times New Roman"/>
                      <w:color w:val="auto"/>
                      <w:sz w:val="21"/>
                      <w:szCs w:val="21"/>
                    </w:rPr>
                    <w:t>接管</w:t>
                  </w:r>
                  <w:r>
                    <w:rPr>
                      <w:rFonts w:hint="eastAsia" w:ascii="Times New Roman" w:hAnsi="Times New Roman" w:cs="Times New Roman"/>
                      <w:color w:val="auto"/>
                      <w:sz w:val="21"/>
                      <w:szCs w:val="21"/>
                      <w:lang w:eastAsia="zh-CN"/>
                    </w:rPr>
                    <w:t>限值后</w:t>
                  </w:r>
                  <w:r>
                    <w:rPr>
                      <w:rFonts w:hint="default" w:ascii="Times New Roman" w:hAnsi="Times New Roman" w:cs="Times New Roman"/>
                      <w:color w:val="auto"/>
                      <w:sz w:val="21"/>
                      <w:szCs w:val="21"/>
                    </w:rPr>
                    <w:t>排入</w:t>
                  </w:r>
                  <w:r>
                    <w:rPr>
                      <w:rFonts w:hint="eastAsia" w:ascii="宋体" w:hAnsi="宋体" w:eastAsia="宋体" w:cs="宋体"/>
                      <w:color w:val="auto"/>
                      <w:sz w:val="21"/>
                      <w:szCs w:val="21"/>
                      <w:lang w:val="en-US" w:eastAsia="zh-CN"/>
                    </w:rPr>
                    <w:t>萧县清源污水处理有限公司</w:t>
                  </w:r>
                  <w:r>
                    <w:rPr>
                      <w:rFonts w:hint="default" w:ascii="Times New Roman" w:hAnsi="Times New Roman" w:cs="Times New Roman"/>
                      <w:color w:val="auto"/>
                      <w:sz w:val="21"/>
                      <w:szCs w:val="21"/>
                    </w:rPr>
                    <w:t>处理达《城镇污水处理厂污染物排放标准》（GB18918-2002）表1中一级</w:t>
                  </w:r>
                  <w:r>
                    <w:rPr>
                      <w:rFonts w:hint="default" w:ascii="Times New Roman" w:hAnsi="Times New Roman" w:cs="Times New Roman"/>
                      <w:color w:val="auto"/>
                      <w:sz w:val="21"/>
                      <w:szCs w:val="21"/>
                      <w:lang w:eastAsia="zh-CN"/>
                    </w:rPr>
                    <w:t>标准</w:t>
                  </w:r>
                  <w:r>
                    <w:rPr>
                      <w:rFonts w:hint="default" w:ascii="Times New Roman" w:hAnsi="Times New Roman" w:cs="Times New Roman"/>
                      <w:color w:val="auto"/>
                      <w:sz w:val="21"/>
                      <w:szCs w:val="21"/>
                    </w:rPr>
                    <w:t>A标准后排入</w:t>
                  </w:r>
                  <w:r>
                    <w:rPr>
                      <w:rFonts w:hint="eastAsia" w:ascii="Times New Roman" w:hAnsi="Times New Roman" w:cs="Times New Roman"/>
                      <w:color w:val="auto"/>
                      <w:sz w:val="21"/>
                      <w:szCs w:val="21"/>
                      <w:lang w:eastAsia="zh-CN"/>
                    </w:rPr>
                    <w:t>倒流河</w:t>
                  </w:r>
                  <w:r>
                    <w:rPr>
                      <w:rFonts w:hint="default" w:ascii="Times New Roman" w:hAnsi="Times New Roman" w:cs="Times New Roman"/>
                      <w:color w:val="auto"/>
                      <w:sz w:val="21"/>
                      <w:szCs w:val="21"/>
                    </w:rPr>
                    <w:t>。</w:t>
                  </w:r>
                </w:p>
              </w:tc>
              <w:tc>
                <w:tcPr>
                  <w:tcW w:w="2835" w:type="dxa"/>
                  <w:noWrap w:val="0"/>
                  <w:vAlign w:val="center"/>
                </w:tcPr>
                <w:p>
                  <w:pPr>
                    <w:spacing w:line="240" w:lineRule="auto"/>
                    <w:ind w:firstLine="420" w:firstLineChars="200"/>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项目排水实行雨污分流制，雨水经厂区雨水管网收集后排入</w:t>
                  </w:r>
                  <w:r>
                    <w:rPr>
                      <w:rFonts w:hint="eastAsia" w:ascii="Times New Roman" w:hAnsi="Times New Roman" w:cs="Times New Roman"/>
                      <w:color w:val="auto"/>
                      <w:sz w:val="21"/>
                      <w:szCs w:val="21"/>
                      <w:vertAlign w:val="baseline"/>
                      <w:lang w:val="en-US" w:eastAsia="zh-CN"/>
                    </w:rPr>
                    <w:t>安徽萧县经济开发区白土镇智能制造产业园</w:t>
                  </w:r>
                  <w:r>
                    <w:rPr>
                      <w:rFonts w:hint="default" w:ascii="Times New Roman" w:hAnsi="Times New Roman" w:cs="Times New Roman"/>
                      <w:color w:val="auto"/>
                      <w:sz w:val="21"/>
                      <w:szCs w:val="21"/>
                    </w:rPr>
                    <w:t>市政雨水管网。</w:t>
                  </w:r>
                  <w:r>
                    <w:rPr>
                      <w:rFonts w:hint="default" w:ascii="Times New Roman" w:hAnsi="Times New Roman" w:cs="Times New Roman"/>
                      <w:color w:val="auto"/>
                      <w:sz w:val="21"/>
                      <w:szCs w:val="21"/>
                      <w:lang w:eastAsia="zh-CN"/>
                    </w:rPr>
                    <w:t>项目</w:t>
                  </w:r>
                  <w:r>
                    <w:rPr>
                      <w:rFonts w:hint="eastAsia" w:ascii="Times New Roman" w:hAnsi="Times New Roman" w:cs="Times New Roman"/>
                      <w:color w:val="auto"/>
                      <w:sz w:val="21"/>
                      <w:szCs w:val="21"/>
                      <w:lang w:eastAsia="zh-CN"/>
                    </w:rPr>
                    <w:t>运营期无生产性废水产生及排放</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生活污水经厂区</w:t>
                  </w:r>
                  <w:r>
                    <w:rPr>
                      <w:rFonts w:hint="default" w:ascii="Times New Roman" w:hAnsi="Times New Roman" w:cs="Times New Roman"/>
                      <w:color w:val="auto"/>
                      <w:sz w:val="21"/>
                      <w:szCs w:val="21"/>
                      <w:lang w:eastAsia="zh-CN"/>
                    </w:rPr>
                    <w:t>自建</w:t>
                  </w:r>
                  <w:r>
                    <w:rPr>
                      <w:rFonts w:hint="eastAsia" w:ascii="Times New Roman" w:hAnsi="Times New Roman" w:cs="Times New Roman"/>
                      <w:color w:val="auto"/>
                      <w:sz w:val="21"/>
                      <w:szCs w:val="21"/>
                      <w:lang w:eastAsia="zh-CN"/>
                    </w:rPr>
                    <w:t>“隔油池</w:t>
                  </w:r>
                  <w:r>
                    <w:rPr>
                      <w:rFonts w:hint="eastAsia" w:ascii="Times New Roman" w:hAnsi="Times New Roman" w:cs="Times New Roman"/>
                      <w:color w:val="auto"/>
                      <w:sz w:val="21"/>
                      <w:szCs w:val="21"/>
                      <w:lang w:val="en-US" w:eastAsia="zh-CN"/>
                    </w:rPr>
                    <w:t>+化粪池</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预</w:t>
                  </w:r>
                  <w:r>
                    <w:rPr>
                      <w:rFonts w:hint="default" w:ascii="Times New Roman" w:hAnsi="Times New Roman" w:cs="Times New Roman"/>
                      <w:color w:val="auto"/>
                      <w:sz w:val="21"/>
                      <w:szCs w:val="21"/>
                    </w:rPr>
                    <w:t>处理达《污水综合排放标准》（GB8978-1996）表4中三级标准及</w:t>
                  </w:r>
                  <w:r>
                    <w:rPr>
                      <w:rFonts w:hint="eastAsia" w:ascii="宋体" w:hAnsi="宋体" w:eastAsia="宋体" w:cs="宋体"/>
                      <w:color w:val="auto"/>
                      <w:sz w:val="21"/>
                      <w:szCs w:val="21"/>
                      <w:lang w:val="en-US" w:eastAsia="zh-CN"/>
                    </w:rPr>
                    <w:t>萧县清源污水处理有限公司</w:t>
                  </w:r>
                  <w:r>
                    <w:rPr>
                      <w:rFonts w:hint="default" w:ascii="Times New Roman" w:hAnsi="Times New Roman" w:cs="Times New Roman"/>
                      <w:color w:val="auto"/>
                      <w:sz w:val="21"/>
                      <w:szCs w:val="21"/>
                    </w:rPr>
                    <w:t>接管</w:t>
                  </w:r>
                  <w:r>
                    <w:rPr>
                      <w:rFonts w:hint="eastAsia" w:ascii="Times New Roman" w:hAnsi="Times New Roman" w:cs="Times New Roman"/>
                      <w:color w:val="auto"/>
                      <w:sz w:val="21"/>
                      <w:szCs w:val="21"/>
                      <w:lang w:eastAsia="zh-CN"/>
                    </w:rPr>
                    <w:t>限值后</w:t>
                  </w:r>
                  <w:r>
                    <w:rPr>
                      <w:rFonts w:hint="default" w:ascii="Times New Roman" w:hAnsi="Times New Roman" w:cs="Times New Roman"/>
                      <w:color w:val="auto"/>
                      <w:sz w:val="21"/>
                      <w:szCs w:val="21"/>
                    </w:rPr>
                    <w:t>排入</w:t>
                  </w:r>
                  <w:r>
                    <w:rPr>
                      <w:rFonts w:hint="eastAsia" w:ascii="宋体" w:hAnsi="宋体" w:eastAsia="宋体" w:cs="宋体"/>
                      <w:color w:val="auto"/>
                      <w:sz w:val="21"/>
                      <w:szCs w:val="21"/>
                      <w:lang w:val="en-US" w:eastAsia="zh-CN"/>
                    </w:rPr>
                    <w:t>萧县清源污水处理有限公司</w:t>
                  </w:r>
                  <w:r>
                    <w:rPr>
                      <w:rFonts w:hint="default" w:ascii="Times New Roman" w:hAnsi="Times New Roman" w:cs="Times New Roman"/>
                      <w:color w:val="auto"/>
                      <w:sz w:val="21"/>
                      <w:szCs w:val="21"/>
                    </w:rPr>
                    <w:t>处理达《城镇污水处理厂污染物排放标准》（GB18918-2002）表1中一级</w:t>
                  </w:r>
                  <w:r>
                    <w:rPr>
                      <w:rFonts w:hint="default" w:ascii="Times New Roman" w:hAnsi="Times New Roman" w:cs="Times New Roman"/>
                      <w:color w:val="auto"/>
                      <w:sz w:val="21"/>
                      <w:szCs w:val="21"/>
                      <w:lang w:eastAsia="zh-CN"/>
                    </w:rPr>
                    <w:t>标准</w:t>
                  </w:r>
                  <w:r>
                    <w:rPr>
                      <w:rFonts w:hint="default" w:ascii="Times New Roman" w:hAnsi="Times New Roman" w:cs="Times New Roman"/>
                      <w:color w:val="auto"/>
                      <w:sz w:val="21"/>
                      <w:szCs w:val="21"/>
                    </w:rPr>
                    <w:t>A标准后排入</w:t>
                  </w:r>
                  <w:r>
                    <w:rPr>
                      <w:rFonts w:hint="eastAsia" w:ascii="Times New Roman" w:hAnsi="Times New Roman" w:cs="Times New Roman"/>
                      <w:color w:val="auto"/>
                      <w:sz w:val="21"/>
                      <w:szCs w:val="21"/>
                      <w:lang w:eastAsia="zh-CN"/>
                    </w:rPr>
                    <w:t>倒流河</w:t>
                  </w:r>
                  <w:r>
                    <w:rPr>
                      <w:rFonts w:hint="default" w:ascii="Times New Roman" w:hAnsi="Times New Roman" w:cs="Times New Roman"/>
                      <w:color w:val="auto"/>
                      <w:sz w:val="21"/>
                      <w:szCs w:val="21"/>
                    </w:rPr>
                    <w:t>。</w:t>
                  </w:r>
                </w:p>
              </w:tc>
              <w:tc>
                <w:tcPr>
                  <w:tcW w:w="2475" w:type="dxa"/>
                  <w:noWrap w:val="0"/>
                  <w:vAlign w:val="center"/>
                </w:tcPr>
                <w:p>
                  <w:pPr>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未发生变化</w:t>
                  </w:r>
                </w:p>
              </w:tc>
              <w:tc>
                <w:tcPr>
                  <w:tcW w:w="481" w:type="dxa"/>
                  <w:noWrap w:val="0"/>
                  <w:vAlign w:val="center"/>
                </w:tcPr>
                <w:p>
                  <w:pPr>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废气治理</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下料-颗粒物：袋式除尘器；</w:t>
                  </w:r>
                  <w:r>
                    <w:rPr>
                      <w:rFonts w:hint="default" w:ascii="Times New Roman" w:hAnsi="Times New Roman" w:cs="Times New Roman"/>
                      <w:color w:val="auto"/>
                      <w:lang w:val="en-US" w:eastAsia="zh-CN"/>
                    </w:rPr>
                    <w:t>焊接-焊接烟尘：</w:t>
                  </w:r>
                  <w:r>
                    <w:rPr>
                      <w:rFonts w:hint="eastAsia" w:ascii="Times New Roman" w:hAnsi="Times New Roman" w:cs="Times New Roman"/>
                      <w:color w:val="auto"/>
                      <w:lang w:val="en-US" w:eastAsia="zh-CN"/>
                    </w:rPr>
                    <w:t>移动式焊接烟尘</w:t>
                  </w:r>
                  <w:r>
                    <w:rPr>
                      <w:rFonts w:hint="default" w:ascii="Times New Roman" w:hAnsi="Times New Roman" w:cs="Times New Roman"/>
                      <w:color w:val="auto"/>
                      <w:lang w:val="en-US" w:eastAsia="zh-CN"/>
                    </w:rPr>
                    <w:t>净化器；喷砂-</w:t>
                  </w:r>
                  <w:r>
                    <w:rPr>
                      <w:rFonts w:hint="eastAsia" w:ascii="Times New Roman" w:hAnsi="Times New Roman" w:cs="Times New Roman"/>
                      <w:color w:val="auto"/>
                      <w:lang w:val="en-US" w:eastAsia="zh-CN"/>
                    </w:rPr>
                    <w:t>颗粒物</w:t>
                  </w:r>
                  <w:r>
                    <w:rPr>
                      <w:rFonts w:hint="default" w:ascii="Times New Roman" w:hAnsi="Times New Roman" w:cs="Times New Roman"/>
                      <w:color w:val="auto"/>
                      <w:lang w:val="en-US" w:eastAsia="zh-CN"/>
                    </w:rPr>
                    <w:t>：集气系统+袋式除尘器+15m高排气筒</w:t>
                  </w:r>
                  <w:r>
                    <w:rPr>
                      <w:rFonts w:hint="eastAsia" w:ascii="Times New Roman" w:hAnsi="Times New Roman" w:cs="Times New Roman"/>
                      <w:color w:val="auto"/>
                      <w:lang w:val="en-US" w:eastAsia="zh-CN"/>
                    </w:rPr>
                    <w:t>（DA001）；喷塑</w:t>
                  </w:r>
                  <w:r>
                    <w:rPr>
                      <w:rFonts w:hint="default" w:ascii="Times New Roman" w:hAnsi="Times New Roman" w:cs="Times New Roman"/>
                      <w:color w:val="auto"/>
                      <w:lang w:val="en-US" w:eastAsia="zh-CN"/>
                    </w:rPr>
                    <w:t>-粉尘：集气系统+袋式除尘器+15m高排气筒（</w:t>
                  </w:r>
                  <w:r>
                    <w:rPr>
                      <w:rFonts w:hint="eastAsia" w:ascii="Times New Roman" w:hAnsi="Times New Roman" w:cs="Times New Roman"/>
                      <w:color w:val="auto"/>
                      <w:lang w:val="en-US" w:eastAsia="zh-CN"/>
                    </w:rPr>
                    <w:t>DA002）</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喷塑后烘干-非甲烷总烃：集气系统+二级活性炭+15m高排气筒（DA003）；预烘、浇注-非甲烷总烃：集气系统+二级活性炭+15m高排气筒（DA003）；注塑-非甲烷总烃：集气系统+二级活性炭+15m高排气筒（DA003）；聚氨酯刀头浇注机清洗-非甲烷总烃：集气系统+二级活性炭+15m高排气筒（DA003）</w:t>
                  </w:r>
                  <w:r>
                    <w:rPr>
                      <w:rFonts w:hint="default" w:ascii="Times New Roman" w:hAnsi="Times New Roman" w:cs="Times New Roman"/>
                      <w:color w:val="auto"/>
                    </w:rPr>
                    <w:t>。</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有组织：</w:t>
                  </w:r>
                </w:p>
                <w:p>
                  <w:pPr>
                    <w:pStyle w:val="9"/>
                    <w:rPr>
                      <w:rFonts w:hint="eastAsia" w:ascii="Times New Roman" w:hAnsi="Times New Roman" w:eastAsia="宋体" w:cs="Times New Roman"/>
                      <w:b/>
                      <w:bCs/>
                      <w:color w:val="auto"/>
                      <w:lang w:val="en-US" w:eastAsia="zh-CN"/>
                    </w:rPr>
                  </w:pPr>
                  <w:r>
                    <w:rPr>
                      <w:rFonts w:hint="eastAsia" w:ascii="宋体" w:hAnsi="宋体" w:eastAsia="宋体" w:cs="宋体"/>
                      <w:color w:val="auto"/>
                      <w:lang w:val="en-US" w:eastAsia="zh-CN"/>
                    </w:rPr>
                    <w:t>①焊接→颗粒物</w:t>
                  </w:r>
                  <w:r>
                    <w:rPr>
                      <w:rFonts w:hint="default" w:ascii="Times New Roman" w:hAnsi="Times New Roman" w:eastAsia="宋体" w:cs="Times New Roman"/>
                      <w:color w:val="auto"/>
                      <w:lang w:val="en-US" w:eastAsia="zh-CN"/>
                    </w:rPr>
                    <w:t>：集气系统+</w:t>
                  </w:r>
                  <w:r>
                    <w:rPr>
                      <w:rFonts w:hint="eastAsia" w:ascii="Times New Roman" w:hAnsi="Times New Roman" w:eastAsia="宋体" w:cs="Times New Roman"/>
                      <w:color w:val="auto"/>
                      <w:lang w:val="en-US" w:eastAsia="zh-CN"/>
                    </w:rPr>
                    <w:t>滤筒除尘器</w:t>
                  </w:r>
                  <w:r>
                    <w:rPr>
                      <w:rFonts w:hint="default" w:ascii="Times New Roman" w:hAnsi="Times New Roman" w:eastAsia="宋体" w:cs="Times New Roman"/>
                      <w:color w:val="auto"/>
                      <w:lang w:val="en-US" w:eastAsia="zh-CN"/>
                    </w:rPr>
                    <w:t>+15m高排气筒（DA00</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w:t>
                  </w:r>
                </w:p>
                <w:p>
                  <w:pPr>
                    <w:pStyle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②抛丸</w:t>
                  </w:r>
                  <w:r>
                    <w:rPr>
                      <w:rFonts w:hint="eastAsia" w:ascii="宋体" w:hAnsi="宋体" w:eastAsia="宋体" w:cs="宋体"/>
                      <w:color w:val="auto"/>
                      <w:lang w:val="en-US" w:eastAsia="zh-CN"/>
                    </w:rPr>
                    <w:t>→</w:t>
                  </w:r>
                  <w:r>
                    <w:rPr>
                      <w:rFonts w:hint="default" w:ascii="Times New Roman" w:hAnsi="Times New Roman" w:cs="Times New Roman"/>
                      <w:color w:val="auto"/>
                      <w:sz w:val="21"/>
                      <w:szCs w:val="21"/>
                      <w:lang w:val="en-US" w:eastAsia="zh-CN"/>
                    </w:rPr>
                    <w:t>颗粒物：</w:t>
                  </w:r>
                  <w:r>
                    <w:rPr>
                      <w:rFonts w:hint="eastAsia" w:ascii="Times New Roman" w:hAnsi="Times New Roman" w:cs="Times New Roman"/>
                      <w:color w:val="auto"/>
                      <w:sz w:val="21"/>
                      <w:szCs w:val="21"/>
                      <w:lang w:val="en-US" w:eastAsia="zh-CN"/>
                    </w:rPr>
                    <w:t>袋式除尘器</w:t>
                  </w:r>
                  <w:r>
                    <w:rPr>
                      <w:rFonts w:hint="default" w:ascii="Times New Roman" w:hAnsi="Times New Roman" w:cs="Times New Roman"/>
                      <w:color w:val="auto"/>
                      <w:sz w:val="21"/>
                      <w:szCs w:val="21"/>
                      <w:lang w:val="en-US" w:eastAsia="zh-CN"/>
                    </w:rPr>
                    <w:t>+15m高排气筒（DA00</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w:t>
                  </w:r>
                </w:p>
                <w:p>
                  <w:pPr>
                    <w:pStyle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③</w:t>
                  </w:r>
                  <w:r>
                    <w:rPr>
                      <w:rFonts w:hint="eastAsia" w:ascii="Times New Roman" w:hAnsi="Times New Roman" w:cs="Times New Roman"/>
                      <w:color w:val="auto"/>
                      <w:sz w:val="21"/>
                      <w:szCs w:val="21"/>
                      <w:lang w:val="en-US" w:eastAsia="zh-CN"/>
                    </w:rPr>
                    <w:t>喷粉（大构件及小构件喷粉线）</w:t>
                  </w:r>
                  <w:r>
                    <w:rPr>
                      <w:rFonts w:hint="eastAsia" w:ascii="宋体" w:hAnsi="宋体" w:eastAsia="宋体" w:cs="宋体"/>
                      <w:color w:val="auto"/>
                      <w:lang w:val="en-US" w:eastAsia="zh-CN"/>
                    </w:rPr>
                    <w:t>→</w:t>
                  </w:r>
                  <w:r>
                    <w:rPr>
                      <w:rFonts w:hint="default" w:ascii="Times New Roman" w:hAnsi="Times New Roman" w:cs="Times New Roman"/>
                      <w:color w:val="auto"/>
                      <w:sz w:val="21"/>
                      <w:szCs w:val="21"/>
                      <w:lang w:val="en-US" w:eastAsia="zh-CN"/>
                    </w:rPr>
                    <w:t>颗粒物：</w:t>
                  </w:r>
                  <w:r>
                    <w:rPr>
                      <w:rFonts w:hint="default" w:ascii="Times New Roman" w:hAnsi="Times New Roman" w:eastAsia="宋体" w:cs="Times New Roman"/>
                      <w:color w:val="auto"/>
                      <w:sz w:val="21"/>
                      <w:szCs w:val="21"/>
                      <w:lang w:val="en-US" w:eastAsia="zh-CN"/>
                    </w:rPr>
                    <w:t>集气系统+</w:t>
                  </w:r>
                  <w:r>
                    <w:rPr>
                      <w:rFonts w:hint="default" w:ascii="Times New Roman" w:hAnsi="Times New Roman" w:eastAsia="宋体" w:cs="Times New Roman"/>
                      <w:color w:val="auto"/>
                      <w:sz w:val="21"/>
                      <w:szCs w:val="21"/>
                      <w:lang w:val="en-GB" w:eastAsia="zh-CN"/>
                    </w:rPr>
                    <w:t>大旋风粉末回收系统</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袋式除尘器</w:t>
                  </w:r>
                  <w:r>
                    <w:rPr>
                      <w:rFonts w:hint="default" w:ascii="Times New Roman" w:hAnsi="Times New Roman" w:eastAsia="幼圆" w:cs="Times New Roman"/>
                      <w:b w:val="0"/>
                      <w:bCs w:val="0"/>
                      <w:color w:val="auto"/>
                      <w:sz w:val="21"/>
                      <w:szCs w:val="21"/>
                      <w:lang w:val="en-US" w:eastAsia="zh-CN"/>
                    </w:rPr>
                    <w:t>+15m高排气筒（DA00</w:t>
                  </w:r>
                  <w:r>
                    <w:rPr>
                      <w:rFonts w:hint="eastAsia" w:ascii="Times New Roman" w:hAnsi="Times New Roman" w:eastAsia="幼圆" w:cs="Times New Roman"/>
                      <w:b w:val="0"/>
                      <w:bCs w:val="0"/>
                      <w:color w:val="auto"/>
                      <w:sz w:val="21"/>
                      <w:szCs w:val="21"/>
                      <w:lang w:val="en-US" w:eastAsia="zh-CN"/>
                    </w:rPr>
                    <w:t>3</w:t>
                  </w:r>
                  <w:r>
                    <w:rPr>
                      <w:rFonts w:hint="default" w:ascii="Times New Roman" w:hAnsi="Times New Roman" w:eastAsia="幼圆" w:cs="Times New Roman"/>
                      <w:b w:val="0"/>
                      <w:bCs w:val="0"/>
                      <w:color w:val="auto"/>
                      <w:sz w:val="21"/>
                      <w:szCs w:val="21"/>
                      <w:lang w:val="en-US" w:eastAsia="zh-CN"/>
                    </w:rPr>
                    <w:t>）。</w:t>
                  </w:r>
                </w:p>
                <w:p>
                  <w:pPr>
                    <w:pStyle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④固化</w:t>
                  </w:r>
                  <w:r>
                    <w:rPr>
                      <w:rFonts w:hint="eastAsia" w:ascii="宋体" w:hAnsi="宋体" w:eastAsia="宋体" w:cs="宋体"/>
                      <w:color w:val="auto"/>
                      <w:lang w:val="en-US" w:eastAsia="zh-CN"/>
                    </w:rPr>
                    <w:t>→</w:t>
                  </w:r>
                  <w:r>
                    <w:rPr>
                      <w:rFonts w:hint="default" w:ascii="Times New Roman" w:hAnsi="Times New Roman" w:cs="Times New Roman"/>
                      <w:color w:val="auto"/>
                      <w:sz w:val="21"/>
                      <w:szCs w:val="21"/>
                      <w:lang w:val="en-US" w:eastAsia="zh-CN"/>
                    </w:rPr>
                    <w:t>非甲烷总烃：集气系统+</w:t>
                  </w:r>
                  <w:r>
                    <w:rPr>
                      <w:rFonts w:hint="eastAsia" w:ascii="Times New Roman" w:hAnsi="Times New Roman" w:cs="Times New Roman"/>
                      <w:color w:val="auto"/>
                      <w:sz w:val="21"/>
                      <w:szCs w:val="21"/>
                      <w:lang w:val="en-US" w:eastAsia="zh-CN"/>
                    </w:rPr>
                    <w:t>风冷+两级活性炭吸附箱</w:t>
                  </w:r>
                  <w:r>
                    <w:rPr>
                      <w:rFonts w:hint="default" w:ascii="Times New Roman" w:hAnsi="Times New Roman" w:cs="Times New Roman"/>
                      <w:color w:val="auto"/>
                      <w:sz w:val="21"/>
                      <w:szCs w:val="21"/>
                      <w:lang w:val="en-US" w:eastAsia="zh-CN"/>
                    </w:rPr>
                    <w:t>+15m高排气筒（DA00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w:t>
                  </w:r>
                </w:p>
                <w:p>
                  <w:pPr>
                    <w:pStyle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⑤</w:t>
                  </w:r>
                  <w:r>
                    <w:rPr>
                      <w:rFonts w:hint="eastAsia" w:ascii="Times New Roman" w:hAnsi="Times New Roman" w:cs="Times New Roman"/>
                      <w:color w:val="auto"/>
                      <w:sz w:val="21"/>
                      <w:szCs w:val="21"/>
                      <w:lang w:val="en-US" w:eastAsia="zh-CN"/>
                    </w:rPr>
                    <w:t>天然气燃烧机→颗粒物、二氧化硫、氮氧化物：低氮燃烧+15m高排气筒（DA004）。</w:t>
                  </w:r>
                </w:p>
                <w:p>
                  <w:pPr>
                    <w:pStyle w:val="9"/>
                    <w:rPr>
                      <w:rFonts w:hint="default" w:ascii="Times New Roman" w:hAnsi="Times New Roman" w:eastAsia="宋体" w:cs="Times New Roman"/>
                      <w:color w:val="auto"/>
                      <w:lang w:val="en-US" w:eastAsia="zh-CN"/>
                    </w:rPr>
                  </w:pPr>
                  <w:r>
                    <w:rPr>
                      <w:rFonts w:hint="eastAsia" w:ascii="宋体" w:hAnsi="宋体" w:eastAsia="宋体" w:cs="宋体"/>
                      <w:color w:val="auto"/>
                      <w:lang w:val="en-US" w:eastAsia="zh-CN"/>
                    </w:rPr>
                    <w:t>⑥预烘、浇注、脱模、清洗、注塑及硫化→非</w:t>
                  </w:r>
                  <w:r>
                    <w:rPr>
                      <w:rFonts w:hint="default" w:ascii="Times New Roman" w:hAnsi="Times New Roman" w:eastAsia="宋体" w:cs="Times New Roman"/>
                      <w:color w:val="auto"/>
                      <w:lang w:val="en-US" w:eastAsia="zh-CN"/>
                    </w:rPr>
                    <w:t>甲烷总烃</w:t>
                  </w:r>
                  <w:r>
                    <w:rPr>
                      <w:rFonts w:hint="eastAsia" w:ascii="Times New Roman" w:hAnsi="Times New Roman" w:eastAsia="宋体" w:cs="Times New Roman"/>
                      <w:color w:val="auto"/>
                      <w:lang w:val="en-US" w:eastAsia="zh-CN"/>
                    </w:rPr>
                    <w:t>、</w:t>
                  </w:r>
                  <w:r>
                    <w:rPr>
                      <w:rFonts w:hint="default" w:ascii="Times New Roman" w:hAnsi="Times New Roman" w:cs="Times New Roman"/>
                      <w:b w:val="0"/>
                      <w:bCs w:val="0"/>
                      <w:color w:val="auto"/>
                      <w:sz w:val="21"/>
                      <w:szCs w:val="21"/>
                      <w:lang w:val="en-US" w:eastAsia="zh-CN"/>
                    </w:rPr>
                    <w:t>二苯基甲烷二异氰酸酯（MDI）</w:t>
                  </w:r>
                  <w:r>
                    <w:rPr>
                      <w:rFonts w:hint="default" w:ascii="Times New Roman" w:hAnsi="Times New Roman" w:eastAsia="宋体" w:cs="Times New Roman"/>
                      <w:color w:val="auto"/>
                      <w:lang w:val="en-US" w:eastAsia="zh-CN"/>
                    </w:rPr>
                    <w:t>：集气系统+</w:t>
                  </w:r>
                  <w:r>
                    <w:rPr>
                      <w:rFonts w:hint="eastAsia" w:ascii="Times New Roman" w:hAnsi="Times New Roman" w:eastAsia="宋体" w:cs="Times New Roman"/>
                      <w:color w:val="auto"/>
                      <w:lang w:val="en-US" w:eastAsia="zh-CN"/>
                    </w:rPr>
                    <w:t>风冷+两级活性炭吸附箱</w:t>
                  </w:r>
                  <w:r>
                    <w:rPr>
                      <w:rFonts w:hint="default" w:ascii="Times New Roman" w:hAnsi="Times New Roman" w:eastAsia="宋体" w:cs="Times New Roman"/>
                      <w:color w:val="auto"/>
                      <w:lang w:val="en-US" w:eastAsia="zh-CN"/>
                    </w:rPr>
                    <w:t>+15m高排气筒（DA00</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⑦职工食堂</w:t>
                  </w:r>
                  <w:r>
                    <w:rPr>
                      <w:rFonts w:hint="default" w:ascii="Times New Roman" w:hAnsi="Times New Roman" w:cs="Times New Roman"/>
                      <w:color w:val="auto"/>
                      <w:lang w:val="en-US" w:eastAsia="zh-CN"/>
                    </w:rPr>
                    <w:t>-食堂油烟：油烟净化器+油烟专用排放管道。</w:t>
                  </w:r>
                </w:p>
                <w:p>
                  <w:pPr>
                    <w:pStyle w:val="9"/>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无组织：</w:t>
                  </w:r>
                </w:p>
                <w:p>
                  <w:pPr>
                    <w:pStyle w:val="9"/>
                    <w:rPr>
                      <w:rFonts w:hint="eastAsia" w:ascii="宋体" w:hAnsi="宋体" w:eastAsia="宋体" w:cs="宋体"/>
                      <w:color w:val="auto"/>
                      <w:lang w:val="en-US" w:eastAsia="zh-CN"/>
                    </w:rPr>
                  </w:pPr>
                  <w:r>
                    <w:rPr>
                      <w:rFonts w:hint="eastAsia" w:ascii="宋体" w:hAnsi="宋体" w:eastAsia="宋体" w:cs="宋体"/>
                      <w:color w:val="auto"/>
                      <w:lang w:val="en-US" w:eastAsia="zh-CN"/>
                    </w:rPr>
                    <w:t>①激光切割→颗粒物：工业集尘器。</w:t>
                  </w:r>
                </w:p>
                <w:p>
                  <w:pPr>
                    <w:pStyle w:val="9"/>
                    <w:rPr>
                      <w:rFonts w:hint="default"/>
                      <w:color w:val="auto"/>
                      <w:lang w:val="en-US" w:eastAsia="zh-CN"/>
                    </w:rPr>
                  </w:pPr>
                  <w:r>
                    <w:rPr>
                      <w:rFonts w:hint="eastAsia" w:ascii="宋体" w:hAnsi="宋体" w:eastAsia="宋体" w:cs="宋体"/>
                      <w:color w:val="auto"/>
                      <w:lang w:val="en-US" w:eastAsia="zh-CN"/>
                    </w:rPr>
                    <w:t>②木材下料→颗粒物：密闭房间+双筒布袋吸尘机。</w:t>
                  </w:r>
                </w:p>
              </w:tc>
              <w:tc>
                <w:tcPr>
                  <w:tcW w:w="247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w:t>
                  </w:r>
                  <w:r>
                    <w:rPr>
                      <w:rFonts w:hint="eastAsia" w:ascii="Times New Roman" w:hAnsi="Times New Roman" w:cs="Times New Roman"/>
                      <w:color w:val="auto"/>
                      <w:lang w:val="en-US" w:eastAsia="zh-CN"/>
                    </w:rPr>
                    <w:t>喷砂工艺改为抛丸工艺，环保设备为“袋式除尘器+15m高排气筒”。②新增一条大构件喷塑线，环保设备为“</w:t>
                  </w:r>
                  <w:r>
                    <w:rPr>
                      <w:rFonts w:hint="default" w:ascii="Times New Roman" w:hAnsi="Times New Roman" w:eastAsia="宋体" w:cs="Times New Roman"/>
                      <w:color w:val="auto"/>
                      <w:sz w:val="21"/>
                      <w:szCs w:val="21"/>
                      <w:lang w:val="en-GB" w:eastAsia="zh-CN"/>
                    </w:rPr>
                    <w:t>大旋风粉末回收系统</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袋式除尘器</w:t>
                  </w:r>
                  <w:r>
                    <w:rPr>
                      <w:rFonts w:hint="eastAsia" w:ascii="Times New Roman" w:hAnsi="Times New Roman" w:cs="Times New Roman"/>
                      <w:color w:val="auto"/>
                      <w:lang w:val="en-US" w:eastAsia="zh-CN"/>
                    </w:rPr>
                    <w:t>+15m高排气筒”。③新增1台天然气燃烧机，采用低氮燃烧。④新增硫化工艺，硫化废气处理措施为“风冷+两级活性炭吸附箱+15m高排气筒”。⑤新增木质包装箱生产线一条，自产自用，环保设备为“双筒布袋吸尘机”。</w:t>
                  </w:r>
                </w:p>
              </w:tc>
              <w:tc>
                <w:tcPr>
                  <w:tcW w:w="48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噪声治理</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lang w:eastAsia="zh-CN"/>
                    </w:rPr>
                  </w:pPr>
                  <w:r>
                    <w:rPr>
                      <w:rFonts w:hint="default" w:ascii="Times New Roman" w:hAnsi="Times New Roman" w:cs="Times New Roman"/>
                      <w:color w:val="auto"/>
                    </w:rPr>
                    <w:t>选用低噪设备、采取基础减震、柔性连接、建筑物隔声等，再通过绿化带的吸收、屏蔽、阻挡及距离衰减作用进行噪声防治</w:t>
                  </w:r>
                  <w:r>
                    <w:rPr>
                      <w:rFonts w:hint="default" w:ascii="Times New Roman" w:hAnsi="Times New Roman" w:cs="Times New Roman"/>
                      <w:color w:val="auto"/>
                      <w:lang w:eastAsia="zh-CN"/>
                    </w:rPr>
                    <w:t>。</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选用低噪设备、采取基础减震、柔性连接、建筑物隔声等，再通过绿化带的吸收、屏蔽、阻挡及距离衰减作用进行噪声防治</w:t>
                  </w:r>
                  <w:r>
                    <w:rPr>
                      <w:rFonts w:hint="default" w:ascii="Times New Roman" w:hAnsi="Times New Roman" w:cs="Times New Roman"/>
                      <w:color w:val="auto"/>
                      <w:lang w:eastAsia="zh-CN"/>
                    </w:rPr>
                    <w:t>。</w:t>
                  </w:r>
                </w:p>
              </w:tc>
              <w:tc>
                <w:tcPr>
                  <w:tcW w:w="247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未发生变化</w:t>
                  </w:r>
                </w:p>
              </w:tc>
              <w:tc>
                <w:tcPr>
                  <w:tcW w:w="481"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固废治理</w:t>
                  </w:r>
                </w:p>
              </w:tc>
              <w:tc>
                <w:tcPr>
                  <w:tcW w:w="2835" w:type="dxa"/>
                  <w:noWrap w:val="0"/>
                  <w:vAlign w:val="center"/>
                </w:tcPr>
                <w:p>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一般工业固体废物：一般工业固体废物暂存间。</w:t>
                  </w:r>
                </w:p>
              </w:tc>
              <w:tc>
                <w:tcPr>
                  <w:tcW w:w="283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一般工业固体废物：一般工业固体废物暂存间。</w:t>
                  </w:r>
                </w:p>
              </w:tc>
              <w:tc>
                <w:tcPr>
                  <w:tcW w:w="247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eastAsia" w:ascii="Times New Roman" w:hAnsi="Times New Roman" w:cs="Times New Roman"/>
                      <w:color w:val="auto"/>
                      <w:lang w:eastAsia="zh-CN"/>
                    </w:rPr>
                    <w:t>未发生变化</w:t>
                  </w:r>
                </w:p>
              </w:tc>
              <w:tc>
                <w:tcPr>
                  <w:tcW w:w="481" w:type="dxa"/>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vMerge w:val="continue"/>
                  <w:noWrap w:val="0"/>
                  <w:vAlign w:val="center"/>
                </w:tcPr>
                <w:p>
                  <w:pPr>
                    <w:jc w:val="center"/>
                    <w:rPr>
                      <w:rFonts w:hint="default" w:ascii="Times New Roman" w:hAnsi="Times New Roman" w:cs="Times New Roman"/>
                      <w:color w:val="auto"/>
                    </w:rPr>
                  </w:pPr>
                </w:p>
              </w:tc>
              <w:tc>
                <w:tcPr>
                  <w:tcW w:w="2835"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危险废物：危险废物暂存间</w:t>
                  </w:r>
                  <w:r>
                    <w:rPr>
                      <w:rFonts w:hint="eastAsia" w:ascii="Times New Roman" w:hAnsi="Times New Roman" w:cs="Times New Roman"/>
                      <w:color w:val="auto"/>
                      <w:lang w:eastAsia="zh-CN"/>
                    </w:rPr>
                    <w:t>，建筑面积约为</w:t>
                  </w:r>
                  <w:r>
                    <w:rPr>
                      <w:rFonts w:hint="eastAsia" w:ascii="Times New Roman" w:hAnsi="Times New Roman" w:cs="Times New Roman"/>
                      <w:color w:val="auto"/>
                      <w:lang w:val="en-US" w:eastAsia="zh-CN"/>
                    </w:rPr>
                    <w:t>50m</w:t>
                  </w:r>
                  <w:r>
                    <w:rPr>
                      <w:rFonts w:hint="eastAsia" w:ascii="Times New Roman" w:hAnsi="Times New Roman" w:cs="Times New Roman"/>
                      <w:color w:val="auto"/>
                      <w:vertAlign w:val="superscript"/>
                      <w:lang w:val="en-US" w:eastAsia="zh-CN"/>
                    </w:rPr>
                    <w:t>2</w:t>
                  </w:r>
                  <w:r>
                    <w:rPr>
                      <w:rFonts w:hint="default" w:ascii="Times New Roman" w:hAnsi="Times New Roman" w:cs="Times New Roman"/>
                      <w:color w:val="auto"/>
                      <w:lang w:eastAsia="zh-CN"/>
                    </w:rPr>
                    <w:t>。</w:t>
                  </w:r>
                </w:p>
              </w:tc>
              <w:tc>
                <w:tcPr>
                  <w:tcW w:w="2835" w:type="dxa"/>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危险废物：危险废物暂存间</w:t>
                  </w:r>
                  <w:r>
                    <w:rPr>
                      <w:rFonts w:hint="eastAsia" w:ascii="Times New Roman" w:hAnsi="Times New Roman" w:cs="Times New Roman"/>
                      <w:color w:val="auto"/>
                      <w:lang w:eastAsia="zh-CN"/>
                    </w:rPr>
                    <w:t>，建筑面积约为</w:t>
                  </w:r>
                  <w:r>
                    <w:rPr>
                      <w:rFonts w:hint="eastAsia" w:ascii="Times New Roman" w:hAnsi="Times New Roman" w:cs="Times New Roman"/>
                      <w:color w:val="auto"/>
                      <w:lang w:val="en-US" w:eastAsia="zh-CN"/>
                    </w:rPr>
                    <w:t>50m</w:t>
                  </w:r>
                  <w:r>
                    <w:rPr>
                      <w:rFonts w:hint="eastAsia" w:ascii="Times New Roman" w:hAnsi="Times New Roman" w:cs="Times New Roman"/>
                      <w:color w:val="auto"/>
                      <w:vertAlign w:val="superscript"/>
                      <w:lang w:val="en-US" w:eastAsia="zh-CN"/>
                    </w:rPr>
                    <w:t>2</w:t>
                  </w:r>
                  <w:r>
                    <w:rPr>
                      <w:rFonts w:hint="default" w:ascii="Times New Roman" w:hAnsi="Times New Roman" w:cs="Times New Roman"/>
                      <w:color w:val="auto"/>
                      <w:lang w:eastAsia="zh-CN"/>
                    </w:rPr>
                    <w:t>。</w:t>
                  </w:r>
                </w:p>
              </w:tc>
              <w:tc>
                <w:tcPr>
                  <w:tcW w:w="247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lang w:eastAsia="zh-CN"/>
                    </w:rPr>
                  </w:pPr>
                  <w:r>
                    <w:rPr>
                      <w:rFonts w:hint="eastAsia" w:ascii="Times New Roman" w:hAnsi="Times New Roman" w:cs="Times New Roman"/>
                      <w:color w:val="auto"/>
                      <w:lang w:eastAsia="zh-CN"/>
                    </w:rPr>
                    <w:t>未发生变化</w:t>
                  </w:r>
                </w:p>
              </w:tc>
              <w:tc>
                <w:tcPr>
                  <w:tcW w:w="481"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vMerge w:val="continue"/>
                  <w:noWrap w:val="0"/>
                  <w:vAlign w:val="center"/>
                </w:tcPr>
                <w:p>
                  <w:pPr>
                    <w:jc w:val="center"/>
                    <w:rPr>
                      <w:rFonts w:hint="default" w:ascii="Times New Roman" w:hAnsi="Times New Roman" w:cs="Times New Roman"/>
                      <w:color w:val="auto"/>
                    </w:rPr>
                  </w:pPr>
                </w:p>
              </w:tc>
              <w:tc>
                <w:tcPr>
                  <w:tcW w:w="283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生活垃圾：垃圾桶等。</w:t>
                  </w:r>
                </w:p>
              </w:tc>
              <w:tc>
                <w:tcPr>
                  <w:tcW w:w="283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生活垃圾：垃圾桶等。</w:t>
                  </w:r>
                </w:p>
              </w:tc>
              <w:tc>
                <w:tcPr>
                  <w:tcW w:w="2475" w:type="dxa"/>
                  <w:noWrap w:val="0"/>
                  <w:vAlign w:val="center"/>
                </w:tcPr>
                <w:p>
                  <w:pPr>
                    <w:jc w:val="center"/>
                    <w:rPr>
                      <w:rFonts w:hint="default" w:ascii="Times New Roman" w:hAnsi="Times New Roman" w:cs="Times New Roman"/>
                      <w:color w:val="auto"/>
                    </w:rPr>
                  </w:pPr>
                  <w:r>
                    <w:rPr>
                      <w:rFonts w:hint="eastAsia" w:ascii="Times New Roman" w:hAnsi="Times New Roman" w:cs="Times New Roman"/>
                      <w:color w:val="auto"/>
                      <w:lang w:eastAsia="zh-CN"/>
                    </w:rPr>
                    <w:t>未发生变化</w:t>
                  </w:r>
                </w:p>
              </w:tc>
              <w:tc>
                <w:tcPr>
                  <w:tcW w:w="481" w:type="dxa"/>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地下水</w:t>
                  </w:r>
                  <w:r>
                    <w:rPr>
                      <w:rFonts w:hint="default" w:ascii="Times New Roman" w:hAnsi="Times New Roman" w:cs="Times New Roman"/>
                      <w:color w:val="auto"/>
                      <w:lang w:val="en-US" w:eastAsia="zh-CN"/>
                    </w:rPr>
                    <w:t>及土壤</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cs="Times New Roman"/>
                      <w:color w:val="auto"/>
                    </w:rPr>
                  </w:pPr>
                  <w:r>
                    <w:rPr>
                      <w:rFonts w:hint="default" w:ascii="Times New Roman" w:hAnsi="Times New Roman" w:cs="Times New Roman"/>
                      <w:color w:val="auto"/>
                    </w:rPr>
                    <w:t>重点防渗区</w:t>
                  </w:r>
                  <w:r>
                    <w:rPr>
                      <w:rFonts w:hint="default" w:ascii="Times New Roman" w:hAnsi="Times New Roman" w:cs="Times New Roman"/>
                      <w:color w:val="auto"/>
                      <w:lang w:eastAsia="zh-CN"/>
                    </w:rPr>
                    <w:t>防渗技术要求：等效黏土防渗层Mb≧6m，K≦1*10</w:t>
                  </w:r>
                  <w:r>
                    <w:rPr>
                      <w:rFonts w:hint="default" w:ascii="Times New Roman" w:hAnsi="Times New Roman" w:cs="Times New Roman"/>
                      <w:color w:val="auto"/>
                      <w:vertAlign w:val="superscript"/>
                      <w:lang w:eastAsia="zh-CN"/>
                    </w:rPr>
                    <w:t>-7</w:t>
                  </w:r>
                  <w:r>
                    <w:rPr>
                      <w:rFonts w:hint="default" w:ascii="Times New Roman" w:hAnsi="Times New Roman" w:cs="Times New Roman"/>
                      <w:color w:val="auto"/>
                      <w:lang w:eastAsia="zh-CN"/>
                    </w:rPr>
                    <w:t>cm/s，或参照《</w:t>
                  </w:r>
                  <w:r>
                    <w:rPr>
                      <w:rFonts w:hint="default" w:ascii="Times New Roman" w:hAnsi="Times New Roman" w:cs="Times New Roman"/>
                      <w:color w:val="auto"/>
                      <w:lang w:val="en-US" w:eastAsia="zh-CN"/>
                    </w:rPr>
                    <w:t>危险废物填埋污染控制标准</w:t>
                  </w:r>
                  <w:r>
                    <w:rPr>
                      <w:rFonts w:hint="default" w:ascii="Times New Roman" w:hAnsi="Times New Roman" w:cs="Times New Roman"/>
                      <w:color w:val="auto"/>
                      <w:lang w:eastAsia="zh-CN"/>
                    </w:rPr>
                    <w:t>》（GB</w:t>
                  </w:r>
                  <w:r>
                    <w:rPr>
                      <w:rFonts w:hint="eastAsia" w:ascii="Times New Roman" w:hAnsi="Times New Roman" w:cs="Times New Roman"/>
                      <w:color w:val="auto"/>
                      <w:lang w:val="en-US" w:eastAsia="zh-CN"/>
                    </w:rPr>
                    <w:t>18598-2019</w:t>
                  </w:r>
                  <w:r>
                    <w:rPr>
                      <w:rFonts w:hint="default" w:ascii="Times New Roman" w:hAnsi="Times New Roman" w:cs="Times New Roman"/>
                      <w:color w:val="auto"/>
                      <w:lang w:eastAsia="zh-CN"/>
                    </w:rPr>
                    <w:t>）执行；</w:t>
                  </w:r>
                  <w:r>
                    <w:rPr>
                      <w:rFonts w:hint="default" w:ascii="Times New Roman" w:hAnsi="Times New Roman" w:cs="Times New Roman"/>
                      <w:color w:val="auto"/>
                    </w:rPr>
                    <w:t>一般防渗区</w:t>
                  </w:r>
                  <w:r>
                    <w:rPr>
                      <w:rFonts w:hint="default" w:ascii="Times New Roman" w:hAnsi="Times New Roman" w:cs="Times New Roman"/>
                      <w:color w:val="auto"/>
                      <w:lang w:eastAsia="zh-CN"/>
                    </w:rPr>
                    <w:t>防渗技术要求：等效黏土防渗层Mb≧1.5m，K≦1*10</w:t>
                  </w:r>
                  <w:r>
                    <w:rPr>
                      <w:rFonts w:hint="default" w:ascii="Times New Roman" w:hAnsi="Times New Roman" w:cs="Times New Roman"/>
                      <w:color w:val="auto"/>
                      <w:vertAlign w:val="superscript"/>
                      <w:lang w:eastAsia="zh-CN"/>
                    </w:rPr>
                    <w:t>-7</w:t>
                  </w:r>
                  <w:r>
                    <w:rPr>
                      <w:rFonts w:hint="default" w:ascii="Times New Roman" w:hAnsi="Times New Roman" w:cs="Times New Roman"/>
                      <w:color w:val="auto"/>
                      <w:lang w:eastAsia="zh-CN"/>
                    </w:rPr>
                    <w:t>cm/s，或参照《</w:t>
                  </w:r>
                  <w:r>
                    <w:rPr>
                      <w:rFonts w:hint="eastAsia" w:ascii="Times New Roman" w:hAnsi="Times New Roman" w:cs="Times New Roman"/>
                      <w:color w:val="auto"/>
                      <w:lang w:val="en-US" w:eastAsia="zh-CN"/>
                    </w:rPr>
                    <w:t>生活垃圾填埋场污染控制标准</w:t>
                  </w:r>
                  <w:r>
                    <w:rPr>
                      <w:rFonts w:hint="default" w:ascii="Times New Roman" w:hAnsi="Times New Roman" w:cs="Times New Roman"/>
                      <w:color w:val="auto"/>
                      <w:lang w:eastAsia="zh-CN"/>
                    </w:rPr>
                    <w:t>》（GB</w:t>
                  </w:r>
                  <w:r>
                    <w:rPr>
                      <w:rFonts w:hint="eastAsia" w:ascii="Times New Roman" w:hAnsi="Times New Roman" w:cs="Times New Roman"/>
                      <w:color w:val="auto"/>
                      <w:lang w:val="en-US" w:eastAsia="zh-CN"/>
                    </w:rPr>
                    <w:t>16889-2008</w:t>
                  </w:r>
                  <w:r>
                    <w:rPr>
                      <w:rFonts w:hint="default" w:ascii="Times New Roman" w:hAnsi="Times New Roman" w:cs="Times New Roman"/>
                      <w:color w:val="auto"/>
                      <w:lang w:eastAsia="zh-CN"/>
                    </w:rPr>
                    <w:t>）执行；简单防渗区防渗技术要求：一般地面硬化。</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cs="Times New Roman"/>
                      <w:color w:val="auto"/>
                    </w:rPr>
                  </w:pPr>
                  <w:r>
                    <w:rPr>
                      <w:rFonts w:hint="default" w:ascii="Times New Roman" w:hAnsi="Times New Roman" w:cs="Times New Roman"/>
                      <w:color w:val="auto"/>
                    </w:rPr>
                    <w:t>重点防渗区</w:t>
                  </w:r>
                  <w:r>
                    <w:rPr>
                      <w:rFonts w:hint="default" w:ascii="Times New Roman" w:hAnsi="Times New Roman" w:cs="Times New Roman"/>
                      <w:color w:val="auto"/>
                      <w:lang w:eastAsia="zh-CN"/>
                    </w:rPr>
                    <w:t>防渗技术要求：等效黏土防渗层Mb≧6m，K≦1*10</w:t>
                  </w:r>
                  <w:r>
                    <w:rPr>
                      <w:rFonts w:hint="default" w:ascii="Times New Roman" w:hAnsi="Times New Roman" w:cs="Times New Roman"/>
                      <w:color w:val="auto"/>
                      <w:vertAlign w:val="superscript"/>
                      <w:lang w:eastAsia="zh-CN"/>
                    </w:rPr>
                    <w:t>-7</w:t>
                  </w:r>
                  <w:r>
                    <w:rPr>
                      <w:rFonts w:hint="default" w:ascii="Times New Roman" w:hAnsi="Times New Roman" w:cs="Times New Roman"/>
                      <w:color w:val="auto"/>
                      <w:lang w:eastAsia="zh-CN"/>
                    </w:rPr>
                    <w:t>cm/s，或参照《</w:t>
                  </w:r>
                  <w:r>
                    <w:rPr>
                      <w:rFonts w:hint="default" w:ascii="Times New Roman" w:hAnsi="Times New Roman" w:cs="Times New Roman"/>
                      <w:color w:val="auto"/>
                      <w:lang w:val="en-US" w:eastAsia="zh-CN"/>
                    </w:rPr>
                    <w:t>危险废物填埋污染控制标准</w:t>
                  </w:r>
                  <w:r>
                    <w:rPr>
                      <w:rFonts w:hint="default" w:ascii="Times New Roman" w:hAnsi="Times New Roman" w:cs="Times New Roman"/>
                      <w:color w:val="auto"/>
                      <w:lang w:eastAsia="zh-CN"/>
                    </w:rPr>
                    <w:t>》（GB</w:t>
                  </w:r>
                  <w:r>
                    <w:rPr>
                      <w:rFonts w:hint="eastAsia" w:ascii="Times New Roman" w:hAnsi="Times New Roman" w:cs="Times New Roman"/>
                      <w:color w:val="auto"/>
                      <w:lang w:val="en-US" w:eastAsia="zh-CN"/>
                    </w:rPr>
                    <w:t>18598-2019</w:t>
                  </w:r>
                  <w:r>
                    <w:rPr>
                      <w:rFonts w:hint="default" w:ascii="Times New Roman" w:hAnsi="Times New Roman" w:cs="Times New Roman"/>
                      <w:color w:val="auto"/>
                      <w:lang w:eastAsia="zh-CN"/>
                    </w:rPr>
                    <w:t>）执行；</w:t>
                  </w:r>
                  <w:r>
                    <w:rPr>
                      <w:rFonts w:hint="default" w:ascii="Times New Roman" w:hAnsi="Times New Roman" w:cs="Times New Roman"/>
                      <w:color w:val="auto"/>
                    </w:rPr>
                    <w:t>一般防渗区</w:t>
                  </w:r>
                  <w:r>
                    <w:rPr>
                      <w:rFonts w:hint="default" w:ascii="Times New Roman" w:hAnsi="Times New Roman" w:cs="Times New Roman"/>
                      <w:color w:val="auto"/>
                      <w:lang w:eastAsia="zh-CN"/>
                    </w:rPr>
                    <w:t>防渗技术要求：等效黏土防渗层Mb≧1.5m，K≦1*10</w:t>
                  </w:r>
                  <w:r>
                    <w:rPr>
                      <w:rFonts w:hint="default" w:ascii="Times New Roman" w:hAnsi="Times New Roman" w:cs="Times New Roman"/>
                      <w:color w:val="auto"/>
                      <w:vertAlign w:val="superscript"/>
                      <w:lang w:eastAsia="zh-CN"/>
                    </w:rPr>
                    <w:t>-7</w:t>
                  </w:r>
                  <w:r>
                    <w:rPr>
                      <w:rFonts w:hint="default" w:ascii="Times New Roman" w:hAnsi="Times New Roman" w:cs="Times New Roman"/>
                      <w:color w:val="auto"/>
                      <w:lang w:eastAsia="zh-CN"/>
                    </w:rPr>
                    <w:t>cm/s，或参照《</w:t>
                  </w:r>
                  <w:r>
                    <w:rPr>
                      <w:rFonts w:hint="eastAsia" w:ascii="Times New Roman" w:hAnsi="Times New Roman" w:cs="Times New Roman"/>
                      <w:color w:val="auto"/>
                      <w:lang w:val="en-US" w:eastAsia="zh-CN"/>
                    </w:rPr>
                    <w:t>生活垃圾填埋场污染控制标准</w:t>
                  </w:r>
                  <w:r>
                    <w:rPr>
                      <w:rFonts w:hint="default" w:ascii="Times New Roman" w:hAnsi="Times New Roman" w:cs="Times New Roman"/>
                      <w:color w:val="auto"/>
                      <w:lang w:eastAsia="zh-CN"/>
                    </w:rPr>
                    <w:t>》（GB</w:t>
                  </w:r>
                  <w:r>
                    <w:rPr>
                      <w:rFonts w:hint="eastAsia" w:ascii="Times New Roman" w:hAnsi="Times New Roman" w:cs="Times New Roman"/>
                      <w:color w:val="auto"/>
                      <w:lang w:val="en-US" w:eastAsia="zh-CN"/>
                    </w:rPr>
                    <w:t>16889-2008</w:t>
                  </w:r>
                  <w:r>
                    <w:rPr>
                      <w:rFonts w:hint="default" w:ascii="Times New Roman" w:hAnsi="Times New Roman" w:cs="Times New Roman"/>
                      <w:color w:val="auto"/>
                      <w:lang w:eastAsia="zh-CN"/>
                    </w:rPr>
                    <w:t>）执行；简单防渗区防渗技术要求：一般地面硬化。</w:t>
                  </w:r>
                </w:p>
              </w:tc>
              <w:tc>
                <w:tcPr>
                  <w:tcW w:w="2475" w:type="dxa"/>
                  <w:noWrap w:val="0"/>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未发生变化</w:t>
                  </w:r>
                </w:p>
              </w:tc>
              <w:tc>
                <w:tcPr>
                  <w:tcW w:w="481" w:type="dxa"/>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jc w:val="center"/>
                    <w:rPr>
                      <w:rFonts w:hint="default" w:ascii="Times New Roman" w:hAnsi="Times New Roman" w:cs="Times New Roman"/>
                      <w:color w:val="auto"/>
                      <w:lang w:eastAsia="zh-CN"/>
                    </w:rPr>
                  </w:pPr>
                  <w:r>
                    <w:rPr>
                      <w:rFonts w:hint="eastAsia" w:ascii="Times New Roman" w:hAnsi="Times New Roman" w:cs="Times New Roman"/>
                      <w:color w:val="auto"/>
                      <w:sz w:val="21"/>
                      <w:szCs w:val="21"/>
                      <w:lang w:eastAsia="zh-CN"/>
                    </w:rPr>
                    <w:t>环境风险</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①车间内工艺布置保持通道畅通</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②企业定期对废气、处理设施进行维护、修理，使其处于正常运转状态，杜绝事故性排放；一旦发现废气收集、处理设施出现故障，须立即停止生产，待故障排除完毕、治理设施正常运行后方可恢复生产</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③设立单独的危险废物暂存</w:t>
                  </w:r>
                  <w:r>
                    <w:rPr>
                      <w:rFonts w:hint="eastAsia" w:ascii="Times New Roman" w:hAnsi="Times New Roman" w:cs="Times New Roman"/>
                      <w:color w:val="auto"/>
                      <w:sz w:val="21"/>
                      <w:szCs w:val="21"/>
                      <w:lang w:eastAsia="zh-CN"/>
                    </w:rPr>
                    <w:t>房</w:t>
                  </w:r>
                  <w:r>
                    <w:rPr>
                      <w:rFonts w:hint="default" w:ascii="Times New Roman" w:hAnsi="Times New Roman" w:cs="Times New Roman"/>
                      <w:color w:val="auto"/>
                      <w:sz w:val="21"/>
                      <w:szCs w:val="21"/>
                    </w:rPr>
                    <w:t>，并按照《危险废物贮存污染控制标准》（GB18597-20</w:t>
                  </w:r>
                  <w:r>
                    <w:rPr>
                      <w:rFonts w:hint="eastAsia" w:ascii="Times New Roman" w:hAnsi="Times New Roman" w:cs="Times New Roman"/>
                      <w:color w:val="auto"/>
                      <w:sz w:val="21"/>
                      <w:szCs w:val="21"/>
                      <w:lang w:val="en-US" w:eastAsia="zh-CN"/>
                    </w:rPr>
                    <w:t>23</w:t>
                  </w:r>
                  <w:r>
                    <w:rPr>
                      <w:rFonts w:hint="default" w:ascii="Times New Roman" w:hAnsi="Times New Roman" w:cs="Times New Roman"/>
                      <w:color w:val="auto"/>
                      <w:sz w:val="21"/>
                      <w:szCs w:val="21"/>
                    </w:rPr>
                    <w:t>）的规定做各项措施，并定期委托有资质单位清运处置。同时，建设单位在危险废物转移过程中须严格执行转移联单制度，并做好记录台账，防止危险废物在转移过程中发生遗失事故</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④建设单位须制订环境突发事故应急预案，一旦突发环境风险事故，必须立即按应急预案提到的紧急处理、救援、监测方案等进行紧急救援，救援人员采取相应的防护措施，以避免造成人员伤亡事故</w:t>
                  </w:r>
                  <w:r>
                    <w:rPr>
                      <w:rFonts w:hint="default" w:ascii="Times New Roman" w:hAnsi="Times New Roman" w:cs="Times New Roman"/>
                      <w:color w:val="auto"/>
                      <w:sz w:val="21"/>
                      <w:szCs w:val="21"/>
                      <w:lang w:eastAsia="zh-CN"/>
                    </w:rPr>
                    <w:t>。⑤</w:t>
                  </w:r>
                  <w:r>
                    <w:rPr>
                      <w:rFonts w:hint="default" w:ascii="Times New Roman" w:hAnsi="Times New Roman" w:cs="Times New Roman"/>
                      <w:color w:val="auto"/>
                      <w:lang w:eastAsia="zh-CN"/>
                    </w:rPr>
                    <w:t>设置</w:t>
                  </w:r>
                  <w:r>
                    <w:rPr>
                      <w:rFonts w:hint="eastAsia" w:ascii="Times New Roman" w:hAnsi="Times New Roman" w:cs="Times New Roman"/>
                      <w:color w:val="auto"/>
                      <w:lang w:eastAsia="zh-CN"/>
                    </w:rPr>
                    <w:t>（液化）天然气泄漏报警仪器</w:t>
                  </w:r>
                  <w:r>
                    <w:rPr>
                      <w:rFonts w:hint="default" w:ascii="Times New Roman" w:hAnsi="Times New Roman" w:cs="Times New Roman"/>
                      <w:color w:val="auto"/>
                      <w:lang w:val="en-US" w:eastAsia="zh-CN"/>
                    </w:rPr>
                    <w:t>。</w:t>
                  </w:r>
                </w:p>
              </w:tc>
              <w:tc>
                <w:tcPr>
                  <w:tcW w:w="2475" w:type="dxa"/>
                  <w:noWrap w:val="0"/>
                  <w:vAlign w:val="center"/>
                </w:tcPr>
                <w:p>
                  <w:pPr>
                    <w:jc w:val="center"/>
                    <w:rPr>
                      <w:rFonts w:hint="default" w:ascii="Times New Roman" w:hAnsi="Times New Roman" w:cs="Times New Roman"/>
                      <w:color w:val="auto"/>
                      <w:lang w:eastAsia="zh-CN"/>
                    </w:rPr>
                  </w:pPr>
                  <w:r>
                    <w:rPr>
                      <w:rFonts w:hint="eastAsia" w:ascii="Times New Roman" w:hAnsi="Times New Roman" w:cs="Times New Roman"/>
                      <w:color w:val="auto"/>
                      <w:lang w:eastAsia="zh-CN"/>
                    </w:rPr>
                    <w:t>发生变化</w:t>
                  </w:r>
                </w:p>
              </w:tc>
              <w:tc>
                <w:tcPr>
                  <w:tcW w:w="481" w:type="dxa"/>
                  <w:noWrap w:val="0"/>
                  <w:vAlign w:val="center"/>
                </w:tcPr>
                <w:p>
                  <w:pPr>
                    <w:jc w:val="center"/>
                    <w:rPr>
                      <w:rFonts w:hint="default" w:ascii="Times New Roman" w:hAnsi="Times New Roman" w:cs="Times New Roman"/>
                      <w:color w:val="auto"/>
                      <w:lang w:eastAsia="zh-CN"/>
                    </w:rPr>
                  </w:pPr>
                  <w:r>
                    <w:rPr>
                      <w:rFonts w:hint="eastAsia" w:ascii="Times New Roman" w:hAnsi="Times New Roman"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noWrap w:val="0"/>
                  <w:vAlign w:val="center"/>
                </w:tcPr>
                <w:p>
                  <w:pPr>
                    <w:jc w:val="center"/>
                    <w:rPr>
                      <w:rFonts w:hint="default" w:ascii="Times New Roman" w:hAnsi="Times New Roman" w:cs="Times New Roman"/>
                      <w:color w:val="auto"/>
                    </w:rPr>
                  </w:pPr>
                </w:p>
              </w:tc>
              <w:tc>
                <w:tcPr>
                  <w:tcW w:w="665" w:type="dxa"/>
                  <w:noWrap w:val="0"/>
                  <w:vAlign w:val="center"/>
                </w:tcPr>
                <w:p>
                  <w:pPr>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绿化</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绿地率</w:t>
                  </w:r>
                  <w:r>
                    <w:rPr>
                      <w:rFonts w:hint="eastAsia" w:ascii="Times New Roman" w:hAnsi="Times New Roman" w:cs="Times New Roman"/>
                      <w:color w:val="auto"/>
                      <w:sz w:val="21"/>
                      <w:szCs w:val="21"/>
                      <w:lang w:val="en-US" w:eastAsia="zh-CN"/>
                    </w:rPr>
                    <w:t>8.40%，绿地面积为1680m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w:t>
                  </w:r>
                </w:p>
              </w:tc>
              <w:tc>
                <w:tcPr>
                  <w:tcW w:w="247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发生变化</w:t>
                  </w:r>
                </w:p>
              </w:tc>
              <w:tc>
                <w:tcPr>
                  <w:tcW w:w="481" w:type="dxa"/>
                  <w:noWrap w:val="0"/>
                  <w:vAlign w:val="center"/>
                </w:tcPr>
                <w:p>
                  <w:pPr>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新建</w:t>
                  </w:r>
                </w:p>
              </w:tc>
            </w:tr>
          </w:tbl>
          <w:p>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建设项目</w:t>
            </w:r>
            <w:r>
              <w:rPr>
                <w:rFonts w:hint="default" w:ascii="Times New Roman" w:hAnsi="Times New Roman" w:cs="Times New Roman"/>
                <w:b/>
                <w:bCs/>
                <w:color w:val="auto"/>
                <w:sz w:val="24"/>
                <w:szCs w:val="24"/>
              </w:rPr>
              <w:t>主要生产</w:t>
            </w:r>
            <w:r>
              <w:rPr>
                <w:rFonts w:hint="default" w:ascii="Times New Roman" w:hAnsi="Times New Roman" w:cs="Times New Roman"/>
                <w:b/>
                <w:bCs/>
                <w:color w:val="auto"/>
                <w:sz w:val="24"/>
                <w:szCs w:val="24"/>
                <w:lang w:val="en-US" w:eastAsia="zh-CN"/>
              </w:rPr>
              <w:t>设施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根据建设单位提供的资料，项目主要设备清单见表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pPr>
              <w:spacing w:line="24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项目主要生产</w:t>
            </w:r>
            <w:r>
              <w:rPr>
                <w:rFonts w:hint="default" w:ascii="Times New Roman" w:hAnsi="Times New Roman" w:cs="Times New Roman"/>
                <w:b/>
                <w:bCs/>
                <w:color w:val="auto"/>
                <w:sz w:val="24"/>
                <w:szCs w:val="24"/>
                <w:lang w:val="en-US" w:eastAsia="zh-CN"/>
              </w:rPr>
              <w:t>设施</w:t>
            </w:r>
            <w:r>
              <w:rPr>
                <w:rFonts w:hint="default" w:ascii="Times New Roman" w:hAnsi="Times New Roman" w:cs="Times New Roman"/>
                <w:b/>
                <w:bCs/>
                <w:color w:val="auto"/>
                <w:sz w:val="24"/>
                <w:szCs w:val="24"/>
              </w:rPr>
              <w:t>一览表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39"/>
              <w:gridCol w:w="1539"/>
              <w:gridCol w:w="682"/>
              <w:gridCol w:w="1363"/>
              <w:gridCol w:w="1363"/>
              <w:gridCol w:w="1022"/>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1539"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设备名称</w:t>
                  </w:r>
                </w:p>
              </w:tc>
              <w:tc>
                <w:tcPr>
                  <w:tcW w:w="153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规格/</w:t>
                  </w:r>
                  <w:r>
                    <w:rPr>
                      <w:rFonts w:hint="default" w:ascii="Times New Roman" w:hAnsi="Times New Roman" w:cs="Times New Roman"/>
                      <w:color w:val="auto"/>
                      <w:lang w:val="en-US" w:eastAsia="zh-CN"/>
                    </w:rPr>
                    <w:t>型号</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重新报批前</w:t>
                  </w:r>
                  <w:r>
                    <w:rPr>
                      <w:rFonts w:hint="default" w:ascii="Times New Roman" w:hAnsi="Times New Roman" w:cs="Times New Roman"/>
                      <w:color w:val="auto"/>
                      <w:lang w:val="en-US" w:eastAsia="zh-CN"/>
                    </w:rPr>
                    <w:t>数量</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重新报批后数量</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变化情况</w:t>
                  </w:r>
                </w:p>
              </w:tc>
              <w:tc>
                <w:tcPr>
                  <w:tcW w:w="144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8"/>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b/>
                      <w:bCs/>
                      <w:color w:val="auto"/>
                      <w:lang w:val="en-US" w:eastAsia="zh-CN"/>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光纤激光切割机</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G6025S</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钢材下料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539" w:type="dxa"/>
                  <w:noWrap w:val="0"/>
                  <w:vAlign w:val="center"/>
                </w:tcPr>
                <w:p>
                  <w:pPr>
                    <w:jc w:val="center"/>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精密铣床</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HY-5Y/D50</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1539" w:type="dxa"/>
                  <w:noWrap w:val="0"/>
                  <w:vAlign w:val="center"/>
                </w:tcPr>
                <w:p>
                  <w:pPr>
                    <w:jc w:val="center"/>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车床</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CA6150B</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1539" w:type="dxa"/>
                  <w:noWrap w:val="0"/>
                  <w:vAlign w:val="center"/>
                </w:tcPr>
                <w:p>
                  <w:pPr>
                    <w:jc w:val="center"/>
                    <w:rPr>
                      <w:rFonts w:hint="eastAsia" w:ascii="Times New Roman" w:hAnsi="Times New Roman" w:cs="Times New Roman"/>
                      <w:b w:val="0"/>
                      <w:bCs w:val="0"/>
                      <w:color w:val="auto"/>
                      <w:lang w:eastAsia="zh-CN"/>
                    </w:rPr>
                  </w:pPr>
                  <w:r>
                    <w:rPr>
                      <w:rFonts w:hint="eastAsia" w:ascii="Times New Roman" w:hAnsi="Times New Roman" w:cs="Times New Roman"/>
                      <w:b w:val="0"/>
                      <w:bCs w:val="0"/>
                      <w:color w:val="auto"/>
                      <w:sz w:val="21"/>
                      <w:szCs w:val="21"/>
                      <w:vertAlign w:val="baseline"/>
                      <w:lang w:val="en-US" w:eastAsia="zh-CN"/>
                    </w:rPr>
                    <w:t>车床</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CS6150</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1539" w:type="dxa"/>
                  <w:noWrap w:val="0"/>
                  <w:vAlign w:val="center"/>
                </w:tcPr>
                <w:p>
                  <w:pPr>
                    <w:jc w:val="center"/>
                    <w:rPr>
                      <w:rFonts w:hint="default" w:ascii="Times New Roman" w:hAnsi="Times New Roman" w:cs="Times New Roman"/>
                      <w:b w:val="0"/>
                      <w:bCs w:val="0"/>
                      <w:color w:val="auto"/>
                      <w:lang w:eastAsia="zh-CN"/>
                    </w:rPr>
                  </w:pPr>
                  <w:r>
                    <w:rPr>
                      <w:rFonts w:hint="eastAsia" w:ascii="Times New Roman" w:hAnsi="Times New Roman" w:cs="Times New Roman"/>
                      <w:b w:val="0"/>
                      <w:bCs w:val="0"/>
                      <w:color w:val="auto"/>
                      <w:sz w:val="21"/>
                      <w:szCs w:val="21"/>
                      <w:vertAlign w:val="baseline"/>
                      <w:lang w:val="en-US" w:eastAsia="zh-CN"/>
                    </w:rPr>
                    <w:t>摇臂钻床</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Z31312L</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w:t>
                  </w:r>
                </w:p>
              </w:tc>
              <w:tc>
                <w:tcPr>
                  <w:tcW w:w="1539" w:type="dxa"/>
                  <w:noWrap w:val="0"/>
                  <w:vAlign w:val="center"/>
                </w:tcPr>
                <w:p>
                  <w:pPr>
                    <w:jc w:val="center"/>
                    <w:rPr>
                      <w:rFonts w:hint="eastAsia" w:ascii="Times New Roman" w:hAnsi="Times New Roman" w:cs="Times New Roman"/>
                      <w:b w:val="0"/>
                      <w:bCs w:val="0"/>
                      <w:color w:val="auto"/>
                      <w:lang w:eastAsia="zh-CN"/>
                    </w:rPr>
                  </w:pPr>
                  <w:r>
                    <w:rPr>
                      <w:rFonts w:hint="eastAsia" w:ascii="Times New Roman" w:hAnsi="Times New Roman" w:cs="Times New Roman"/>
                      <w:b w:val="0"/>
                      <w:bCs w:val="0"/>
                      <w:color w:val="auto"/>
                      <w:sz w:val="21"/>
                      <w:szCs w:val="21"/>
                      <w:vertAlign w:val="baseline"/>
                      <w:lang w:val="en-US" w:eastAsia="zh-CN"/>
                    </w:rPr>
                    <w:t>电焊机</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YD280RK</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p>
              </w:tc>
              <w:tc>
                <w:tcPr>
                  <w:tcW w:w="1539" w:type="dxa"/>
                  <w:noWrap w:val="0"/>
                  <w:vAlign w:val="center"/>
                </w:tcPr>
                <w:p>
                  <w:pPr>
                    <w:jc w:val="center"/>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电焊机</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MIG-270L</w:t>
                  </w:r>
                </w:p>
              </w:tc>
              <w:tc>
                <w:tcPr>
                  <w:tcW w:w="682" w:type="dxa"/>
                  <w:noWrap w:val="0"/>
                  <w:vAlign w:val="center"/>
                </w:tcPr>
                <w:p>
                  <w:pPr>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8</w:t>
                  </w:r>
                </w:p>
              </w:tc>
              <w:tc>
                <w:tcPr>
                  <w:tcW w:w="1539" w:type="dxa"/>
                  <w:noWrap w:val="0"/>
                  <w:vAlign w:val="center"/>
                </w:tcPr>
                <w:p>
                  <w:pPr>
                    <w:jc w:val="center"/>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平板硫化机</w:t>
                  </w:r>
                </w:p>
              </w:tc>
              <w:tc>
                <w:tcPr>
                  <w:tcW w:w="1539" w:type="dxa"/>
                  <w:noWrap w:val="0"/>
                  <w:vAlign w:val="center"/>
                </w:tcPr>
                <w:p>
                  <w:pPr>
                    <w:jc w:val="center"/>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600*900*2</w:t>
                  </w:r>
                </w:p>
              </w:tc>
              <w:tc>
                <w:tcPr>
                  <w:tcW w:w="682" w:type="dxa"/>
                  <w:noWrap w:val="0"/>
                  <w:vAlign w:val="center"/>
                </w:tcPr>
                <w:p>
                  <w:pPr>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橡胶硫化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9</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平板硫化机</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350*350*3</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橡胶硫化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1539" w:type="dxa"/>
                  <w:noWrap w:val="0"/>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裁切机</w:t>
                  </w:r>
                </w:p>
              </w:tc>
              <w:tc>
                <w:tcPr>
                  <w:tcW w:w="1539" w:type="dxa"/>
                  <w:noWrap w:val="0"/>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8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橡胶裁切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11</w:t>
                  </w:r>
                </w:p>
              </w:tc>
              <w:tc>
                <w:tcPr>
                  <w:tcW w:w="1539" w:type="dxa"/>
                  <w:noWrap w:val="0"/>
                  <w:vAlign w:val="center"/>
                </w:tcPr>
                <w:p>
                  <w:pPr>
                    <w:jc w:val="center"/>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折弯机</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PBR-220/3100</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折弯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12</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吊钩式抛丸清理机</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Q3750-Y</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表面处理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13</w:t>
                  </w:r>
                </w:p>
              </w:tc>
              <w:tc>
                <w:tcPr>
                  <w:tcW w:w="1539" w:type="dxa"/>
                  <w:noWrap w:val="0"/>
                  <w:vAlign w:val="center"/>
                </w:tcPr>
                <w:p>
                  <w:pPr>
                    <w:jc w:val="center"/>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浇注机</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BL2</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vMerge w:val="restart"/>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聚氨酯配件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14</w:t>
                  </w:r>
                </w:p>
              </w:tc>
              <w:tc>
                <w:tcPr>
                  <w:tcW w:w="1539" w:type="dxa"/>
                  <w:noWrap w:val="0"/>
                  <w:vAlign w:val="center"/>
                </w:tcPr>
                <w:p>
                  <w:pPr>
                    <w:jc w:val="center"/>
                    <w:rPr>
                      <w:rFonts w:hint="eastAsia" w:ascii="Times New Roman" w:hAnsi="Times New Roman" w:cs="Times New Roman"/>
                      <w:b w:val="0"/>
                      <w:bCs w:val="0"/>
                      <w:color w:val="auto"/>
                      <w:lang w:eastAsia="zh-CN"/>
                    </w:rPr>
                  </w:pPr>
                  <w:r>
                    <w:rPr>
                      <w:rFonts w:hint="eastAsia" w:ascii="Times New Roman" w:hAnsi="Times New Roman" w:cs="Times New Roman"/>
                      <w:b w:val="0"/>
                      <w:bCs w:val="0"/>
                      <w:color w:val="auto"/>
                      <w:sz w:val="21"/>
                      <w:szCs w:val="21"/>
                      <w:vertAlign w:val="baseline"/>
                      <w:lang w:val="en-US" w:eastAsia="zh-CN"/>
                    </w:rPr>
                    <w:t>浇注机</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FL3</w:t>
                  </w:r>
                </w:p>
              </w:tc>
              <w:tc>
                <w:tcPr>
                  <w:tcW w:w="682" w:type="dxa"/>
                  <w:noWrap w:val="0"/>
                  <w:vAlign w:val="center"/>
                </w:tcPr>
                <w:p>
                  <w:pPr>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vMerge w:val="continue"/>
                  <w:noWrap w:val="0"/>
                  <w:vAlign w:val="center"/>
                </w:tcPr>
                <w:p>
                  <w:pPr>
                    <w:jc w:val="center"/>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15</w:t>
                  </w:r>
                </w:p>
              </w:tc>
              <w:tc>
                <w:tcPr>
                  <w:tcW w:w="1539" w:type="dxa"/>
                  <w:noWrap w:val="0"/>
                  <w:vAlign w:val="center"/>
                </w:tcPr>
                <w:p>
                  <w:pPr>
                    <w:jc w:val="center"/>
                    <w:rPr>
                      <w:rFonts w:hint="eastAsia" w:ascii="Times New Roman" w:hAnsi="Times New Roman" w:cs="Times New Roman"/>
                      <w:b w:val="0"/>
                      <w:bCs w:val="0"/>
                      <w:color w:val="auto"/>
                      <w:lang w:eastAsia="zh-CN"/>
                    </w:rPr>
                  </w:pPr>
                  <w:r>
                    <w:rPr>
                      <w:rFonts w:hint="eastAsia" w:ascii="Times New Roman" w:hAnsi="Times New Roman" w:cs="Times New Roman"/>
                      <w:b w:val="0"/>
                      <w:bCs w:val="0"/>
                      <w:color w:val="auto"/>
                      <w:sz w:val="21"/>
                      <w:szCs w:val="21"/>
                      <w:vertAlign w:val="baseline"/>
                      <w:lang w:val="en-US" w:eastAsia="zh-CN"/>
                    </w:rPr>
                    <w:t>烘箱</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PG800</w:t>
                  </w:r>
                </w:p>
              </w:tc>
              <w:tc>
                <w:tcPr>
                  <w:tcW w:w="682" w:type="dxa"/>
                  <w:noWrap w:val="0"/>
                  <w:vAlign w:val="center"/>
                </w:tcPr>
                <w:p>
                  <w:pPr>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vMerge w:val="continue"/>
                  <w:noWrap w:val="0"/>
                  <w:vAlign w:val="center"/>
                </w:tcPr>
                <w:p>
                  <w:pPr>
                    <w:jc w:val="center"/>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16</w:t>
                  </w:r>
                </w:p>
              </w:tc>
              <w:tc>
                <w:tcPr>
                  <w:tcW w:w="1539" w:type="dxa"/>
                  <w:noWrap w:val="0"/>
                  <w:vAlign w:val="center"/>
                </w:tcPr>
                <w:p>
                  <w:pPr>
                    <w:jc w:val="center"/>
                    <w:rPr>
                      <w:rFonts w:hint="eastAsia" w:ascii="Times New Roman" w:hAnsi="Times New Roman" w:cs="Times New Roman"/>
                      <w:b w:val="0"/>
                      <w:bCs w:val="0"/>
                      <w:color w:val="auto"/>
                      <w:lang w:eastAsia="zh-CN"/>
                    </w:rPr>
                  </w:pPr>
                  <w:r>
                    <w:rPr>
                      <w:rFonts w:hint="eastAsia" w:ascii="Times New Roman" w:hAnsi="Times New Roman" w:cs="Times New Roman"/>
                      <w:b w:val="0"/>
                      <w:bCs w:val="0"/>
                      <w:color w:val="auto"/>
                      <w:sz w:val="21"/>
                      <w:szCs w:val="21"/>
                      <w:vertAlign w:val="baseline"/>
                      <w:lang w:val="en-US" w:eastAsia="zh-CN"/>
                    </w:rPr>
                    <w:t>烘箱</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PG2400</w:t>
                  </w:r>
                </w:p>
              </w:tc>
              <w:tc>
                <w:tcPr>
                  <w:tcW w:w="682" w:type="dxa"/>
                  <w:noWrap w:val="0"/>
                  <w:vAlign w:val="center"/>
                </w:tcPr>
                <w:p>
                  <w:pPr>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vMerge w:val="continue"/>
                  <w:noWrap w:val="0"/>
                  <w:vAlign w:val="center"/>
                </w:tcPr>
                <w:p>
                  <w:pPr>
                    <w:jc w:val="center"/>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17</w:t>
                  </w:r>
                </w:p>
              </w:tc>
              <w:tc>
                <w:tcPr>
                  <w:tcW w:w="1539" w:type="dxa"/>
                  <w:noWrap w:val="0"/>
                  <w:vAlign w:val="center"/>
                </w:tcPr>
                <w:p>
                  <w:pPr>
                    <w:jc w:val="center"/>
                    <w:rPr>
                      <w:rFonts w:hint="eastAsia" w:ascii="Times New Roman" w:hAnsi="Times New Roman" w:cs="Times New Roman"/>
                      <w:b w:val="0"/>
                      <w:bCs w:val="0"/>
                      <w:color w:val="auto"/>
                      <w:lang w:eastAsia="zh-CN"/>
                    </w:rPr>
                  </w:pPr>
                  <w:r>
                    <w:rPr>
                      <w:rFonts w:hint="eastAsia" w:ascii="Times New Roman" w:hAnsi="Times New Roman" w:cs="Times New Roman"/>
                      <w:b w:val="0"/>
                      <w:bCs w:val="0"/>
                      <w:color w:val="auto"/>
                      <w:sz w:val="21"/>
                      <w:szCs w:val="21"/>
                      <w:vertAlign w:val="baseline"/>
                      <w:lang w:val="en-US" w:eastAsia="zh-CN"/>
                    </w:rPr>
                    <w:t>烘箱</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PG3200</w:t>
                  </w:r>
                </w:p>
              </w:tc>
              <w:tc>
                <w:tcPr>
                  <w:tcW w:w="682" w:type="dxa"/>
                  <w:noWrap w:val="0"/>
                  <w:vAlign w:val="center"/>
                </w:tcPr>
                <w:p>
                  <w:pPr>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vMerge w:val="continue"/>
                  <w:noWrap w:val="0"/>
                  <w:vAlign w:val="center"/>
                </w:tcPr>
                <w:p>
                  <w:pPr>
                    <w:jc w:val="center"/>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18</w:t>
                  </w:r>
                </w:p>
              </w:tc>
              <w:tc>
                <w:tcPr>
                  <w:tcW w:w="1539" w:type="dxa"/>
                  <w:noWrap w:val="0"/>
                  <w:vAlign w:val="center"/>
                </w:tcPr>
                <w:p>
                  <w:pPr>
                    <w:jc w:val="center"/>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加热平台</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650*650</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vMerge w:val="continue"/>
                  <w:noWrap w:val="0"/>
                  <w:vAlign w:val="center"/>
                </w:tcPr>
                <w:p>
                  <w:pPr>
                    <w:jc w:val="center"/>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w:t>
                  </w:r>
                </w:p>
              </w:tc>
              <w:tc>
                <w:tcPr>
                  <w:tcW w:w="1539" w:type="dxa"/>
                  <w:noWrap w:val="0"/>
                  <w:vAlign w:val="center"/>
                </w:tcPr>
                <w:p>
                  <w:pPr>
                    <w:jc w:val="center"/>
                    <w:rPr>
                      <w:rFonts w:hint="eastAsia" w:ascii="Times New Roman" w:hAnsi="Times New Roman" w:cs="Times New Roman"/>
                      <w:b w:val="0"/>
                      <w:bCs w:val="0"/>
                      <w:color w:val="auto"/>
                      <w:lang w:eastAsia="zh-CN"/>
                    </w:rPr>
                  </w:pPr>
                  <w:r>
                    <w:rPr>
                      <w:rFonts w:hint="eastAsia" w:ascii="Times New Roman" w:hAnsi="Times New Roman" w:cs="Times New Roman"/>
                      <w:b w:val="0"/>
                      <w:bCs w:val="0"/>
                      <w:color w:val="auto"/>
                      <w:sz w:val="21"/>
                      <w:szCs w:val="21"/>
                      <w:vertAlign w:val="baseline"/>
                      <w:lang w:val="en-US" w:eastAsia="zh-CN"/>
                    </w:rPr>
                    <w:t>加热平台</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3500*1800</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vMerge w:val="continue"/>
                  <w:noWrap w:val="0"/>
                  <w:vAlign w:val="center"/>
                </w:tcPr>
                <w:p>
                  <w:pPr>
                    <w:jc w:val="center"/>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1539" w:type="dxa"/>
                  <w:noWrap w:val="0"/>
                  <w:vAlign w:val="center"/>
                </w:tcPr>
                <w:p>
                  <w:pPr>
                    <w:jc w:val="center"/>
                    <w:rPr>
                      <w:rFonts w:hint="eastAsia" w:ascii="Times New Roman" w:hAnsi="Times New Roman" w:cs="Times New Roman"/>
                      <w:b w:val="0"/>
                      <w:bCs w:val="0"/>
                      <w:color w:val="auto"/>
                      <w:lang w:eastAsia="zh-CN"/>
                    </w:rPr>
                  </w:pPr>
                  <w:r>
                    <w:rPr>
                      <w:rFonts w:hint="eastAsia" w:ascii="Times New Roman" w:hAnsi="Times New Roman" w:cs="Times New Roman"/>
                      <w:b w:val="0"/>
                      <w:bCs w:val="0"/>
                      <w:color w:val="auto"/>
                      <w:sz w:val="21"/>
                      <w:szCs w:val="21"/>
                      <w:vertAlign w:val="baseline"/>
                      <w:lang w:val="en-US" w:eastAsia="zh-CN"/>
                    </w:rPr>
                    <w:t>加热平台</w:t>
                  </w:r>
                </w:p>
              </w:tc>
              <w:tc>
                <w:tcPr>
                  <w:tcW w:w="1539" w:type="dxa"/>
                  <w:noWrap w:val="0"/>
                  <w:vAlign w:val="center"/>
                </w:tcPr>
                <w:p>
                  <w:pPr>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3200*1200</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vMerge w:val="continue"/>
                  <w:noWrap w:val="0"/>
                  <w:vAlign w:val="center"/>
                </w:tcPr>
                <w:p>
                  <w:pPr>
                    <w:jc w:val="center"/>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1539" w:type="dxa"/>
                  <w:noWrap w:val="0"/>
                  <w:vAlign w:val="center"/>
                </w:tcPr>
                <w:p>
                  <w:pPr>
                    <w:jc w:val="center"/>
                    <w:rPr>
                      <w:rFonts w:hint="eastAsia" w:ascii="Times New Roman" w:hAnsi="Times New Roman" w:cs="Times New Roman"/>
                      <w:b w:val="0"/>
                      <w:bCs w:val="0"/>
                      <w:color w:val="auto"/>
                      <w:lang w:eastAsia="zh-CN"/>
                    </w:rPr>
                  </w:pPr>
                  <w:r>
                    <w:rPr>
                      <w:rFonts w:hint="eastAsia" w:ascii="Times New Roman" w:hAnsi="Times New Roman" w:cs="Times New Roman"/>
                      <w:b w:val="0"/>
                      <w:bCs w:val="0"/>
                      <w:color w:val="auto"/>
                      <w:sz w:val="21"/>
                      <w:szCs w:val="21"/>
                      <w:vertAlign w:val="baseline"/>
                      <w:lang w:val="en-US" w:eastAsia="zh-CN"/>
                    </w:rPr>
                    <w:t>锯床</w:t>
                  </w:r>
                </w:p>
              </w:tc>
              <w:tc>
                <w:tcPr>
                  <w:tcW w:w="1539" w:type="dxa"/>
                  <w:noWrap w:val="0"/>
                  <w:vAlign w:val="center"/>
                </w:tcPr>
                <w:p>
                  <w:pPr>
                    <w:jc w:val="center"/>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sz w:val="21"/>
                      <w:szCs w:val="21"/>
                      <w:vertAlign w:val="baseline"/>
                      <w:lang w:val="en-US" w:eastAsia="zh-CN"/>
                    </w:rPr>
                    <w:t>G4028Z</w:t>
                  </w:r>
                </w:p>
              </w:tc>
              <w:tc>
                <w:tcPr>
                  <w:tcW w:w="682"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铝合金型材加工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22</w:t>
                  </w:r>
                </w:p>
              </w:tc>
              <w:tc>
                <w:tcPr>
                  <w:tcW w:w="1539" w:type="dxa"/>
                  <w:noWrap w:val="0"/>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喷粉线</w:t>
                  </w:r>
                </w:p>
              </w:tc>
              <w:tc>
                <w:tcPr>
                  <w:tcW w:w="153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b w:val="0"/>
                      <w:bCs w:val="0"/>
                      <w:color w:val="auto"/>
                      <w:sz w:val="21"/>
                      <w:szCs w:val="21"/>
                      <w:vertAlign w:val="baseline"/>
                      <w:lang w:val="en-US" w:eastAsia="zh-CN"/>
                    </w:rPr>
                    <w:t>JY-1000</w:t>
                  </w:r>
                </w:p>
              </w:tc>
              <w:tc>
                <w:tcPr>
                  <w:tcW w:w="68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条</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大构件喷粉及固化，前期以罐装液化天然气为能源，后期以市政供气管网天然气为能源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23</w:t>
                  </w:r>
                </w:p>
              </w:tc>
              <w:tc>
                <w:tcPr>
                  <w:tcW w:w="1539" w:type="dxa"/>
                  <w:noWrap w:val="0"/>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喷粉柜</w:t>
                  </w:r>
                </w:p>
              </w:tc>
              <w:tc>
                <w:tcPr>
                  <w:tcW w:w="1539" w:type="dxa"/>
                  <w:noWrap w:val="0"/>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82"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座</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小构件喷粉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24</w:t>
                  </w:r>
                </w:p>
              </w:tc>
              <w:tc>
                <w:tcPr>
                  <w:tcW w:w="1539" w:type="dxa"/>
                  <w:noWrap w:val="0"/>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烘箱</w:t>
                  </w:r>
                </w:p>
              </w:tc>
              <w:tc>
                <w:tcPr>
                  <w:tcW w:w="1539" w:type="dxa"/>
                  <w:noWrap w:val="0"/>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82"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座</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小构件喷粉后固化，以电为能源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w:t>
                  </w:r>
                </w:p>
              </w:tc>
              <w:tc>
                <w:tcPr>
                  <w:tcW w:w="1539" w:type="dxa"/>
                  <w:noWrap w:val="0"/>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注塑机</w:t>
                  </w:r>
                </w:p>
              </w:tc>
              <w:tc>
                <w:tcPr>
                  <w:tcW w:w="1539" w:type="dxa"/>
                  <w:noWrap w:val="0"/>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82" w:type="dxa"/>
                  <w:noWrap w:val="0"/>
                  <w:vAlign w:val="center"/>
                </w:tcPr>
                <w:p>
                  <w:pPr>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vMerge w:val="restart"/>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工业毛刷设备注塑、裁丝、植毛、剪丝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26</w:t>
                  </w:r>
                </w:p>
              </w:tc>
              <w:tc>
                <w:tcPr>
                  <w:tcW w:w="1539" w:type="dxa"/>
                  <w:noWrap w:val="0"/>
                  <w:vAlign w:val="center"/>
                </w:tcPr>
                <w:p>
                  <w:pPr>
                    <w:autoSpaceDE w:val="0"/>
                    <w:autoSpaceDN w:val="0"/>
                    <w:spacing w:line="240" w:lineRule="auto"/>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裁丝机</w:t>
                  </w:r>
                </w:p>
              </w:tc>
              <w:tc>
                <w:tcPr>
                  <w:tcW w:w="1539" w:type="dxa"/>
                  <w:noWrap w:val="0"/>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82" w:type="dxa"/>
                  <w:noWrap w:val="0"/>
                  <w:vAlign w:val="center"/>
                </w:tcPr>
                <w:p>
                  <w:pPr>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vMerge w:val="continue"/>
                  <w:noWrap w:val="0"/>
                  <w:vAlign w:val="center"/>
                </w:tcPr>
                <w:p>
                  <w:pPr>
                    <w:jc w:val="center"/>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27</w:t>
                  </w:r>
                </w:p>
              </w:tc>
              <w:tc>
                <w:tcPr>
                  <w:tcW w:w="1539" w:type="dxa"/>
                  <w:noWrap w:val="0"/>
                  <w:vAlign w:val="center"/>
                </w:tcPr>
                <w:p>
                  <w:pPr>
                    <w:autoSpaceDE w:val="0"/>
                    <w:autoSpaceDN w:val="0"/>
                    <w:spacing w:line="240" w:lineRule="auto"/>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植毛机</w:t>
                  </w:r>
                </w:p>
              </w:tc>
              <w:tc>
                <w:tcPr>
                  <w:tcW w:w="1539" w:type="dxa"/>
                  <w:noWrap w:val="0"/>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82" w:type="dxa"/>
                  <w:noWrap w:val="0"/>
                  <w:vAlign w:val="center"/>
                </w:tcPr>
                <w:p>
                  <w:pPr>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vMerge w:val="continue"/>
                  <w:noWrap w:val="0"/>
                  <w:vAlign w:val="center"/>
                </w:tcPr>
                <w:p>
                  <w:pPr>
                    <w:jc w:val="center"/>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28</w:t>
                  </w:r>
                </w:p>
              </w:tc>
              <w:tc>
                <w:tcPr>
                  <w:tcW w:w="1539" w:type="dxa"/>
                  <w:noWrap w:val="0"/>
                  <w:vAlign w:val="center"/>
                </w:tcPr>
                <w:p>
                  <w:pPr>
                    <w:autoSpaceDE w:val="0"/>
                    <w:autoSpaceDN w:val="0"/>
                    <w:spacing w:line="240" w:lineRule="auto"/>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剪丝机</w:t>
                  </w:r>
                </w:p>
              </w:tc>
              <w:tc>
                <w:tcPr>
                  <w:tcW w:w="1539" w:type="dxa"/>
                  <w:noWrap w:val="0"/>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82" w:type="dxa"/>
                  <w:noWrap w:val="0"/>
                  <w:vAlign w:val="center"/>
                </w:tcPr>
                <w:p>
                  <w:pPr>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vMerge w:val="continue"/>
                  <w:noWrap w:val="0"/>
                  <w:vAlign w:val="center"/>
                </w:tcPr>
                <w:p>
                  <w:pPr>
                    <w:jc w:val="center"/>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29</w:t>
                  </w:r>
                </w:p>
              </w:tc>
              <w:tc>
                <w:tcPr>
                  <w:tcW w:w="1539" w:type="dxa"/>
                  <w:noWrap w:val="0"/>
                  <w:vAlign w:val="center"/>
                </w:tcPr>
                <w:p>
                  <w:pPr>
                    <w:autoSpaceDE w:val="0"/>
                    <w:autoSpaceDN w:val="0"/>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木工下料锯</w:t>
                  </w:r>
                </w:p>
              </w:tc>
              <w:tc>
                <w:tcPr>
                  <w:tcW w:w="1539" w:type="dxa"/>
                  <w:noWrap w:val="0"/>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8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木质包装箱下料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30</w:t>
                  </w:r>
                </w:p>
              </w:tc>
              <w:tc>
                <w:tcPr>
                  <w:tcW w:w="1539" w:type="dxa"/>
                  <w:noWrap w:val="0"/>
                  <w:vAlign w:val="center"/>
                </w:tcPr>
                <w:p>
                  <w:pPr>
                    <w:autoSpaceDE w:val="0"/>
                    <w:autoSpaceDN w:val="0"/>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喷砂机</w:t>
                  </w:r>
                </w:p>
              </w:tc>
              <w:tc>
                <w:tcPr>
                  <w:tcW w:w="1539" w:type="dxa"/>
                  <w:noWrap w:val="0"/>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82"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金属表面处理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8"/>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b/>
                      <w:bCs/>
                      <w:color w:val="auto"/>
                      <w:lang w:val="en-US" w:eastAsia="zh-CN"/>
                    </w:rPr>
                    <w:t>环保设备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53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袋式除尘器</w:t>
                  </w:r>
                </w:p>
              </w:tc>
              <w:tc>
                <w:tcPr>
                  <w:tcW w:w="153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68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抛丸工序颗粒物处理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53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二级活性炭吸附箱</w:t>
                  </w:r>
                </w:p>
              </w:tc>
              <w:tc>
                <w:tcPr>
                  <w:tcW w:w="153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68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c>
                <w:tcPr>
                  <w:tcW w:w="1363" w:type="dxa"/>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noWrap w:val="0"/>
                  <w:vAlign w:val="center"/>
                </w:tcPr>
                <w:p>
                  <w:pPr>
                    <w:jc w:val="center"/>
                    <w:rPr>
                      <w:rFonts w:hint="default" w:ascii="Times New Roman" w:hAnsi="Times New Roman" w:cs="Times New Roman"/>
                      <w:color w:val="auto"/>
                      <w:lang w:val="en-US" w:eastAsia="zh-CN"/>
                    </w:rPr>
                  </w:pPr>
                  <w:r>
                    <w:rPr>
                      <w:rFonts w:hint="eastAsia" w:ascii="宋体" w:hAnsi="宋体" w:eastAsia="宋体" w:cs="宋体"/>
                      <w:color w:val="auto"/>
                      <w:lang w:val="en-US" w:eastAsia="zh-CN"/>
                    </w:rPr>
                    <w:t>预烘、浇注、脱模、清洗、注塑及硫化工序挥发性有机物处理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153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二级活性炭吸附箱</w:t>
                  </w:r>
                </w:p>
              </w:tc>
              <w:tc>
                <w:tcPr>
                  <w:tcW w:w="153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682"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喷粉后固化工序挥发性有机物处理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4</w:t>
                  </w:r>
                </w:p>
              </w:tc>
              <w:tc>
                <w:tcPr>
                  <w:tcW w:w="1539" w:type="dxa"/>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GB" w:eastAsia="zh-CN"/>
                    </w:rPr>
                    <w:t>大旋风粉末回收系统</w:t>
                  </w:r>
                  <w:r>
                    <w:rPr>
                      <w:rFonts w:hint="eastAsia" w:ascii="Times New Roman" w:hAnsi="Times New Roman" w:eastAsia="宋体" w:cs="Times New Roman"/>
                      <w:color w:val="auto"/>
                      <w:sz w:val="21"/>
                      <w:szCs w:val="21"/>
                      <w:lang w:val="en-US" w:eastAsia="zh-CN"/>
                    </w:rPr>
                    <w:t>+袋式除尘器</w:t>
                  </w:r>
                </w:p>
              </w:tc>
              <w:tc>
                <w:tcPr>
                  <w:tcW w:w="1539" w:type="dxa"/>
                  <w:noWrap w:val="0"/>
                  <w:vAlign w:val="center"/>
                </w:tcPr>
                <w:p>
                  <w:pPr>
                    <w:jc w:val="center"/>
                    <w:rPr>
                      <w:rFonts w:hint="eastAsia" w:ascii="Times New Roman" w:hAnsi="Times New Roman" w:eastAsia="幼圆" w:cs="Times New Roman"/>
                      <w:color w:val="auto"/>
                      <w:lang w:val="en-US" w:eastAsia="zh-CN"/>
                    </w:rPr>
                  </w:pPr>
                  <w:r>
                    <w:rPr>
                      <w:rFonts w:hint="default" w:ascii="Times New Roman" w:hAnsi="Times New Roman" w:eastAsia="幼圆" w:cs="Times New Roman"/>
                      <w:color w:val="auto"/>
                      <w:kern w:val="0"/>
                      <w:szCs w:val="21"/>
                    </w:rPr>
                    <w:t>PC-CS140</w:t>
                  </w:r>
                  <w:r>
                    <w:rPr>
                      <w:rFonts w:hint="default" w:ascii="Times New Roman" w:hAnsi="Times New Roman" w:eastAsia="幼圆" w:cs="Times New Roman"/>
                      <w:color w:val="auto"/>
                      <w:kern w:val="0"/>
                      <w:szCs w:val="21"/>
                      <w:lang w:val="en-US" w:eastAsia="zh-CN"/>
                    </w:rPr>
                    <w:t>+</w:t>
                  </w:r>
                  <w:r>
                    <w:rPr>
                      <w:rFonts w:hint="default" w:ascii="Times New Roman" w:hAnsi="Times New Roman" w:eastAsia="幼圆" w:cs="Times New Roman"/>
                      <w:color w:val="auto"/>
                      <w:kern w:val="0"/>
                      <w:szCs w:val="21"/>
                    </w:rPr>
                    <w:t>PC-SWF16</w:t>
                  </w:r>
                </w:p>
              </w:tc>
              <w:tc>
                <w:tcPr>
                  <w:tcW w:w="682"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大构件及小构件喷粉颗粒物处理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noWrap w:val="0"/>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5</w:t>
                  </w:r>
                </w:p>
              </w:tc>
              <w:tc>
                <w:tcPr>
                  <w:tcW w:w="1539" w:type="dxa"/>
                  <w:noWrap w:val="0"/>
                  <w:vAlign w:val="center"/>
                </w:tcPr>
                <w:p>
                  <w:pPr>
                    <w:jc w:val="center"/>
                    <w:rPr>
                      <w:rFonts w:hint="eastAsia" w:ascii="Times New Roman" w:hAnsi="Times New Roman" w:eastAsia="宋体" w:cs="Times New Roman"/>
                      <w:color w:val="auto"/>
                      <w:sz w:val="21"/>
                      <w:szCs w:val="21"/>
                      <w:lang w:val="en-GB" w:eastAsia="zh-CN"/>
                    </w:rPr>
                  </w:pPr>
                  <w:r>
                    <w:rPr>
                      <w:rFonts w:hint="eastAsia" w:ascii="Times New Roman" w:hAnsi="Times New Roman" w:cs="Times New Roman"/>
                      <w:color w:val="auto"/>
                      <w:lang w:val="en-US" w:eastAsia="zh-CN"/>
                    </w:rPr>
                    <w:t>滤筒除尘器</w:t>
                  </w:r>
                </w:p>
              </w:tc>
              <w:tc>
                <w:tcPr>
                  <w:tcW w:w="1539" w:type="dxa"/>
                  <w:noWrap w:val="0"/>
                  <w:vAlign w:val="center"/>
                </w:tcPr>
                <w:p>
                  <w:pPr>
                    <w:jc w:val="center"/>
                    <w:rPr>
                      <w:rFonts w:hint="eastAsia" w:ascii="Times New Roman" w:hAnsi="Times New Roman" w:eastAsia="幼圆" w:cs="Times New Roman"/>
                      <w:color w:val="auto"/>
                      <w:kern w:val="0"/>
                      <w:szCs w:val="21"/>
                      <w:lang w:val="en-US" w:eastAsia="zh-CN"/>
                    </w:rPr>
                  </w:pPr>
                  <w:r>
                    <w:rPr>
                      <w:rFonts w:hint="default" w:ascii="Times New Roman" w:hAnsi="Times New Roman" w:eastAsia="宋体" w:cs="Times New Roman"/>
                      <w:b w:val="0"/>
                      <w:bCs w:val="0"/>
                      <w:color w:val="auto"/>
                      <w:sz w:val="21"/>
                      <w:szCs w:val="21"/>
                      <w:lang w:val="en-US" w:eastAsia="zh-CN"/>
                    </w:rPr>
                    <w:t>LCLTB-20K</w:t>
                  </w:r>
                </w:p>
              </w:tc>
              <w:tc>
                <w:tcPr>
                  <w:tcW w:w="682"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焊接颗粒物处理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noWrap w:val="0"/>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6</w:t>
                  </w:r>
                </w:p>
              </w:tc>
              <w:tc>
                <w:tcPr>
                  <w:tcW w:w="153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工业集尘器</w:t>
                  </w:r>
                </w:p>
              </w:tc>
              <w:tc>
                <w:tcPr>
                  <w:tcW w:w="1539" w:type="dxa"/>
                  <w:noWrap w:val="0"/>
                  <w:vAlign w:val="center"/>
                </w:tcPr>
                <w:p>
                  <w:pPr>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TODC-8B</w:t>
                  </w:r>
                </w:p>
              </w:tc>
              <w:tc>
                <w:tcPr>
                  <w:tcW w:w="682"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44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激光切割颗粒物收集处理；8个滤筒；过滤面积160m；尘桶体积90L；阻燃过滤等级F9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539"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eastAsia="宋体"/>
                      <w:color w:val="auto"/>
                      <w:sz w:val="21"/>
                      <w:szCs w:val="21"/>
                      <w:lang w:val="en-US" w:eastAsia="zh-CN"/>
                    </w:rPr>
                    <w:t>双桶布袋吸尘机</w:t>
                  </w:r>
                </w:p>
              </w:tc>
              <w:tc>
                <w:tcPr>
                  <w:tcW w:w="1539"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MF9030</w:t>
                  </w:r>
                </w:p>
              </w:tc>
              <w:tc>
                <w:tcPr>
                  <w:tcW w:w="682"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363"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022"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449" w:type="dxa"/>
                  <w:noWrap w:val="0"/>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木材下料工序颗粒物收集</w:t>
                  </w:r>
                </w:p>
              </w:tc>
            </w:tr>
          </w:tbl>
          <w:p>
            <w:pPr>
              <w:spacing w:line="360" w:lineRule="auto"/>
              <w:ind w:firstLine="482" w:firstLineChars="200"/>
              <w:rPr>
                <w:rFonts w:hint="eastAsia"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建设项目</w:t>
            </w:r>
            <w:r>
              <w:rPr>
                <w:rFonts w:hint="default" w:ascii="Times New Roman" w:hAnsi="Times New Roman" w:cs="Times New Roman"/>
                <w:b/>
                <w:bCs/>
                <w:color w:val="auto"/>
                <w:sz w:val="24"/>
                <w:szCs w:val="24"/>
              </w:rPr>
              <w:t>原辅材料</w:t>
            </w:r>
            <w:r>
              <w:rPr>
                <w:rFonts w:hint="default" w:ascii="Times New Roman" w:hAnsi="Times New Roman" w:cs="Times New Roman"/>
                <w:b/>
                <w:bCs/>
                <w:color w:val="auto"/>
                <w:sz w:val="24"/>
                <w:szCs w:val="24"/>
                <w:lang w:val="en-US" w:eastAsia="zh-CN"/>
              </w:rPr>
              <w:t>及燃料</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根据建设单位提供的资料，项目主要原辅材料及消耗见表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p>
          <w:p>
            <w:pPr>
              <w:pStyle w:val="9"/>
              <w:ind w:left="0" w:leftChars="0" w:firstLine="0" w:firstLineChars="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eastAsia="zh-CN"/>
              </w:rPr>
              <w:t>表</w:t>
            </w:r>
            <w:r>
              <w:rPr>
                <w:rFonts w:hint="eastAsia" w:ascii="Times New Roman" w:hAnsi="Times New Roman" w:cs="Times New Roman"/>
                <w:b/>
                <w:bCs/>
                <w:color w:val="auto"/>
                <w:sz w:val="24"/>
                <w:szCs w:val="24"/>
                <w:lang w:val="en-US" w:eastAsia="zh-CN"/>
              </w:rPr>
              <w:t>2.4  项目主要原辅材料消耗一览表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587"/>
              <w:gridCol w:w="1211"/>
              <w:gridCol w:w="1313"/>
              <w:gridCol w:w="1283"/>
              <w:gridCol w:w="1169"/>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名称</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单位</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原环评数量</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本环评数量</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变化情况</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7"/>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eastAsia="zh-CN"/>
                    </w:rPr>
                    <w:t>钢材</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3000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3000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最大储存量300t；固态；仓库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eastAsia="zh-CN"/>
                    </w:rPr>
                    <w:t>电机</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6000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6000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最大储存量600台；固态；仓库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eastAsia="zh-CN"/>
                    </w:rPr>
                    <w:t>减速机</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6000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6000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最大储存量600台；固态；仓库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eastAsia="zh-CN"/>
                    </w:rPr>
                    <w:t>滚刷</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eastAsia="zh-CN"/>
                    </w:rPr>
                    <w:t>电器控制单元</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套</w:t>
                  </w:r>
                  <w:r>
                    <w:rPr>
                      <w:rFonts w:hint="default" w:ascii="Times New Roman" w:hAnsi="Times New Roman" w:cs="Times New Roman"/>
                      <w:color w:val="auto"/>
                      <w:lang w:val="en-US" w:eastAsia="zh-CN"/>
                    </w:rPr>
                    <w: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600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最大储存量60套；固态；仓库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粉末涂料</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10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24</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25kg/箱；最大储存量2.4t；粉状；仓库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焊丝</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5</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最大储存量1t；固态；仓库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石英砂</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5</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机油</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0.5</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25kg/桶；最大储存量0.05t；液态；仓库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切削液</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0.5</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25kg/桶；最大储存量0.05t；液态；仓库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二氧化碳气体</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L</w:t>
                  </w:r>
                  <w:r>
                    <w:rPr>
                      <w:rFonts w:hint="default" w:ascii="Times New Roman" w:hAnsi="Times New Roman" w:cs="Times New Roman"/>
                      <w:color w:val="auto"/>
                      <w:lang w:val="en-US" w:eastAsia="zh-CN"/>
                    </w:rPr>
                    <w: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24000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24000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40L/瓶；最大储存量200L；气态；仓库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聚氨酯预聚体</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80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100kg/桶；最大储存量8t；固态或无色粘稠状液体；仓库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MOCA</w:t>
                  </w:r>
                  <w:r>
                    <w:rPr>
                      <w:rFonts w:hint="default" w:ascii="Times New Roman" w:hAnsi="Times New Roman" w:cs="Times New Roman"/>
                      <w:color w:val="auto"/>
                      <w:lang w:val="en-US" w:eastAsia="zh-CN"/>
                    </w:rPr>
                    <w:t>固化剂</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10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50kg/袋；最大储存量1t；固态片状；仓库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 w:val="21"/>
                      <w:szCs w:val="21"/>
                      <w:lang w:eastAsia="zh-CN"/>
                    </w:rPr>
                    <w:t>清洗剂</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0.2</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+0.8</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100kg/桶；最大储存量0.1t；液态；仓库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聚丙烯颗粒</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5.0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25kg/袋；最大储存量2t；固态颗粒；仓库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橡胶胶片</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最大储存量5.0t；已开炼、密炼，现场直接硫化即可；固态；仓库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17</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木材</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w:t>
                  </w:r>
                </w:p>
              </w:tc>
              <w:tc>
                <w:tcPr>
                  <w:tcW w:w="2344" w:type="dxa"/>
                  <w:vAlign w:val="center"/>
                </w:tcPr>
                <w:p>
                  <w:pPr>
                    <w:jc w:val="center"/>
                    <w:rPr>
                      <w:rFonts w:hint="default" w:ascii="Times New Roman" w:hAnsi="Times New Roman" w:cs="Times New Roman"/>
                      <w:color w:val="auto"/>
                      <w:sz w:val="21"/>
                      <w:szCs w:val="21"/>
                      <w:vertAlign w:val="superscript"/>
                      <w:lang w:val="en-US" w:eastAsia="zh-CN"/>
                    </w:rPr>
                  </w:pPr>
                  <w:r>
                    <w:rPr>
                      <w:rFonts w:hint="eastAsia" w:ascii="Times New Roman" w:hAnsi="Times New Roman" w:cs="Times New Roman"/>
                      <w:color w:val="auto"/>
                      <w:sz w:val="21"/>
                      <w:szCs w:val="21"/>
                      <w:vertAlign w:val="baseline"/>
                      <w:lang w:val="en-US" w:eastAsia="zh-CN"/>
                    </w:rPr>
                    <w:t>最大储存量5m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；固态条状；仓库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钉子</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最大储存量0.01t；固态；仓库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19</w:t>
                  </w:r>
                </w:p>
              </w:tc>
              <w:tc>
                <w:tcPr>
                  <w:tcW w:w="1587"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金属丸</w:t>
                  </w:r>
                </w:p>
              </w:tc>
              <w:tc>
                <w:tcPr>
                  <w:tcW w:w="1211"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w:t>
                  </w:r>
                </w:p>
              </w:tc>
              <w:tc>
                <w:tcPr>
                  <w:tcW w:w="2344" w:type="dxa"/>
                  <w:vAlign w:val="center"/>
                </w:tcPr>
                <w:p>
                  <w:pPr>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50kg/袋；最大储存量0.5t；固态颗粒；仓库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1587" w:type="dxa"/>
                  <w:vAlign w:val="center"/>
                </w:tcPr>
                <w:p>
                  <w:pPr>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模具</w:t>
                  </w:r>
                </w:p>
              </w:tc>
              <w:tc>
                <w:tcPr>
                  <w:tcW w:w="1211"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最大储存量30t；固态；仓库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w:t>
                  </w:r>
                </w:p>
              </w:tc>
              <w:tc>
                <w:tcPr>
                  <w:tcW w:w="1587"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铝合金</w:t>
                  </w:r>
                </w:p>
              </w:tc>
              <w:tc>
                <w:tcPr>
                  <w:tcW w:w="1211"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最大储存量1.6t；固态；仓库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22</w:t>
                  </w:r>
                </w:p>
              </w:tc>
              <w:tc>
                <w:tcPr>
                  <w:tcW w:w="1587"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刷毛</w:t>
                  </w:r>
                </w:p>
              </w:tc>
              <w:tc>
                <w:tcPr>
                  <w:tcW w:w="1211"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+0.3</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最大储存量0.06t；固态丝状；仓库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7"/>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rPr>
                    <w:t>水</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rPr>
                    <w:t>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975</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3493.2</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+2518.20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rPr>
                    <w:t>电</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rPr>
                    <w:t>万kW</w:t>
                  </w:r>
                  <w:r>
                    <w:rPr>
                      <w:rFonts w:hint="eastAsia" w:ascii="Times New Roman" w:hAnsi="Times New Roman" w:cs="Times New Roman"/>
                      <w:color w:val="auto"/>
                      <w:lang w:val="en-US" w:eastAsia="zh-CN"/>
                    </w:rPr>
                    <w:t>·</w:t>
                  </w:r>
                  <w:r>
                    <w:rPr>
                      <w:rFonts w:hint="default" w:ascii="Times New Roman" w:hAnsi="Times New Roman" w:cs="Times New Roman"/>
                      <w:color w:val="auto"/>
                    </w:rPr>
                    <w:t>h/a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20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300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+280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市政供电管网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1587"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eastAsia="zh-CN"/>
                    </w:rPr>
                    <w:t>液化天然气</w:t>
                  </w:r>
                </w:p>
              </w:tc>
              <w:tc>
                <w:tcPr>
                  <w:tcW w:w="1211"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rPr>
                    <w:t>万</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default" w:ascii="Times New Roman" w:hAnsi="Times New Roman" w:cs="Times New Roman"/>
                      <w:color w:val="auto"/>
                    </w:rPr>
                    <w:t>/a</w:t>
                  </w:r>
                </w:p>
              </w:tc>
              <w:tc>
                <w:tcPr>
                  <w:tcW w:w="131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lang w:val="en-US" w:eastAsia="zh-CN"/>
                    </w:rPr>
                    <w:t>0</w:t>
                  </w:r>
                </w:p>
              </w:tc>
              <w:tc>
                <w:tcPr>
                  <w:tcW w:w="1283"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116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2344"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175L/瓶；最大储存量0.4725t；远期市政供气管网提供天然气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7"/>
                  <w:vAlign w:val="center"/>
                </w:tcPr>
                <w:p>
                  <w:pPr>
                    <w:keepNext w:val="0"/>
                    <w:keepLines w:val="0"/>
                    <w:pageBreakBefore w:val="0"/>
                    <w:widowControl w:val="0"/>
                    <w:kinsoku/>
                    <w:wordWrap/>
                    <w:overflowPunct/>
                    <w:topLinePunct w:val="0"/>
                    <w:autoSpaceDE/>
                    <w:autoSpaceDN/>
                    <w:bidi w:val="0"/>
                    <w:adjustRightInd/>
                    <w:snapToGrid/>
                    <w:ind w:firstLine="422" w:firstLineChars="200"/>
                    <w:jc w:val="both"/>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注：</w:t>
                  </w:r>
                  <w:r>
                    <w:rPr>
                      <w:rFonts w:hint="eastAsia" w:ascii="Times New Roman" w:hAnsi="Times New Roman" w:cs="Times New Roman"/>
                      <w:b w:val="0"/>
                      <w:bCs w:val="0"/>
                      <w:color w:val="auto"/>
                      <w:sz w:val="21"/>
                      <w:szCs w:val="21"/>
                      <w:vertAlign w:val="baseline"/>
                      <w:lang w:val="en-US" w:eastAsia="zh-CN"/>
                    </w:rPr>
                    <w:t>①</w:t>
                  </w:r>
                  <w:r>
                    <w:rPr>
                      <w:rFonts w:hint="eastAsia" w:ascii="Times New Roman" w:hAnsi="Times New Roman" w:cs="Times New Roman"/>
                      <w:color w:val="auto"/>
                      <w:sz w:val="21"/>
                      <w:szCs w:val="21"/>
                      <w:vertAlign w:val="baseline"/>
                      <w:lang w:val="en-US" w:eastAsia="zh-CN"/>
                    </w:rPr>
                    <w:t>聚丙烯（PP）颗粒为新料，不使用再生塑料颗粒。②橡胶胶片已经开炼、密炼，现场直接硫化即可。</w:t>
                  </w:r>
                </w:p>
              </w:tc>
            </w:tr>
          </w:tbl>
          <w:p>
            <w:pPr>
              <w:widowControl/>
              <w:spacing w:line="360" w:lineRule="auto"/>
              <w:ind w:firstLine="480" w:firstLineChars="200"/>
              <w:rPr>
                <w:rFonts w:hint="default" w:ascii="Times New Roman" w:hAnsi="Times New Roman" w:cs="Times New Roman"/>
                <w:bCs/>
                <w:color w:val="auto"/>
                <w:kern w:val="0"/>
                <w:sz w:val="24"/>
                <w:szCs w:val="24"/>
                <w:lang w:val="en-US" w:eastAsia="zh-CN"/>
              </w:rPr>
            </w:pPr>
            <w:r>
              <w:rPr>
                <w:rFonts w:hint="eastAsia" w:ascii="Times New Roman" w:hAnsi="Times New Roman" w:cs="Times New Roman"/>
                <w:bCs/>
                <w:color w:val="auto"/>
                <w:kern w:val="0"/>
                <w:sz w:val="24"/>
                <w:lang w:eastAsia="zh-CN"/>
              </w:rPr>
              <w:t>本项目运营期使用</w:t>
            </w:r>
            <w:r>
              <w:rPr>
                <w:rFonts w:hint="eastAsia" w:ascii="Times New Roman" w:hAnsi="Times New Roman" w:cs="Times New Roman"/>
                <w:bCs/>
                <w:color w:val="auto"/>
                <w:kern w:val="0"/>
                <w:sz w:val="24"/>
                <w:szCs w:val="24"/>
                <w:lang w:eastAsia="zh-CN"/>
              </w:rPr>
              <w:t>的</w:t>
            </w:r>
            <w:r>
              <w:rPr>
                <w:rFonts w:hint="eastAsia" w:ascii="Times New Roman" w:hAnsi="Times New Roman" w:cs="Times New Roman"/>
                <w:color w:val="auto"/>
                <w:sz w:val="24"/>
                <w:szCs w:val="24"/>
                <w:lang w:val="en-US" w:eastAsia="zh-CN"/>
              </w:rPr>
              <w:t>粉末涂料</w:t>
            </w:r>
            <w:r>
              <w:rPr>
                <w:rFonts w:hint="eastAsia" w:ascii="Times New Roman" w:hAnsi="Times New Roman" w:cs="Times New Roman"/>
                <w:color w:val="auto"/>
                <w:sz w:val="24"/>
                <w:szCs w:val="24"/>
                <w:lang w:eastAsia="zh-CN"/>
              </w:rPr>
              <w:t>比重为</w:t>
            </w:r>
            <w:r>
              <w:rPr>
                <w:rFonts w:hint="eastAsia" w:ascii="Times New Roman" w:hAnsi="Times New Roman" w:cs="Times New Roman"/>
                <w:color w:val="auto"/>
                <w:sz w:val="24"/>
                <w:szCs w:val="24"/>
                <w:lang w:val="en-US" w:eastAsia="zh-CN"/>
              </w:rPr>
              <w:t>1.5g/cm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，喷塑塑粉厚度企业标准为50</w:t>
            </w:r>
            <w:r>
              <w:rPr>
                <w:rFonts w:hint="default" w:ascii="Times New Roman" w:hAnsi="Times New Roman" w:cs="Times New Roman"/>
                <w:color w:val="auto"/>
                <w:sz w:val="24"/>
                <w:szCs w:val="24"/>
                <w:lang w:val="en-US" w:eastAsia="zh-CN"/>
              </w:rPr>
              <w:t>μm</w:t>
            </w:r>
            <w:r>
              <w:rPr>
                <w:rFonts w:hint="eastAsia" w:ascii="Times New Roman" w:hAnsi="Times New Roman" w:cs="Times New Roman"/>
                <w:color w:val="auto"/>
                <w:sz w:val="24"/>
                <w:szCs w:val="24"/>
                <w:lang w:val="en-US" w:eastAsia="zh-CN"/>
              </w:rPr>
              <w:t>～80</w:t>
            </w:r>
            <w:r>
              <w:rPr>
                <w:rFonts w:hint="default" w:ascii="Times New Roman" w:hAnsi="Times New Roman" w:cs="Times New Roman"/>
                <w:color w:val="auto"/>
                <w:sz w:val="24"/>
                <w:szCs w:val="24"/>
                <w:lang w:val="en-US" w:eastAsia="zh-CN"/>
              </w:rPr>
              <w:t>μm</w:t>
            </w:r>
            <w:r>
              <w:rPr>
                <w:rFonts w:hint="eastAsia" w:ascii="Times New Roman" w:hAnsi="Times New Roman" w:cs="Times New Roman"/>
                <w:color w:val="auto"/>
                <w:sz w:val="24"/>
                <w:szCs w:val="24"/>
                <w:lang w:val="en-US" w:eastAsia="zh-CN"/>
              </w:rPr>
              <w:t>，本环评取80</w:t>
            </w:r>
            <w:r>
              <w:rPr>
                <w:rFonts w:hint="default" w:ascii="Times New Roman" w:hAnsi="Times New Roman" w:cs="Times New Roman"/>
                <w:color w:val="auto"/>
                <w:sz w:val="24"/>
                <w:szCs w:val="24"/>
                <w:lang w:val="en-US" w:eastAsia="zh-CN"/>
              </w:rPr>
              <w:t>μm</w:t>
            </w:r>
            <w:r>
              <w:rPr>
                <w:rFonts w:hint="eastAsia" w:ascii="Times New Roman" w:hAnsi="Times New Roman" w:cs="Times New Roman"/>
                <w:color w:val="auto"/>
                <w:sz w:val="24"/>
                <w:szCs w:val="24"/>
                <w:lang w:val="en-US" w:eastAsia="zh-CN"/>
              </w:rPr>
              <w:t>，则每平方米粉末涂料</w:t>
            </w:r>
            <w:r>
              <w:rPr>
                <w:rFonts w:hint="eastAsia" w:ascii="Times New Roman" w:hAnsi="Times New Roman" w:cs="Times New Roman"/>
                <w:color w:val="auto"/>
                <w:sz w:val="24"/>
                <w:szCs w:val="24"/>
                <w:lang w:eastAsia="zh-CN"/>
              </w:rPr>
              <w:t>使用量为</w:t>
            </w:r>
            <w:r>
              <w:rPr>
                <w:rFonts w:hint="eastAsia" w:ascii="Times New Roman" w:hAnsi="Times New Roman" w:cs="Times New Roman"/>
                <w:color w:val="auto"/>
                <w:sz w:val="24"/>
                <w:szCs w:val="24"/>
                <w:lang w:val="en-US" w:eastAsia="zh-CN"/>
              </w:rPr>
              <w:t>1.5g/cm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*80</w:t>
            </w:r>
            <w:r>
              <w:rPr>
                <w:rFonts w:hint="default" w:ascii="Times New Roman" w:hAnsi="Times New Roman" w:cs="Times New Roman"/>
                <w:color w:val="auto"/>
                <w:sz w:val="24"/>
                <w:szCs w:val="24"/>
                <w:lang w:val="en-US" w:eastAsia="zh-CN"/>
              </w:rPr>
              <w:t>μm</w:t>
            </w:r>
            <w:r>
              <w:rPr>
                <w:rFonts w:hint="eastAsia" w:ascii="Times New Roman" w:hAnsi="Times New Roman" w:cs="Times New Roman"/>
                <w:color w:val="auto"/>
                <w:sz w:val="24"/>
                <w:szCs w:val="24"/>
                <w:lang w:val="en-US" w:eastAsia="zh-CN"/>
              </w:rPr>
              <w:t>*1m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=120g，喷涂面积约为200000m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，则</w:t>
            </w:r>
            <w:r>
              <w:rPr>
                <w:rFonts w:hint="default" w:ascii="Times New Roman" w:hAnsi="Times New Roman" w:cs="Times New Roman"/>
                <w:color w:val="auto"/>
                <w:sz w:val="24"/>
                <w:szCs w:val="24"/>
                <w:lang w:eastAsia="zh-CN"/>
              </w:rPr>
              <w:t>热固性环氧树脂粉末</w:t>
            </w:r>
            <w:r>
              <w:rPr>
                <w:rFonts w:hint="eastAsia" w:ascii="Times New Roman" w:hAnsi="Times New Roman" w:cs="Times New Roman"/>
                <w:color w:val="auto"/>
                <w:sz w:val="24"/>
                <w:szCs w:val="24"/>
                <w:lang w:eastAsia="zh-CN"/>
              </w:rPr>
              <w:t>使用量为</w:t>
            </w:r>
            <w:r>
              <w:rPr>
                <w:rFonts w:hint="eastAsia" w:ascii="Times New Roman" w:hAnsi="Times New Roman" w:cs="Times New Roman"/>
                <w:color w:val="auto"/>
                <w:sz w:val="24"/>
                <w:szCs w:val="24"/>
                <w:lang w:val="en-US" w:eastAsia="zh-CN"/>
              </w:rPr>
              <w:t>24.0t/a，跟建设单位提供的使用基本一致。</w:t>
            </w:r>
          </w:p>
          <w:p>
            <w:pPr>
              <w:widowControl/>
              <w:spacing w:line="360" w:lineRule="auto"/>
              <w:ind w:firstLine="480" w:firstLineChars="200"/>
              <w:rPr>
                <w:rFonts w:hint="default" w:ascii="Times New Roman" w:hAnsi="Times New Roman" w:cs="Times New Roman"/>
                <w:bCs/>
                <w:color w:val="auto"/>
                <w:kern w:val="0"/>
                <w:sz w:val="24"/>
              </w:rPr>
            </w:pPr>
            <w:r>
              <w:rPr>
                <w:rFonts w:hint="eastAsia" w:ascii="Times New Roman" w:hAnsi="Times New Roman" w:cs="Times New Roman"/>
                <w:bCs/>
                <w:color w:val="auto"/>
                <w:kern w:val="0"/>
                <w:sz w:val="24"/>
                <w:lang w:eastAsia="zh-CN"/>
              </w:rPr>
              <w:t>建设</w:t>
            </w:r>
            <w:r>
              <w:rPr>
                <w:rFonts w:hint="default" w:ascii="Times New Roman" w:hAnsi="Times New Roman" w:cs="Times New Roman"/>
                <w:bCs/>
                <w:color w:val="auto"/>
                <w:kern w:val="0"/>
                <w:sz w:val="24"/>
              </w:rPr>
              <w:t>项目</w:t>
            </w:r>
            <w:r>
              <w:rPr>
                <w:rFonts w:hint="eastAsia" w:ascii="Times New Roman" w:hAnsi="Times New Roman" w:cs="Times New Roman"/>
                <w:bCs/>
                <w:color w:val="auto"/>
                <w:kern w:val="0"/>
                <w:sz w:val="24"/>
                <w:lang w:eastAsia="zh-CN"/>
              </w:rPr>
              <w:t>部分</w:t>
            </w:r>
            <w:r>
              <w:rPr>
                <w:rFonts w:hint="default" w:ascii="Times New Roman" w:hAnsi="Times New Roman" w:cs="Times New Roman"/>
                <w:bCs/>
                <w:color w:val="auto"/>
                <w:kern w:val="0"/>
                <w:sz w:val="24"/>
              </w:rPr>
              <w:t>原辅材料</w:t>
            </w:r>
            <w:r>
              <w:rPr>
                <w:rFonts w:hint="eastAsia" w:ascii="Times New Roman" w:hAnsi="Times New Roman" w:cs="Times New Roman"/>
                <w:bCs/>
                <w:color w:val="auto"/>
                <w:kern w:val="0"/>
                <w:sz w:val="24"/>
                <w:lang w:eastAsia="zh-CN"/>
              </w:rPr>
              <w:t>理化特性简介见表</w:t>
            </w:r>
            <w:r>
              <w:rPr>
                <w:rFonts w:hint="eastAsia" w:ascii="Times New Roman" w:hAnsi="Times New Roman" w:cs="Times New Roman"/>
                <w:bCs/>
                <w:color w:val="auto"/>
                <w:kern w:val="0"/>
                <w:sz w:val="24"/>
                <w:lang w:val="en-US" w:eastAsia="zh-CN"/>
              </w:rPr>
              <w:t>2.5。</w:t>
            </w:r>
          </w:p>
          <w:p>
            <w:pPr>
              <w:widowControl/>
              <w:jc w:val="center"/>
              <w:rPr>
                <w:rFonts w:hint="eastAsia" w:ascii="Times New Roman" w:hAnsi="Times New Roman" w:cs="Times New Roman" w:eastAsiaTheme="minorEastAsia"/>
                <w:b/>
                <w:color w:val="auto"/>
                <w:kern w:val="0"/>
                <w:sz w:val="24"/>
                <w:lang w:eastAsia="zh-CN"/>
              </w:rPr>
            </w:pPr>
            <w:r>
              <w:rPr>
                <w:rFonts w:hint="default" w:ascii="Times New Roman" w:hAnsi="Times New Roman" w:cs="Times New Roman"/>
                <w:b/>
                <w:color w:val="auto"/>
                <w:kern w:val="0"/>
                <w:sz w:val="24"/>
              </w:rPr>
              <w:t>表</w:t>
            </w:r>
            <w:r>
              <w:rPr>
                <w:rFonts w:hint="eastAsia" w:ascii="Times New Roman" w:hAnsi="Times New Roman" w:cs="Times New Roman"/>
                <w:b/>
                <w:color w:val="auto"/>
                <w:kern w:val="0"/>
                <w:sz w:val="24"/>
                <w:lang w:val="en-US" w:eastAsia="zh-CN"/>
              </w:rPr>
              <w:t xml:space="preserve">2.5  </w:t>
            </w:r>
            <w:r>
              <w:rPr>
                <w:rFonts w:hint="eastAsia" w:ascii="Times New Roman" w:hAnsi="Times New Roman" w:cs="Times New Roman"/>
                <w:b/>
                <w:color w:val="auto"/>
                <w:kern w:val="0"/>
                <w:sz w:val="24"/>
                <w:lang w:eastAsia="zh-CN"/>
              </w:rPr>
              <w:t>建设项目部分原辅材料理化特性简介</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497"/>
              <w:gridCol w:w="7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rPr>
                      <w:rFonts w:hint="eastAsia" w:cs="Times New Roman"/>
                      <w:color w:val="auto"/>
                      <w:sz w:val="21"/>
                      <w:szCs w:val="21"/>
                      <w:lang w:val="en-US" w:eastAsia="zh-CN"/>
                    </w:rPr>
                  </w:pPr>
                  <w:r>
                    <w:rPr>
                      <w:rFonts w:hint="eastAsia" w:cs="Times New Roman"/>
                      <w:b/>
                      <w:bCs/>
                      <w:color w:val="auto"/>
                      <w:sz w:val="21"/>
                      <w:szCs w:val="21"/>
                      <w:lang w:val="en-US" w:eastAsia="zh-CN"/>
                    </w:rPr>
                    <w:t>1.1聚氨酯预聚体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1497" w:type="dxa"/>
                  <w:noWrap w:val="0"/>
                  <w:vAlign w:val="center"/>
                </w:tcPr>
                <w:p>
                  <w:pPr>
                    <w:pStyle w:val="3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项目</w:t>
                  </w:r>
                </w:p>
              </w:tc>
              <w:tc>
                <w:tcPr>
                  <w:tcW w:w="7379" w:type="dxa"/>
                  <w:noWrap w:val="0"/>
                  <w:vAlign w:val="center"/>
                </w:tcPr>
                <w:p>
                  <w:pPr>
                    <w:pStyle w:val="3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497" w:type="dxa"/>
                  <w:noWrap w:val="0"/>
                  <w:vAlign w:val="center"/>
                </w:tcPr>
                <w:p>
                  <w:pPr>
                    <w:pStyle w:val="39"/>
                    <w:ind w:firstLine="0" w:firstLine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组分/组成信息</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CAS号：暂无；产品类型：聚氨酯；成分/组成信息：聚醚或聚醚多元醇、异氰酸酯聚合而成的聚氨酯预聚体。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理化特性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cs="Times New Roman"/>
                      <w:color w:val="auto"/>
                      <w:sz w:val="21"/>
                      <w:szCs w:val="21"/>
                      <w:lang w:val="en-US" w:eastAsia="zh-CN"/>
                    </w:rPr>
                  </w:pPr>
                  <w:r>
                    <w:rPr>
                      <w:rFonts w:hint="eastAsia" w:cs="Times New Roman"/>
                      <w:color w:val="auto"/>
                      <w:sz w:val="21"/>
                      <w:szCs w:val="21"/>
                      <w:lang w:val="en-US" w:eastAsia="zh-CN"/>
                    </w:rPr>
                    <w:t>外观与性状：固体或无色粘稠液体。气味：稍有气味。闪点（闭环）：＞95℃。pH：7.4（25℃，50.0g/L）。溶解性：易溶于丁酯、酒精、苯等有机溶剂，微溶于水，并发生反应。主要用途：用于制造聚氨酯弹性体材料。如胶轮胶辊、板棒材、溜冰轮、鼠标垫、鞋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毒理学信息</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cs="Times New Roman"/>
                      <w:color w:val="auto"/>
                      <w:sz w:val="21"/>
                      <w:szCs w:val="21"/>
                      <w:lang w:val="en-US" w:eastAsia="zh-CN"/>
                    </w:rPr>
                  </w:pPr>
                  <w:r>
                    <w:rPr>
                      <w:rFonts w:hint="eastAsia" w:cs="Times New Roman"/>
                      <w:color w:val="auto"/>
                      <w:sz w:val="21"/>
                      <w:szCs w:val="21"/>
                      <w:lang w:val="en-US" w:eastAsia="zh-CN"/>
                    </w:rPr>
                    <w:t>急性毒性：无资料。刺激性：可能刺激眼睛，呼吸系统和皮肤。一定浓度时会有刺激眼睛、鼻、喉和呼吸道的危险，过敏症状（如呼吸困难，咳嗽、气喘等）可能滞后出现。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稳定性和反应活性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稳定性：常温常压下稳定。避免接触的物质：强氧化剂和食用化学品。聚合危害：不聚合。有害产物：一氧化碳、二氧化碳、氮氧化物。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b/>
                      <w:bCs/>
                      <w:color w:val="auto"/>
                      <w:sz w:val="21"/>
                      <w:szCs w:val="21"/>
                      <w:lang w:val="en-US" w:eastAsia="zh-CN"/>
                    </w:rPr>
                    <w:t>1.1.1聚酯多元醇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497" w:type="dxa"/>
                  <w:noWrap w:val="0"/>
                  <w:vAlign w:val="center"/>
                </w:tcPr>
                <w:p>
                  <w:pPr>
                    <w:pStyle w:val="39"/>
                    <w:ind w:firstLine="0" w:firstLineChars="0"/>
                    <w:rPr>
                      <w:rFonts w:hint="eastAsia" w:eastAsia="宋体" w:cs="Times New Roman"/>
                      <w:color w:val="auto"/>
                      <w:sz w:val="21"/>
                      <w:szCs w:val="21"/>
                      <w:lang w:val="en-US" w:eastAsia="zh-CN"/>
                    </w:rPr>
                  </w:pPr>
                  <w:r>
                    <w:rPr>
                      <w:rFonts w:hint="eastAsia" w:cs="Times New Roman"/>
                      <w:color w:val="auto"/>
                      <w:sz w:val="21"/>
                      <w:szCs w:val="21"/>
                      <w:lang w:val="en-US" w:eastAsia="zh-CN"/>
                    </w:rPr>
                    <w:t>理化特性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通常是由有机二元羧酸（酸酐或酯）与多元醇（包括二醇）缩合（或酯交换）或由内酯与多元醇聚合而成。不同品种的聚酯多元醇由于种类不同或制备工艺不一样，性质也不一样。本项目所用聚酯多元醇酸值（0.41～0.46）mgkoH/g，水分≤0.024%，羟值（55.91～56.75）mgkoH/g，色度（铂钴）白，≤</w:t>
                  </w:r>
                  <w:r>
                    <w:rPr>
                      <w:rFonts w:hint="default" w:ascii="Times New Roman" w:hAnsi="Times New Roman" w:cs="Times New Roman"/>
                      <w:color w:val="auto"/>
                      <w:sz w:val="21"/>
                      <w:szCs w:val="21"/>
                      <w:lang w:val="en-US" w:eastAsia="zh-CN"/>
                    </w:rPr>
                    <w:t>18°</w:t>
                  </w: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b/>
                      <w:bCs/>
                      <w:color w:val="auto"/>
                      <w:sz w:val="21"/>
                      <w:szCs w:val="21"/>
                      <w:lang w:val="en-US" w:eastAsia="zh-CN"/>
                    </w:rPr>
                    <w:t>1.1.2聚醚多元醇（220X）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理化特性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聚醚一般常用分子量为800～2000的丙二醇聚醚、分子量为400～4000的三羟甲基丙烷聚醚和端羟基的聚四氢呋喃。作为胶黏剂用的聚醚树脂应去掉聚合时残留下来的碱性催化剂，因为它们能催化异氰酸酯二聚，影响胶黏剂的质量。通常用酸来中和，使聚醚呈微</w:t>
                  </w:r>
                  <w:r>
                    <w:rPr>
                      <w:rFonts w:hint="eastAsia" w:ascii="宋体" w:hAnsi="宋体" w:eastAsia="宋体" w:cs="宋体"/>
                      <w:color w:val="auto"/>
                      <w:sz w:val="21"/>
                      <w:szCs w:val="21"/>
                      <w:lang w:val="en-US" w:eastAsia="zh-CN"/>
                    </w:rPr>
                    <w:t>弱酸性(不影响聚氨酯的反应)。制</w:t>
                  </w:r>
                  <w:r>
                    <w:rPr>
                      <w:rFonts w:hint="eastAsia" w:cs="Times New Roman"/>
                      <w:color w:val="auto"/>
                      <w:sz w:val="21"/>
                      <w:szCs w:val="21"/>
                      <w:lang w:val="en-US" w:eastAsia="zh-CN"/>
                    </w:rPr>
                    <w:t>备聚氨酯胶黏剂所用的聚醚要求较为严格，除羟值、酸值外，要求含钾、钠离子量应少于10，含水量小于0.05%，否则有可能产生凝胶。用聚醚树脂配制的聚氨酯胶黏剂具有良好的耐水性，抗冲击性和低温性。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b/>
                      <w:bCs/>
                      <w:color w:val="auto"/>
                      <w:sz w:val="21"/>
                      <w:szCs w:val="21"/>
                      <w:lang w:val="en-US" w:eastAsia="zh-CN"/>
                    </w:rPr>
                    <w:t>1.1.3二苯基甲烷二异氰酸酯（MDI）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理化特性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白色至淡黄色熔触固体，加热时有刺激性臭味。相对密度（50℃/4℃）：1.19g/cm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，熔点：40℃～41℃，沸点：156℃～158℃（1.33kPa），粘度（50℃）：4.9mPa·s，闪点：202℃，折射率：1.5906。溶于丙酮、四氯化碳、苯、氯苯、煤油、硝基苯、二氧六环等。有毒。可燃，闪点</w:t>
                  </w:r>
                  <w:r>
                    <w:rPr>
                      <w:rFonts w:hint="eastAsia" w:ascii="宋体" w:hAnsi="宋体" w:eastAsia="宋体" w:cs="宋体"/>
                      <w:color w:val="auto"/>
                      <w:sz w:val="21"/>
                      <w:szCs w:val="21"/>
                      <w:lang w:val="en-US" w:eastAsia="zh-CN"/>
                    </w:rPr>
                    <w:t>(开口)：</w:t>
                  </w:r>
                  <w:r>
                    <w:rPr>
                      <w:rFonts w:hint="eastAsia" w:cs="Times New Roman"/>
                      <w:color w:val="auto"/>
                      <w:sz w:val="21"/>
                      <w:szCs w:val="21"/>
                      <w:lang w:val="en-US" w:eastAsia="zh-CN"/>
                    </w:rPr>
                    <w:t>202℃。LD</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：10000mg/kg</w:t>
                  </w:r>
                </w:p>
                <w:p>
                  <w:pPr>
                    <w:pStyle w:val="39"/>
                    <w:keepNext w:val="0"/>
                    <w:keepLines w:val="0"/>
                    <w:pageBreakBefore w:val="0"/>
                    <w:widowControl w:val="0"/>
                    <w:kinsoku/>
                    <w:wordWrap/>
                    <w:overflowPunct/>
                    <w:topLinePunct w:val="0"/>
                    <w:autoSpaceDE/>
                    <w:autoSpaceDN/>
                    <w:bidi w:val="0"/>
                    <w:adjustRightInd/>
                    <w:snapToGrid/>
                    <w:jc w:val="both"/>
                    <w:textAlignment w:val="auto"/>
                    <w:rPr>
                      <w:rFonts w:hint="eastAsia" w:cs="Times New Roman"/>
                      <w:color w:val="auto"/>
                      <w:sz w:val="21"/>
                      <w:szCs w:val="21"/>
                      <w:lang w:val="en-US" w:eastAsia="zh-CN"/>
                    </w:rPr>
                  </w:pPr>
                  <w:r>
                    <w:rPr>
                      <w:rFonts w:hint="eastAsia" w:ascii="宋体" w:hAnsi="宋体" w:eastAsia="宋体" w:cs="宋体"/>
                      <w:color w:val="auto"/>
                      <w:sz w:val="21"/>
                      <w:szCs w:val="21"/>
                      <w:lang w:val="en-US" w:eastAsia="zh-CN"/>
                    </w:rPr>
                    <w:t>(免皮)，</w:t>
                  </w:r>
                  <w:r>
                    <w:rPr>
                      <w:rFonts w:hint="eastAsia" w:cs="Times New Roman"/>
                      <w:color w:val="auto"/>
                      <w:sz w:val="21"/>
                      <w:szCs w:val="21"/>
                      <w:lang w:val="en-US" w:eastAsia="zh-CN"/>
                    </w:rPr>
                    <w:t>LC</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：369～490mg/m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cs="Times New Roman"/>
                      <w:color w:val="auto"/>
                      <w:sz w:val="21"/>
                      <w:szCs w:val="21"/>
                      <w:lang w:val="en-US" w:eastAsia="zh-CN"/>
                    </w:rPr>
                  </w:pPr>
                  <w:r>
                    <w:rPr>
                      <w:rFonts w:hint="eastAsia" w:cs="Times New Roman"/>
                      <w:b/>
                      <w:bCs/>
                      <w:color w:val="auto"/>
                      <w:sz w:val="21"/>
                      <w:szCs w:val="21"/>
                      <w:lang w:val="en-US" w:eastAsia="zh-CN"/>
                    </w:rPr>
                    <w:t>1.2MOCA固化剂（4,4-二氨基-3,3</w:t>
                  </w:r>
                  <w:r>
                    <w:rPr>
                      <w:rFonts w:hint="eastAsia" w:cs="Times New Roman"/>
                      <w:b/>
                      <w:bCs/>
                      <w:color w:val="auto"/>
                      <w:sz w:val="21"/>
                      <w:szCs w:val="21"/>
                      <w:vertAlign w:val="superscript"/>
                      <w:lang w:val="en-US" w:eastAsia="zh-CN"/>
                    </w:rPr>
                    <w:t>＇</w:t>
                  </w:r>
                  <w:r>
                    <w:rPr>
                      <w:rFonts w:hint="eastAsia" w:cs="Times New Roman"/>
                      <w:b/>
                      <w:bCs/>
                      <w:color w:val="auto"/>
                      <w:sz w:val="21"/>
                      <w:szCs w:val="21"/>
                      <w:lang w:val="en-US" w:eastAsia="zh-CN"/>
                    </w:rPr>
                    <w:t>-二氯-二苯基甲烷）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成分/组成信息</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s="Times New Roman"/>
                      <w:color w:val="auto"/>
                      <w:sz w:val="21"/>
                      <w:szCs w:val="21"/>
                      <w:lang w:val="en-US" w:eastAsia="zh-CN"/>
                    </w:rPr>
                  </w:pPr>
                  <w:r>
                    <w:rPr>
                      <w:rFonts w:hint="eastAsia" w:cs="Times New Roman"/>
                      <w:b w:val="0"/>
                      <w:bCs w:val="0"/>
                      <w:color w:val="auto"/>
                      <w:sz w:val="21"/>
                      <w:szCs w:val="21"/>
                      <w:lang w:val="en-US" w:eastAsia="zh-CN"/>
                    </w:rPr>
                    <w:t>4,4-二氨基-3,3</w:t>
                  </w:r>
                  <w:r>
                    <w:rPr>
                      <w:rFonts w:hint="eastAsia" w:cs="Times New Roman"/>
                      <w:b w:val="0"/>
                      <w:bCs w:val="0"/>
                      <w:color w:val="auto"/>
                      <w:sz w:val="21"/>
                      <w:szCs w:val="21"/>
                      <w:vertAlign w:val="superscript"/>
                      <w:lang w:val="en-US" w:eastAsia="zh-CN"/>
                    </w:rPr>
                    <w:t>＇</w:t>
                  </w:r>
                  <w:r>
                    <w:rPr>
                      <w:rFonts w:hint="eastAsia" w:cs="Times New Roman"/>
                      <w:b w:val="0"/>
                      <w:bCs w:val="0"/>
                      <w:color w:val="auto"/>
                      <w:sz w:val="21"/>
                      <w:szCs w:val="21"/>
                      <w:lang w:val="en-US" w:eastAsia="zh-CN"/>
                    </w:rPr>
                    <w:t>-二氯-二苯基甲烷含量≥99%。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理化特性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外观与性状：淡黄色片状；气味：无资料；熔点/凝固点（℃）：110；初始沸点和沸点范围（℃）：202；相对密度（水=1）：1.44；正辛醇/水分配系数：2.5。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毒理学信息</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LD</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（经口）：1140mg/kg（大鼠）；LD</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（经皮）：＞5000mg/kg（兔子）。LC</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（吸入，4h）：无资料。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稳定性和反应活性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反应性：与不相容物质接触可发生分解或其他化学反应。化学稳定性：在正确的使用和储存条件下是稳定的。危险反应的可能性：与碱金属、钠、钙等活泼金属接触发生反应而放出氢气。应避免的条件：不相容物质，热、火焰和火花。不相容材料：碱金属、钠、钙等活泼金属、卤素、金属氧化物、非金属氧化物、酰卤和金属磷化物。危险的分解产物：在正常的储存和使用条件下，不会产生危险的分解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生态学信息</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cs="Times New Roman"/>
                      <w:color w:val="auto"/>
                      <w:sz w:val="21"/>
                      <w:szCs w:val="21"/>
                      <w:lang w:val="en-US" w:eastAsia="zh-CN"/>
                    </w:rPr>
                  </w:pPr>
                  <w:r>
                    <w:rPr>
                      <w:rFonts w:hint="eastAsia" w:cs="Times New Roman"/>
                      <w:color w:val="auto"/>
                      <w:sz w:val="21"/>
                      <w:szCs w:val="21"/>
                      <w:lang w:val="en-US" w:eastAsia="zh-CN"/>
                    </w:rPr>
                    <w:t>急性水生毒性：鱼类LC</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：0.61mg/L（96h）（鱼）；甲壳纲动物EC</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：0.92mg/L（48h）；藻类/水生植物ErC</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：＞0.85mg/L（72h）。慢性水生毒性：甲壳纲动物NOEC：0.0095mg/L；藻类/水生植物NOEC：0.54mg/L。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cs="Times New Roman"/>
                      <w:color w:val="auto"/>
                      <w:sz w:val="21"/>
                      <w:szCs w:val="21"/>
                      <w:lang w:val="en-US" w:eastAsia="zh-CN"/>
                    </w:rPr>
                  </w:pPr>
                  <w:r>
                    <w:rPr>
                      <w:rFonts w:hint="eastAsia" w:cs="Times New Roman"/>
                      <w:b/>
                      <w:bCs/>
                      <w:color w:val="auto"/>
                      <w:sz w:val="21"/>
                      <w:szCs w:val="21"/>
                      <w:lang w:val="en-US" w:eastAsia="zh-CN"/>
                    </w:rPr>
                    <w:t>1.3切削液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组分/组成信息</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基础油、表面活性剂、防锈剂和合成添加剂。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物理化学特性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s="Times New Roman"/>
                      <w:color w:val="auto"/>
                      <w:sz w:val="21"/>
                      <w:szCs w:val="21"/>
                      <w:lang w:val="en-US" w:eastAsia="zh-CN"/>
                    </w:rPr>
                  </w:pPr>
                  <w:r>
                    <w:rPr>
                      <w:rFonts w:hint="eastAsia" w:cs="Times New Roman"/>
                      <w:color w:val="auto"/>
                      <w:sz w:val="21"/>
                      <w:szCs w:val="21"/>
                      <w:lang w:val="en-US" w:eastAsia="zh-CN"/>
                    </w:rPr>
                    <w:t>外观与性状：墨绿色液体。气味：温和。闪点：160℃。自燃点：不自燃。爆炸危险：不爆炸。在水中的溶解度/和水的相容性：相溶。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稳定性和反应性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s="Times New Roman"/>
                      <w:color w:val="auto"/>
                      <w:sz w:val="21"/>
                      <w:szCs w:val="21"/>
                      <w:lang w:val="en-US" w:eastAsia="zh-CN"/>
                    </w:rPr>
                  </w:pPr>
                  <w:r>
                    <w:rPr>
                      <w:rFonts w:hint="eastAsia" w:cs="Times New Roman"/>
                      <w:color w:val="auto"/>
                      <w:sz w:val="21"/>
                      <w:szCs w:val="21"/>
                      <w:lang w:val="en-US" w:eastAsia="zh-CN"/>
                    </w:rPr>
                    <w:t>热分解/避免的状况：如按说明书使用，不会产生热分解。危险性反应：无。危险性的产品组份：无。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毒性资料</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剧毒性：无。对皮肤：无刺激性影响。对眼睛：无刺激性影响。过敏作用：无。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cs="Times New Roman"/>
                      <w:color w:val="auto"/>
                      <w:sz w:val="21"/>
                      <w:szCs w:val="21"/>
                      <w:lang w:val="en-US" w:eastAsia="zh-CN"/>
                    </w:rPr>
                  </w:pPr>
                  <w:r>
                    <w:rPr>
                      <w:rFonts w:hint="eastAsia" w:cs="Times New Roman"/>
                      <w:b/>
                      <w:bCs/>
                      <w:color w:val="auto"/>
                      <w:sz w:val="21"/>
                      <w:szCs w:val="21"/>
                      <w:lang w:val="en-US" w:eastAsia="zh-CN"/>
                    </w:rPr>
                    <w:t>1.4机油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组分/组成信息</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含油高度精炼矿物油和添加剂。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理化特性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cs="Times New Roman"/>
                      <w:color w:val="auto"/>
                      <w:sz w:val="21"/>
                      <w:szCs w:val="21"/>
                      <w:lang w:val="en-US" w:eastAsia="zh-CN"/>
                    </w:rPr>
                  </w:pPr>
                  <w:r>
                    <w:rPr>
                      <w:rFonts w:hint="eastAsia" w:cs="Times New Roman"/>
                      <w:color w:val="auto"/>
                      <w:sz w:val="21"/>
                      <w:szCs w:val="21"/>
                      <w:lang w:val="en-US" w:eastAsia="zh-CN"/>
                    </w:rPr>
                    <w:t>外观与性状：黄色，室温下为半流体。气味：矿物油特性。闪点：大于150℃（COC）（基于矿物油的）。燃烧上下极限：典型1-10%v/v（基于矿物油的）。蒸汽密度（空气=1）：大于1。密度：典型近于900kg/m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（15℃）。溶解性：可忽略的。滴点：大于165℃。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497" w:type="dxa"/>
                  <w:noWrap w:val="0"/>
                  <w:vAlign w:val="center"/>
                </w:tcPr>
                <w:p>
                  <w:pPr>
                    <w:pStyle w:val="39"/>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稳定性和反应性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稳定性：稳定。应避免接触的条件：极端温度和阳光直晒。应避免的物质：强氧化剂。分解产物：预期在正常的储存过程中不会形成危险的分解产品。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b/>
                      <w:bCs/>
                      <w:color w:val="auto"/>
                      <w:sz w:val="21"/>
                      <w:szCs w:val="21"/>
                      <w:lang w:val="en-US" w:eastAsia="zh-CN"/>
                    </w:rPr>
                    <w:t>1.5粉末涂料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497"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组分/组成信息</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cs="Times New Roman"/>
                      <w:color w:val="auto"/>
                      <w:sz w:val="21"/>
                      <w:szCs w:val="21"/>
                      <w:lang w:val="en-US" w:eastAsia="zh-CN"/>
                    </w:rPr>
                  </w:pPr>
                  <w:r>
                    <w:rPr>
                      <w:rFonts w:hint="eastAsia" w:cs="Times New Roman"/>
                      <w:color w:val="auto"/>
                      <w:sz w:val="21"/>
                      <w:szCs w:val="21"/>
                      <w:lang w:val="en-US" w:eastAsia="zh-CN"/>
                    </w:rPr>
                    <w:t>一种具有耐腐蚀性和坚韧性的热固性树脂粉末涂料，不燃、不爆，无毒、无害，由环氧树脂、聚酯树脂、颜填料、蜡片和助剂组成。环氧树脂40%，聚酯树脂20%，颜料2%，填料34%，助剂3%，PTFE腊1%。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1497"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理化特性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外观与性状：粉末；比重：1.5g/cm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；水平流动性（180）：22mm～35mm；粒度分布：100%小于125，其中85%以上在60</w:t>
                  </w:r>
                  <w:r>
                    <w:rPr>
                      <w:rFonts w:hint="default" w:cs="Times New Roman"/>
                      <w:color w:val="auto"/>
                      <w:sz w:val="21"/>
                      <w:szCs w:val="21"/>
                      <w:lang w:val="en-US" w:eastAsia="zh-CN"/>
                    </w:rPr>
                    <w:t>μm</w:t>
                  </w:r>
                  <w:r>
                    <w:rPr>
                      <w:rFonts w:hint="eastAsia" w:cs="Times New Roman"/>
                      <w:color w:val="auto"/>
                      <w:sz w:val="21"/>
                      <w:szCs w:val="21"/>
                      <w:lang w:val="en-US" w:eastAsia="zh-CN"/>
                    </w:rPr>
                    <w:t>～90</w:t>
                  </w:r>
                  <w:r>
                    <w:rPr>
                      <w:rFonts w:hint="default" w:cs="Times New Roman"/>
                      <w:color w:val="auto"/>
                      <w:sz w:val="21"/>
                      <w:szCs w:val="21"/>
                      <w:lang w:val="en-US" w:eastAsia="zh-CN"/>
                    </w:rPr>
                    <w:t>μm</w:t>
                  </w:r>
                  <w:r>
                    <w:rPr>
                      <w:rFonts w:hint="eastAsia" w:cs="Times New Roman"/>
                      <w:color w:val="auto"/>
                      <w:sz w:val="21"/>
                      <w:szCs w:val="21"/>
                      <w:lang w:val="en-US" w:eastAsia="zh-CN"/>
                    </w:rPr>
                    <w:t>；固化条件：150℃～180℃（工件温度）下15分钟即固化；分解温度：260℃～440℃。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default" w:ascii="Times New Roman" w:hAnsi="Times New Roman" w:cs="Times New Roman"/>
                      <w:b/>
                      <w:bCs/>
                      <w:color w:val="auto"/>
                      <w:kern w:val="0"/>
                      <w:sz w:val="21"/>
                      <w:szCs w:val="21"/>
                      <w:lang w:val="en-US" w:eastAsia="zh-CN"/>
                    </w:rPr>
                    <w:t>1.6</w:t>
                  </w:r>
                  <w:r>
                    <w:rPr>
                      <w:rFonts w:hint="default" w:ascii="Times New Roman" w:hAnsi="Times New Roman" w:cs="Times New Roman"/>
                      <w:b/>
                      <w:bCs/>
                      <w:color w:val="auto"/>
                      <w:kern w:val="0"/>
                      <w:sz w:val="21"/>
                      <w:szCs w:val="21"/>
                      <w:lang w:eastAsia="zh-CN"/>
                    </w:rPr>
                    <w:t>清洗</w:t>
                  </w:r>
                  <w:r>
                    <w:rPr>
                      <w:rFonts w:hint="eastAsia" w:ascii="宋体" w:hAnsi="宋体"/>
                      <w:b/>
                      <w:bCs/>
                      <w:color w:val="auto"/>
                      <w:kern w:val="0"/>
                      <w:sz w:val="21"/>
                      <w:szCs w:val="21"/>
                      <w:lang w:eastAsia="zh-CN"/>
                    </w:rPr>
                    <w:t>剂（</w:t>
                  </w:r>
                  <w:r>
                    <w:rPr>
                      <w:rFonts w:hint="eastAsia" w:ascii="宋体" w:hAnsi="宋体"/>
                      <w:b/>
                      <w:bCs/>
                      <w:color w:val="auto"/>
                      <w:kern w:val="0"/>
                      <w:sz w:val="21"/>
                      <w:szCs w:val="21"/>
                    </w:rPr>
                    <w:t>二价酸酯、二元酸酯、混合酸二甲酯、混二酸二甲酯</w:t>
                  </w:r>
                  <w:r>
                    <w:rPr>
                      <w:rFonts w:ascii="宋体" w:hAnsi="宋体"/>
                      <w:b/>
                      <w:bCs/>
                      <w:color w:val="auto"/>
                      <w:kern w:val="0"/>
                      <w:sz w:val="21"/>
                      <w:szCs w:val="21"/>
                    </w:rPr>
                    <w:t>…</w:t>
                  </w:r>
                  <w:r>
                    <w:rPr>
                      <w:rFonts w:hint="eastAsia" w:ascii="宋体" w:hAnsi="宋体"/>
                      <w:b/>
                      <w:bCs/>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497"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成分/组成信息</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戊二酸二甲酯</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25%～60%</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CAS号：1119-40-0</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己二酸二甲酯</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20%～50%</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CAS号：627-93-0</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丁二酸二甲酯</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10%～30%</w:t>
                  </w:r>
                  <w:r>
                    <w:rPr>
                      <w:rFonts w:hint="default"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CAS号：106-65-0</w:t>
                  </w:r>
                  <w:r>
                    <w:rPr>
                      <w:rFonts w:hint="eastAsia" w:ascii="宋体" w:hAnsi="宋体"/>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1497"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理化特性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cs="Times New Roman"/>
                      <w:color w:val="auto"/>
                      <w:sz w:val="21"/>
                      <w:szCs w:val="21"/>
                      <w:lang w:val="en-US" w:eastAsia="zh-CN"/>
                    </w:rPr>
                  </w:pPr>
                  <w:r>
                    <w:rPr>
                      <w:rFonts w:hint="eastAsia" w:cs="Times New Roman"/>
                      <w:color w:val="auto"/>
                      <w:sz w:val="21"/>
                      <w:szCs w:val="21"/>
                      <w:lang w:val="en-US" w:eastAsia="zh-CN"/>
                    </w:rPr>
                    <w:t>外观与性状：无色液体，带甜味；熔点（℃）：约-20；相对密度（水=1）：1.070</w:t>
                  </w:r>
                  <w:r>
                    <w:rPr>
                      <w:rFonts w:hint="default" w:ascii="Times New Roman" w:hAnsi="Times New Roman" w:cs="Times New Roman"/>
                      <w:color w:val="auto"/>
                      <w:kern w:val="0"/>
                      <w:sz w:val="21"/>
                      <w:szCs w:val="21"/>
                      <w:lang w:val="en-US" w:eastAsia="zh-CN"/>
                    </w:rPr>
                    <w:t>～</w:t>
                  </w:r>
                  <w:r>
                    <w:rPr>
                      <w:rFonts w:hint="eastAsia" w:cs="Times New Roman"/>
                      <w:color w:val="auto"/>
                      <w:sz w:val="21"/>
                      <w:szCs w:val="21"/>
                      <w:lang w:val="en-US" w:eastAsia="zh-CN"/>
                    </w:rPr>
                    <w:t>1.092；沸点（℃）：190</w:t>
                  </w:r>
                  <w:r>
                    <w:rPr>
                      <w:rFonts w:hint="default" w:ascii="Times New Roman" w:hAnsi="Times New Roman" w:cs="Times New Roman"/>
                      <w:color w:val="auto"/>
                      <w:kern w:val="0"/>
                      <w:sz w:val="21"/>
                      <w:szCs w:val="21"/>
                      <w:lang w:val="en-US" w:eastAsia="zh-CN"/>
                    </w:rPr>
                    <w:t>～</w:t>
                  </w:r>
                  <w:r>
                    <w:rPr>
                      <w:rFonts w:hint="eastAsia" w:cs="Times New Roman"/>
                      <w:color w:val="auto"/>
                      <w:sz w:val="21"/>
                      <w:szCs w:val="21"/>
                      <w:lang w:val="en-US" w:eastAsia="zh-CN"/>
                    </w:rPr>
                    <w:t>230；饱和蒸气压（kPa）：0.2mmHg（20℃）；闪点（℃）：100（TCC）；爆炸上限[%（V/V）]：0.9；爆炸下限[%（V/V）]：8.0；自燃点：370；溶解性：20℃在水中的溶解度是5.3%（质量）；挥发性：100%（20℃）；蒸发速率：&lt;0.1（乙酸丁酯=1.0）；阈限值：100%检波时0.1ppm，50%检波时0.01ppm；比重：1.092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497"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稳定性和反应活性</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稳定性：稳定；禁配物：强氧化剂，酸、碱金属；避免接触的条件：受热；聚合危害：不会发生；分解产物：一氧化碳。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1497"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毒理学资料</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大鼠吸入（4h）LC</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：&gt;11mg/L；大鼠吸入（1h）LC</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：&gt;10.7mg/L；家兔经皮吸收LD</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：&gt;2，250mg/kg；大鼠经口LD</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：8，191mg/kg。</w:t>
                  </w:r>
                </w:p>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亚急性与慢性毒性：动物反复吸入其毒性包括体重增加减缓、肝的绝对和相对重量降低、嗅觉器官上皮（鼻的组织）退变。动物反复食入其毒性：包括体重下降，但没有发现病理改变。刺激性：该混合物是轻度皮肤刺激剂，中度眼睛刺激剂。致敏性：不是动物皮肤致敏物质。致突变性：动物实验或细菌培养试验均不引起基因损害，但在一项哺乳动物细胞培养实验中出现阳性。致畸性：动物实验显示该物质不引起发育毒性和生殖毒性。致癌性：该物质中浓度等于或高于0.1%的组分中没有被IARC、NTP、OSHA或ACGIH列为致癌物的组分。其它：一次染毒4小时染毒60ppm的实验发现，动物角膜混浊、角膜到晶状体前部表面的距离暂时增加。一次染毒用10uL该物质滴入动物眼睛的实验显示，该物质引起角膜混浊。给予10uL</w:t>
                  </w:r>
                  <w:r>
                    <w:rPr>
                      <w:rFonts w:hint="default" w:ascii="Times New Roman" w:hAnsi="Times New Roman" w:cs="Times New Roman"/>
                      <w:color w:val="auto"/>
                      <w:kern w:val="0"/>
                      <w:sz w:val="21"/>
                      <w:szCs w:val="21"/>
                      <w:lang w:val="en-US" w:eastAsia="zh-CN"/>
                    </w:rPr>
                    <w:t>～</w:t>
                  </w:r>
                  <w:r>
                    <w:rPr>
                      <w:rFonts w:hint="eastAsia" w:cs="Times New Roman"/>
                      <w:color w:val="auto"/>
                      <w:sz w:val="21"/>
                      <w:szCs w:val="21"/>
                      <w:lang w:val="en-US" w:eastAsia="zh-CN"/>
                    </w:rPr>
                    <w:t>100uL一种类似的混合物引起角膜混浊，角膜暂时增厚和角膜暂时麻痹。一次皮肤染毒约60mg/kg的动物实验发现，从角膜到晶状体前部表面的距离暂时增加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1497" w:type="dxa"/>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生态学资料</w:t>
                  </w:r>
                </w:p>
              </w:tc>
              <w:tc>
                <w:tcPr>
                  <w:tcW w:w="7379" w:type="dxa"/>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水生毒性：MADE鲤科小鱼96小时LC</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：18mg/L</w:t>
                  </w:r>
                  <w:r>
                    <w:rPr>
                      <w:rFonts w:hint="default" w:ascii="Times New Roman" w:hAnsi="Times New Roman" w:cs="Times New Roman"/>
                      <w:color w:val="auto"/>
                      <w:kern w:val="0"/>
                      <w:sz w:val="21"/>
                      <w:szCs w:val="21"/>
                      <w:lang w:val="en-US" w:eastAsia="zh-CN"/>
                    </w:rPr>
                    <w:t>～</w:t>
                  </w:r>
                  <w:r>
                    <w:rPr>
                      <w:rFonts w:hint="eastAsia" w:cs="Times New Roman"/>
                      <w:color w:val="auto"/>
                      <w:sz w:val="21"/>
                      <w:szCs w:val="21"/>
                      <w:lang w:val="en-US" w:eastAsia="zh-CN"/>
                    </w:rPr>
                    <w:t>24mg/L，中等毒性。水蚤48小时LC</w:t>
                  </w:r>
                  <w:r>
                    <w:rPr>
                      <w:rFonts w:hint="eastAsia" w:cs="Times New Roman"/>
                      <w:color w:val="auto"/>
                      <w:sz w:val="21"/>
                      <w:szCs w:val="21"/>
                      <w:vertAlign w:val="subscript"/>
                      <w:lang w:val="en-US" w:eastAsia="zh-CN"/>
                    </w:rPr>
                    <w:t>50</w:t>
                  </w:r>
                  <w:r>
                    <w:rPr>
                      <w:rFonts w:hint="eastAsia" w:cs="Times New Roman"/>
                      <w:color w:val="auto"/>
                      <w:sz w:val="21"/>
                      <w:szCs w:val="21"/>
                      <w:lang w:val="en-US" w:eastAsia="zh-CN"/>
                    </w:rPr>
                    <w:t>：112mg/L</w:t>
                  </w:r>
                  <w:r>
                    <w:rPr>
                      <w:rFonts w:hint="default" w:ascii="Times New Roman" w:hAnsi="Times New Roman" w:cs="Times New Roman"/>
                      <w:color w:val="auto"/>
                      <w:kern w:val="0"/>
                      <w:sz w:val="21"/>
                      <w:szCs w:val="21"/>
                      <w:lang w:val="en-US" w:eastAsia="zh-CN"/>
                    </w:rPr>
                    <w:t>～</w:t>
                  </w:r>
                  <w:r>
                    <w:rPr>
                      <w:rFonts w:hint="eastAsia" w:cs="Times New Roman"/>
                      <w:color w:val="auto"/>
                      <w:sz w:val="21"/>
                      <w:szCs w:val="21"/>
                      <w:lang w:val="en-US" w:eastAsia="zh-CN"/>
                    </w:rPr>
                    <w:t>150mg/L。生物降解性：对MADE组分，丁二酸二甲酯、戊二酸二甲酯和己二酸二甲酯，采用28天密闭瓶生物降解性测试。在14天最少达到60%生物降解时，为通过此测试必须超过10%水平，定级为易生物降解物质。MADE的所有组分都通过此测试，因此MADE被认为是易生物降解物质。丁二酸二甲酯7天的生物降解性为67%。戊二酸二甲酯7天的生物降解性为70%。己二酸二甲酯7天的生物降解性为58%。14天的生物降解性为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b/>
                      <w:bCs/>
                      <w:color w:val="auto"/>
                      <w:sz w:val="21"/>
                      <w:szCs w:val="21"/>
                      <w:lang w:val="en-US" w:eastAsia="zh-CN"/>
                    </w:rPr>
                    <w:t>1.7橡胶胶片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ascii="Times New Roman" w:hAnsi="Times New Roman"/>
                      <w:color w:val="auto"/>
                      <w:sz w:val="21"/>
                      <w:szCs w:val="21"/>
                    </w:rPr>
                    <w:t>是由甲基</w:t>
                  </w:r>
                  <w:r>
                    <w:rPr>
                      <w:rFonts w:hint="eastAsia" w:ascii="宋体" w:hAnsi="宋体" w:eastAsia="宋体" w:cs="宋体"/>
                      <w:color w:val="auto"/>
                      <w:sz w:val="21"/>
                      <w:szCs w:val="21"/>
                    </w:rPr>
                    <w:t>或含乙烯基基团的线型高聚合物的聚有机硅氧烷(俗称生胶)为基础，配合补强填料、增量填料及赋予各种性能的添加剂配制成的基础胶料。主要原材料采用甲基或乙烯基生胶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加入二氧化硅</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架桥剂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结构控制剂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偶联剂等多种材料</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经过高温密炼机混炼而成。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b/>
                      <w:bCs/>
                      <w:color w:val="auto"/>
                      <w:sz w:val="21"/>
                      <w:szCs w:val="21"/>
                      <w:lang w:val="en-US" w:eastAsia="zh-CN"/>
                    </w:rPr>
                    <w:t>1.8聚丙烯（PP）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3"/>
                  <w:noWrap w:val="0"/>
                  <w:vAlign w:val="center"/>
                </w:tcPr>
                <w:p>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imes New Roman"/>
                      <w:color w:val="auto"/>
                      <w:sz w:val="21"/>
                      <w:szCs w:val="21"/>
                      <w:lang w:val="en-US" w:eastAsia="zh-CN"/>
                    </w:rPr>
                  </w:pPr>
                  <w:r>
                    <w:rPr>
                      <w:rFonts w:hint="default" w:ascii="Times New Roman" w:hAnsi="Times New Roman" w:cs="Times New Roman"/>
                      <w:color w:val="auto"/>
                      <w:sz w:val="21"/>
                      <w:szCs w:val="21"/>
                    </w:rPr>
                    <w:t>PP主要成分为聚丙烯：聚丙烯为无毒、无臭、无味的乳白色高结晶的聚合物，密度只有0.90g/cm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～0.91g/cm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。它对水特别稳定，在水中的吸水率仅为0.01</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，分子量约8万～15万。</w:t>
                  </w:r>
                  <w:r>
                    <w:rPr>
                      <w:rFonts w:hint="eastAsia" w:ascii="Times New Roman" w:hAnsi="Times New Roman" w:cs="Times New Roman"/>
                      <w:color w:val="auto"/>
                      <w:sz w:val="21"/>
                      <w:szCs w:val="21"/>
                      <w:lang w:eastAsia="zh-CN"/>
                    </w:rPr>
                    <w:t>由丙烯聚合而制得的一种热塑性树脂。通常较厚、较韧，抗拉强度较高，可用于大棚膜、承重包装袋等，PP塑料熔点温度为164℃～170℃，分解温度可达300℃以上。</w:t>
                  </w:r>
                </w:p>
              </w:tc>
            </w:tr>
          </w:tbl>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建设项目</w:t>
            </w:r>
            <w:r>
              <w:rPr>
                <w:rFonts w:hint="default" w:ascii="Times New Roman" w:hAnsi="Times New Roman" w:cs="Times New Roman"/>
                <w:b/>
                <w:bCs/>
                <w:color w:val="auto"/>
                <w:sz w:val="24"/>
                <w:szCs w:val="24"/>
              </w:rPr>
              <w:t>产品</w:t>
            </w:r>
            <w:r>
              <w:rPr>
                <w:rFonts w:hint="default" w:ascii="Times New Roman" w:hAnsi="Times New Roman" w:cs="Times New Roman"/>
                <w:b/>
                <w:bCs/>
                <w:color w:val="auto"/>
                <w:sz w:val="24"/>
                <w:szCs w:val="24"/>
                <w:lang w:val="en-US" w:eastAsia="zh-CN"/>
              </w:rPr>
              <w:t>及产能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根据建设单位提供的资料，</w:t>
            </w:r>
            <w:r>
              <w:rPr>
                <w:rFonts w:hint="default" w:ascii="Times New Roman" w:hAnsi="Times New Roman" w:cs="Times New Roman"/>
                <w:color w:val="auto"/>
                <w:sz w:val="24"/>
                <w:szCs w:val="24"/>
              </w:rPr>
              <w:t>本项目产品</w:t>
            </w:r>
            <w:r>
              <w:rPr>
                <w:rFonts w:hint="default" w:ascii="Times New Roman" w:hAnsi="Times New Roman" w:cs="Times New Roman"/>
                <w:color w:val="auto"/>
                <w:sz w:val="24"/>
                <w:szCs w:val="24"/>
                <w:lang w:val="en-US" w:eastAsia="zh-CN"/>
              </w:rPr>
              <w:t>及产能见下</w:t>
            </w:r>
            <w:r>
              <w:rPr>
                <w:rFonts w:hint="default" w:ascii="Times New Roman" w:hAnsi="Times New Roman" w:cs="Times New Roman"/>
                <w:color w:val="auto"/>
                <w:sz w:val="24"/>
                <w:szCs w:val="24"/>
              </w:rPr>
              <w:t>表</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p>
          <w:p>
            <w:pPr>
              <w:autoSpaceDE w:val="0"/>
              <w:autoSpaceDN w:val="0"/>
              <w:spacing w:line="24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表</w:t>
            </w:r>
            <w:r>
              <w:rPr>
                <w:rFonts w:hint="default"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lang w:val="en-US" w:eastAsia="zh-CN"/>
              </w:rPr>
              <w:t xml:space="preserve">  项目</w:t>
            </w:r>
            <w:r>
              <w:rPr>
                <w:rFonts w:hint="default" w:ascii="Times New Roman" w:hAnsi="Times New Roman" w:cs="Times New Roman"/>
                <w:b/>
                <w:bCs/>
                <w:color w:val="auto"/>
                <w:sz w:val="24"/>
                <w:szCs w:val="24"/>
              </w:rPr>
              <w:t>产品</w:t>
            </w:r>
            <w:r>
              <w:rPr>
                <w:rFonts w:hint="default" w:ascii="Times New Roman" w:hAnsi="Times New Roman" w:cs="Times New Roman"/>
                <w:b/>
                <w:bCs/>
                <w:color w:val="auto"/>
                <w:sz w:val="24"/>
                <w:szCs w:val="24"/>
                <w:lang w:val="en-US" w:eastAsia="zh-CN"/>
              </w:rPr>
              <w:t>及产能一览表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837"/>
              <w:gridCol w:w="1311"/>
              <w:gridCol w:w="964"/>
              <w:gridCol w:w="964"/>
              <w:gridCol w:w="964"/>
              <w:gridCol w:w="746"/>
              <w:gridCol w:w="2071"/>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2148" w:type="dxa"/>
                  <w:gridSpan w:val="2"/>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产品名称</w:t>
                  </w:r>
                </w:p>
              </w:tc>
              <w:tc>
                <w:tcPr>
                  <w:tcW w:w="964"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单位</w:t>
                  </w:r>
                </w:p>
              </w:tc>
              <w:tc>
                <w:tcPr>
                  <w:tcW w:w="964"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重新报批前</w:t>
                  </w:r>
                  <w:r>
                    <w:rPr>
                      <w:rFonts w:hint="default" w:ascii="Times New Roman" w:hAnsi="Times New Roman" w:cs="Times New Roman"/>
                      <w:color w:val="auto"/>
                      <w:sz w:val="21"/>
                      <w:szCs w:val="21"/>
                      <w:lang w:val="en-US" w:eastAsia="zh-CN"/>
                    </w:rPr>
                    <w:t>数量</w:t>
                  </w:r>
                </w:p>
              </w:tc>
              <w:tc>
                <w:tcPr>
                  <w:tcW w:w="964"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重新报批后</w:t>
                  </w:r>
                  <w:r>
                    <w:rPr>
                      <w:rFonts w:hint="default" w:ascii="Times New Roman" w:hAnsi="Times New Roman" w:cs="Times New Roman"/>
                      <w:color w:val="auto"/>
                      <w:sz w:val="21"/>
                      <w:szCs w:val="21"/>
                      <w:lang w:val="en-US" w:eastAsia="zh-CN"/>
                    </w:rPr>
                    <w:t>数量</w:t>
                  </w:r>
                </w:p>
              </w:tc>
              <w:tc>
                <w:tcPr>
                  <w:tcW w:w="746" w:type="dxa"/>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变化情况</w:t>
                  </w:r>
                </w:p>
              </w:tc>
              <w:tc>
                <w:tcPr>
                  <w:tcW w:w="2071"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规格型号</w:t>
                  </w:r>
                </w:p>
              </w:tc>
              <w:tc>
                <w:tcPr>
                  <w:tcW w:w="1336" w:type="dxa"/>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148" w:type="dxa"/>
                  <w:gridSpan w:val="2"/>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矿山电厂环保除尘设备</w:t>
                  </w:r>
                </w:p>
              </w:tc>
              <w:tc>
                <w:tcPr>
                  <w:tcW w:w="964"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套/</w:t>
                  </w:r>
                  <w:r>
                    <w:rPr>
                      <w:rFonts w:hint="default" w:ascii="Times New Roman" w:hAnsi="Times New Roman" w:cs="Times New Roman"/>
                      <w:color w:val="auto"/>
                      <w:sz w:val="21"/>
                      <w:szCs w:val="21"/>
                      <w:lang w:val="en-US" w:eastAsia="zh-CN"/>
                    </w:rPr>
                    <w:t>a</w:t>
                  </w:r>
                </w:p>
              </w:tc>
              <w:tc>
                <w:tcPr>
                  <w:tcW w:w="964"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500</w:t>
                  </w:r>
                </w:p>
              </w:tc>
              <w:tc>
                <w:tcPr>
                  <w:tcW w:w="964"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500</w:t>
                  </w:r>
                </w:p>
              </w:tc>
              <w:tc>
                <w:tcPr>
                  <w:tcW w:w="746" w:type="dxa"/>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2071" w:type="dxa"/>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GBD-NHX-B1000</w:t>
                  </w:r>
                </w:p>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GBD-NCH-B1200</w:t>
                  </w:r>
                </w:p>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GBD-NSM-B1000</w:t>
                  </w:r>
                </w:p>
              </w:tc>
              <w:tc>
                <w:tcPr>
                  <w:tcW w:w="1336" w:type="dxa"/>
                  <w:noWrap w:val="0"/>
                  <w:vAlign w:val="center"/>
                </w:tcPr>
                <w:p>
                  <w:pPr>
                    <w:autoSpaceDE w:val="0"/>
                    <w:autoSpaceDN w:val="0"/>
                    <w:spacing w:line="240" w:lineRule="auto"/>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不新增产品种类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vMerge w:val="restart"/>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837" w:type="dxa"/>
                  <w:vMerge w:val="restart"/>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矿山皮带输送类配套设备</w:t>
                  </w:r>
                </w:p>
              </w:tc>
              <w:tc>
                <w:tcPr>
                  <w:tcW w:w="1311" w:type="dxa"/>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皮带输送清扫器</w:t>
                  </w:r>
                </w:p>
              </w:tc>
              <w:tc>
                <w:tcPr>
                  <w:tcW w:w="964"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台/</w:t>
                  </w:r>
                  <w:r>
                    <w:rPr>
                      <w:rFonts w:hint="default" w:ascii="Times New Roman" w:hAnsi="Times New Roman" w:cs="Times New Roman"/>
                      <w:color w:val="auto"/>
                      <w:sz w:val="21"/>
                      <w:szCs w:val="21"/>
                      <w:lang w:val="en-US" w:eastAsia="zh-CN"/>
                    </w:rPr>
                    <w:t>a</w:t>
                  </w:r>
                </w:p>
              </w:tc>
              <w:tc>
                <w:tcPr>
                  <w:tcW w:w="964"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4000</w:t>
                  </w:r>
                </w:p>
              </w:tc>
              <w:tc>
                <w:tcPr>
                  <w:tcW w:w="964"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4000</w:t>
                  </w:r>
                </w:p>
              </w:tc>
              <w:tc>
                <w:tcPr>
                  <w:tcW w:w="746" w:type="dxa"/>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2071" w:type="dxa"/>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GBD-ZQZ-B1200</w:t>
                  </w:r>
                  <w:r>
                    <w:rPr>
                      <w:rFonts w:hint="eastAsia" w:ascii="Times New Roman" w:hAnsi="Times New Roman" w:cs="Times New Roman"/>
                      <w:color w:val="auto"/>
                      <w:sz w:val="21"/>
                      <w:szCs w:val="21"/>
                      <w:lang w:val="en-US" w:eastAsia="zh-CN"/>
                    </w:rPr>
                    <w:br w:type="textWrapping"/>
                  </w:r>
                  <w:r>
                    <w:rPr>
                      <w:rFonts w:hint="eastAsia" w:ascii="Times New Roman" w:hAnsi="Times New Roman" w:cs="Times New Roman"/>
                      <w:color w:val="auto"/>
                      <w:sz w:val="21"/>
                      <w:szCs w:val="21"/>
                      <w:lang w:val="en-US" w:eastAsia="zh-CN"/>
                    </w:rPr>
                    <w:t>GBD-FHS-B1000 BD-HMC-B1000</w:t>
                  </w:r>
                </w:p>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GBD-QQC-B800</w:t>
                  </w:r>
                </w:p>
                <w:p>
                  <w:pPr>
                    <w:pStyle w:val="2"/>
                    <w:spacing w:line="240" w:lineRule="auto"/>
                    <w:ind w:left="210" w:leftChars="100" w:firstLine="0" w:firstLineChars="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GBD-QQC-B1400 GBD-VVP-B1200</w:t>
                  </w:r>
                </w:p>
              </w:tc>
              <w:tc>
                <w:tcPr>
                  <w:tcW w:w="1336" w:type="dxa"/>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新增的硫化工艺，生产的橡胶零部件仅做为皮带清扫器的配件，自产自用，不对外单独销售；不新增产品种类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vMerge w:val="continue"/>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p>
              </w:tc>
              <w:tc>
                <w:tcPr>
                  <w:tcW w:w="837" w:type="dxa"/>
                  <w:vMerge w:val="continue"/>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p>
              </w:tc>
              <w:tc>
                <w:tcPr>
                  <w:tcW w:w="1311" w:type="dxa"/>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lang w:val="en-US" w:eastAsia="zh-CN"/>
                    </w:rPr>
                    <w:t>工业毛刷设备</w:t>
                  </w:r>
                </w:p>
              </w:tc>
              <w:tc>
                <w:tcPr>
                  <w:tcW w:w="964" w:type="dxa"/>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台/</w:t>
                  </w:r>
                  <w:r>
                    <w:rPr>
                      <w:rFonts w:hint="default" w:ascii="Times New Roman" w:hAnsi="Times New Roman" w:cs="Times New Roman"/>
                      <w:color w:val="auto"/>
                      <w:sz w:val="21"/>
                      <w:szCs w:val="21"/>
                      <w:lang w:val="en-US" w:eastAsia="zh-CN"/>
                    </w:rPr>
                    <w:t>a</w:t>
                  </w:r>
                </w:p>
              </w:tc>
              <w:tc>
                <w:tcPr>
                  <w:tcW w:w="964"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2000</w:t>
                  </w:r>
                </w:p>
              </w:tc>
              <w:tc>
                <w:tcPr>
                  <w:tcW w:w="964"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2000</w:t>
                  </w:r>
                </w:p>
              </w:tc>
              <w:tc>
                <w:tcPr>
                  <w:tcW w:w="746" w:type="dxa"/>
                  <w:noWrap w:val="0"/>
                  <w:vAlign w:val="center"/>
                </w:tcPr>
                <w:p>
                  <w:pPr>
                    <w:autoSpaceDE w:val="0"/>
                    <w:autoSpaceDN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2071"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GBD-DMS-B1000</w:t>
                  </w:r>
                </w:p>
                <w:p>
                  <w:pPr>
                    <w:pStyle w:val="2"/>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GBD-WDMS-B1200</w:t>
                  </w:r>
                </w:p>
              </w:tc>
              <w:tc>
                <w:tcPr>
                  <w:tcW w:w="1336" w:type="dxa"/>
                  <w:noWrap w:val="0"/>
                  <w:vAlign w:val="center"/>
                </w:tcPr>
                <w:p>
                  <w:pPr>
                    <w:autoSpaceDE w:val="0"/>
                    <w:autoSpaceDN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不新增产品种类</w:t>
                  </w:r>
                </w:p>
              </w:tc>
            </w:tr>
          </w:tbl>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建设项目</w:t>
            </w:r>
            <w:r>
              <w:rPr>
                <w:rFonts w:hint="default" w:ascii="Times New Roman" w:hAnsi="Times New Roman" w:cs="Times New Roman"/>
                <w:b/>
                <w:bCs/>
                <w:color w:val="auto"/>
                <w:sz w:val="24"/>
                <w:szCs w:val="24"/>
              </w:rPr>
              <w:t>劳动定员及工作制度</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项目劳动定员</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人，厂区</w:t>
            </w:r>
            <w:r>
              <w:rPr>
                <w:rFonts w:hint="default" w:ascii="Times New Roman" w:hAnsi="Times New Roman" w:cs="Times New Roman"/>
                <w:color w:val="auto"/>
                <w:sz w:val="24"/>
                <w:szCs w:val="24"/>
                <w:lang w:val="en-US" w:eastAsia="zh-CN"/>
              </w:rPr>
              <w:t>不</w:t>
            </w:r>
            <w:r>
              <w:rPr>
                <w:rFonts w:hint="default" w:ascii="Times New Roman" w:hAnsi="Times New Roman" w:cs="Times New Roman"/>
                <w:color w:val="auto"/>
                <w:sz w:val="24"/>
                <w:szCs w:val="24"/>
              </w:rPr>
              <w:t>提供职工宿舍</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提供职工食堂</w:t>
            </w:r>
            <w:r>
              <w:rPr>
                <w:rFonts w:hint="default" w:ascii="Times New Roman" w:hAnsi="Times New Roman" w:cs="Times New Roman"/>
                <w:color w:val="auto"/>
                <w:sz w:val="24"/>
                <w:szCs w:val="24"/>
              </w:rPr>
              <w:t>。本项目工作制度为年工作3</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0天，</w:t>
            </w:r>
            <w:r>
              <w:rPr>
                <w:rFonts w:hint="eastAsia" w:ascii="Times New Roman" w:hAnsi="Times New Roman" w:cs="Times New Roman"/>
                <w:color w:val="auto"/>
                <w:sz w:val="24"/>
                <w:szCs w:val="24"/>
                <w:lang w:eastAsia="zh-CN"/>
              </w:rPr>
              <w:t>一班</w:t>
            </w:r>
            <w:r>
              <w:rPr>
                <w:rFonts w:hint="default" w:ascii="Times New Roman" w:hAnsi="Times New Roman" w:cs="Times New Roman"/>
                <w:color w:val="auto"/>
                <w:sz w:val="24"/>
                <w:szCs w:val="24"/>
              </w:rPr>
              <w:t>制</w:t>
            </w:r>
            <w:r>
              <w:rPr>
                <w:rFonts w:hint="eastAsia" w:ascii="Times New Roman" w:hAnsi="Times New Roman" w:cs="Times New Roman"/>
                <w:color w:val="auto"/>
                <w:sz w:val="24"/>
                <w:szCs w:val="24"/>
                <w:lang w:eastAsia="zh-CN"/>
              </w:rPr>
              <w:t>，每班运行</w:t>
            </w:r>
            <w:r>
              <w:rPr>
                <w:rFonts w:hint="eastAsia" w:ascii="Times New Roman" w:hAnsi="Times New Roman" w:cs="Times New Roman"/>
                <w:color w:val="auto"/>
                <w:sz w:val="24"/>
                <w:szCs w:val="24"/>
                <w:lang w:val="en-US" w:eastAsia="zh-CN"/>
              </w:rPr>
              <w:t>8小时</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建设项目厂区</w:t>
            </w:r>
            <w:r>
              <w:rPr>
                <w:rFonts w:hint="default" w:ascii="Times New Roman" w:hAnsi="Times New Roman" w:cs="Times New Roman"/>
                <w:b/>
                <w:bCs/>
                <w:color w:val="auto"/>
                <w:sz w:val="24"/>
                <w:szCs w:val="24"/>
              </w:rPr>
              <w:t>平面布置</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总平面布置的指导原则是合理布局，节约用地，适当预留发展余地。厂区布置工艺物料流向顺畅，道路、管网连接顺畅。建筑物布局按建筑设计防火规范进行，满足生产、交通、防火的各种要求</w:t>
            </w:r>
            <w:r>
              <w:rPr>
                <w:rFonts w:hint="default" w:ascii="Times New Roman" w:hAnsi="Times New Roman" w:cs="Times New Roman"/>
                <w:color w:val="auto"/>
                <w:sz w:val="24"/>
                <w:szCs w:val="24"/>
                <w:lang w:eastAsia="zh-CN"/>
              </w:rPr>
              <w:t>。</w:t>
            </w:r>
          </w:p>
          <w:p>
            <w:pPr>
              <w:spacing w:line="360" w:lineRule="auto"/>
              <w:ind w:firstLine="480" w:firstLineChars="200"/>
              <w:rPr>
                <w:color w:val="auto"/>
              </w:rPr>
            </w:pPr>
            <w:r>
              <w:rPr>
                <w:rFonts w:hint="default" w:ascii="Times New Roman" w:hAnsi="Times New Roman" w:cs="Times New Roman"/>
                <w:color w:val="auto"/>
                <w:sz w:val="24"/>
                <w:szCs w:val="24"/>
              </w:rPr>
              <w:t>建设项目</w:t>
            </w:r>
            <w:r>
              <w:rPr>
                <w:rFonts w:hint="eastAsia" w:ascii="Times New Roman" w:hAnsi="Times New Roman" w:cs="Times New Roman"/>
                <w:b w:val="0"/>
                <w:bCs w:val="0"/>
                <w:color w:val="auto"/>
                <w:sz w:val="24"/>
                <w:szCs w:val="24"/>
                <w:lang w:val="en-US" w:eastAsia="zh-CN"/>
              </w:rPr>
              <w:t>厂区总平面布置示意图</w:t>
            </w:r>
            <w:r>
              <w:rPr>
                <w:rFonts w:hint="default" w:ascii="Times New Roman" w:hAnsi="Times New Roman" w:cs="Times New Roman"/>
                <w:color w:val="auto"/>
                <w:sz w:val="24"/>
                <w:szCs w:val="24"/>
              </w:rPr>
              <w:t>见附</w:t>
            </w:r>
            <w:r>
              <w:rPr>
                <w:rFonts w:hint="default" w:ascii="Times New Roman" w:hAnsi="Times New Roman" w:cs="Times New Roman"/>
                <w:b w:val="0"/>
                <w:bCs w:val="0"/>
                <w:color w:val="auto"/>
                <w:sz w:val="24"/>
                <w:szCs w:val="24"/>
              </w:rPr>
              <w:t>图</w:t>
            </w:r>
            <w:r>
              <w:rPr>
                <w:rFonts w:hint="eastAsia" w:ascii="Times New Roman" w:hAnsi="Times New Roman" w:cs="Times New Roman"/>
                <w:b w:val="0"/>
                <w:bCs w:val="0"/>
                <w:color w:val="auto"/>
                <w:sz w:val="24"/>
                <w:szCs w:val="24"/>
                <w:lang w:val="en-US" w:eastAsia="zh-CN"/>
              </w:rPr>
              <w:t>12，建设项目厂区雨污管网示意图见附图13，建设项目生产车间设备布局示意图见附图14</w:t>
            </w:r>
            <w:r>
              <w:rPr>
                <w:rFonts w:hint="default" w:ascii="Times New Roman" w:hAnsi="Times New Roman" w:cs="Times New Roman"/>
                <w:b w:val="0"/>
                <w:bCs w:val="0"/>
                <w:color w:val="auto"/>
                <w:sz w:val="24"/>
                <w:szCs w:val="24"/>
              </w:rPr>
              <w:t>。</w:t>
            </w:r>
          </w:p>
          <w:p>
            <w:pPr>
              <w:pStyle w:val="2"/>
              <w:ind w:left="0" w:leftChars="0" w:firstLine="0" w:firstLineChars="0"/>
              <w:rPr>
                <w:rFonts w:hint="eastAsia"/>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16" w:hRule="atLeast"/>
          <w:jc w:val="center"/>
        </w:trPr>
        <w:tc>
          <w:tcPr>
            <w:tcW w:w="426" w:type="dxa"/>
            <w:vAlign w:val="center"/>
          </w:tcPr>
          <w:p>
            <w:pPr>
              <w:jc w:val="center"/>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工艺流程和产污环节</w:t>
            </w:r>
          </w:p>
        </w:tc>
        <w:tc>
          <w:tcPr>
            <w:tcW w:w="901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工艺流程和产排污环节</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本项目产品：矿山电厂环保除尘设备、矿山皮带输送类配套设备（皮带输送清扫器和工业毛刷设备）。</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1.1矿山电厂环保除尘设备工艺流程及产污排污环节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color w:val="auto"/>
                <w:sz w:val="24"/>
                <w:szCs w:val="24"/>
                <w:lang w:val="en-US" w:eastAsia="zh-CN"/>
              </w:rPr>
              <w:t>矿山电厂环保除尘设备</w:t>
            </w:r>
            <w:r>
              <w:rPr>
                <w:rFonts w:hint="default" w:ascii="Times New Roman" w:hAnsi="Times New Roman" w:cs="Times New Roman"/>
                <w:b w:val="0"/>
                <w:bCs w:val="0"/>
                <w:color w:val="auto"/>
                <w:sz w:val="24"/>
                <w:szCs w:val="24"/>
                <w:lang w:val="en-US" w:eastAsia="zh-CN"/>
              </w:rPr>
              <w:t>生产工艺流程和产排污环节见图2.</w:t>
            </w:r>
            <w:r>
              <w:rPr>
                <w:rFonts w:hint="eastAsia"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szCs w:val="24"/>
                <w:lang w:eastAsia="zh-CN"/>
              </w:rPr>
            </w:pPr>
            <w:r>
              <w:rPr>
                <w:rFonts w:hint="default" w:ascii="Times New Roman" w:hAnsi="Times New Roman" w:cs="Times New Roman"/>
                <w:b w:val="0"/>
                <w:bCs w:val="0"/>
                <w:color w:val="auto"/>
                <w:sz w:val="24"/>
                <w:szCs w:val="24"/>
                <w:lang w:val="en-US" w:eastAsia="zh-CN"/>
              </w:rPr>
              <w:object>
                <v:shape id="_x0000_i1025" o:spt="75" type="#_x0000_t75" style="height:432.65pt;width:427pt;" o:ole="t" filled="f" o:preferrelative="t" stroked="f" coordsize="21600,21600">
                  <v:path/>
                  <v:fill on="f" focussize="0,0"/>
                  <v:stroke on="f"/>
                  <v:imagedata r:id="rId8" o:title=""/>
                  <o:lock v:ext="edit" aspectratio="t"/>
                  <w10:wrap type="none"/>
                  <w10:anchorlock/>
                </v:shape>
                <o:OLEObject Type="Embed" ProgID="RFFlow4" ShapeID="_x0000_i1025" DrawAspect="Content" ObjectID="_1468075725" r:id="rId7">
                  <o:LockedField>false</o:LockedField>
                </o:OLEObject>
              </w:object>
            </w:r>
          </w:p>
          <w:p>
            <w:pPr>
              <w:overflowPunct w:val="0"/>
              <w:autoSpaceDE w:val="0"/>
              <w:autoSpaceDN w:val="0"/>
              <w:adjustRightInd w:val="0"/>
              <w:snapToGrid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图2.</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矿山电厂环保除尘设备</w:t>
            </w:r>
            <w:r>
              <w:rPr>
                <w:rFonts w:hint="default" w:ascii="Times New Roman" w:hAnsi="Times New Roman" w:eastAsia="宋体" w:cs="Times New Roman"/>
                <w:b/>
                <w:bCs/>
                <w:color w:val="auto"/>
                <w:sz w:val="24"/>
                <w:szCs w:val="24"/>
                <w:lang w:val="en-US" w:eastAsia="zh-CN"/>
              </w:rPr>
              <w:t>生产工艺流程和产排污环节</w:t>
            </w:r>
          </w:p>
          <w:p>
            <w:pPr>
              <w:overflowPunct w:val="0"/>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矿山电厂环保除尘设备</w:t>
            </w:r>
            <w:r>
              <w:rPr>
                <w:rFonts w:hint="default" w:ascii="Times New Roman" w:hAnsi="Times New Roman" w:eastAsia="宋体" w:cs="Times New Roman"/>
                <w:b/>
                <w:bCs/>
                <w:color w:val="auto"/>
                <w:sz w:val="24"/>
                <w:szCs w:val="24"/>
                <w:lang w:val="en-US" w:eastAsia="zh-CN"/>
              </w:rPr>
              <w:t>生产</w:t>
            </w:r>
            <w:r>
              <w:rPr>
                <w:rFonts w:hint="default" w:ascii="Times New Roman" w:hAnsi="Times New Roman" w:eastAsia="宋体" w:cs="Times New Roman"/>
                <w:b/>
                <w:bCs/>
                <w:color w:val="auto"/>
                <w:sz w:val="24"/>
                <w:szCs w:val="24"/>
                <w:lang w:eastAsia="zh-CN"/>
              </w:rPr>
              <w:t>工艺流程和产排污环节</w:t>
            </w:r>
            <w:r>
              <w:rPr>
                <w:rFonts w:hint="default" w:ascii="Times New Roman" w:hAnsi="Times New Roman" w:eastAsia="宋体" w:cs="Times New Roman"/>
                <w:b/>
                <w:bCs/>
                <w:color w:val="auto"/>
                <w:sz w:val="24"/>
                <w:szCs w:val="24"/>
                <w:lang w:val="en-US" w:eastAsia="zh-CN"/>
              </w:rPr>
              <w:t>简述</w:t>
            </w:r>
            <w:r>
              <w:rPr>
                <w:rFonts w:hint="eastAsia" w:ascii="Times New Roman" w:hAnsi="Times New Roman" w:eastAsia="宋体" w:cs="Times New Roman"/>
                <w:b/>
                <w:bCs/>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激光切割</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w:t>
            </w:r>
            <w:r>
              <w:rPr>
                <w:rFonts w:hint="eastAsia" w:ascii="Times New Roman" w:hAnsi="Times New Roman" w:eastAsia="宋体" w:cs="Times New Roman"/>
                <w:color w:val="auto"/>
                <w:sz w:val="24"/>
                <w:szCs w:val="24"/>
                <w:lang w:val="en-US" w:eastAsia="zh-CN"/>
              </w:rPr>
              <w:t>激光</w:t>
            </w:r>
            <w:r>
              <w:rPr>
                <w:rFonts w:hint="default" w:ascii="Times New Roman" w:hAnsi="Times New Roman" w:eastAsia="宋体" w:cs="Times New Roman"/>
                <w:color w:val="auto"/>
                <w:sz w:val="24"/>
                <w:szCs w:val="24"/>
                <w:lang w:val="en-US" w:eastAsia="zh-CN"/>
              </w:rPr>
              <w:t>切割机将</w:t>
            </w:r>
            <w:r>
              <w:rPr>
                <w:rFonts w:hint="eastAsia" w:ascii="Times New Roman" w:hAnsi="Times New Roman" w:eastAsia="宋体" w:cs="Times New Roman"/>
                <w:color w:val="auto"/>
                <w:sz w:val="24"/>
                <w:szCs w:val="24"/>
                <w:lang w:val="en-US" w:eastAsia="zh-CN"/>
              </w:rPr>
              <w:t>钢材</w:t>
            </w:r>
            <w:r>
              <w:rPr>
                <w:rFonts w:hint="default" w:ascii="Times New Roman" w:hAnsi="Times New Roman" w:eastAsia="宋体" w:cs="Times New Roman"/>
                <w:color w:val="auto"/>
                <w:sz w:val="24"/>
                <w:szCs w:val="24"/>
                <w:lang w:val="en-US" w:eastAsia="zh-CN"/>
              </w:rPr>
              <w:t>切割成预定的尺寸规格。</w:t>
            </w:r>
            <w:r>
              <w:rPr>
                <w:rFonts w:hint="eastAsia" w:ascii="Times New Roman" w:hAnsi="Times New Roman" w:eastAsia="宋体" w:cs="Times New Roman"/>
                <w:color w:val="auto"/>
                <w:sz w:val="24"/>
                <w:szCs w:val="24"/>
                <w:lang w:val="en-US" w:eastAsia="zh-CN"/>
              </w:rPr>
              <w:t>激光切割</w:t>
            </w:r>
            <w:r>
              <w:rPr>
                <w:rFonts w:hint="default" w:ascii="Times New Roman" w:hAnsi="Times New Roman" w:eastAsia="宋体" w:cs="Times New Roman"/>
                <w:color w:val="auto"/>
                <w:sz w:val="24"/>
                <w:szCs w:val="24"/>
                <w:lang w:val="en-US" w:eastAsia="zh-CN"/>
              </w:rPr>
              <w:t>过程中会产生</w:t>
            </w:r>
            <w:r>
              <w:rPr>
                <w:rFonts w:hint="eastAsia" w:ascii="Times New Roman" w:hAnsi="Times New Roman" w:eastAsia="宋体" w:cs="Times New Roman"/>
                <w:color w:val="auto"/>
                <w:sz w:val="24"/>
                <w:szCs w:val="24"/>
                <w:lang w:val="en-US" w:eastAsia="zh-CN"/>
              </w:rPr>
              <w:t>设备噪声（N</w:t>
            </w:r>
            <w:r>
              <w:rPr>
                <w:rFonts w:hint="eastAsia" w:ascii="Times New Roman" w:hAnsi="Times New Roman" w:eastAsia="宋体" w:cs="Times New Roman"/>
                <w:color w:val="auto"/>
                <w:sz w:val="24"/>
                <w:szCs w:val="24"/>
                <w:vertAlign w:val="subscript"/>
                <w:lang w:val="en-US" w:eastAsia="zh-CN"/>
              </w:rPr>
              <w:t>1-1</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vertAlign w:val="subscript"/>
                <w:lang w:val="en-US" w:eastAsia="zh-CN"/>
              </w:rPr>
              <w:t>1</w:t>
            </w:r>
            <w:r>
              <w:rPr>
                <w:rFonts w:hint="eastAsia" w:ascii="Times New Roman" w:hAnsi="Times New Roman" w:eastAsia="宋体" w:cs="Times New Roman"/>
                <w:color w:val="auto"/>
                <w:sz w:val="24"/>
                <w:szCs w:val="24"/>
                <w:vertAlign w:val="subscript"/>
                <w:lang w:val="en-US" w:eastAsia="zh-CN"/>
              </w:rPr>
              <w:t>-1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下脚料（</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1</w:t>
            </w:r>
            <w:r>
              <w:rPr>
                <w:rFonts w:hint="eastAsia" w:ascii="Times New Roman" w:hAnsi="Times New Roman" w:eastAsia="宋体" w:cs="Times New Roman"/>
                <w:color w:val="auto"/>
                <w:sz w:val="24"/>
                <w:szCs w:val="24"/>
                <w:vertAlign w:val="subscript"/>
                <w:lang w:val="en-US" w:eastAsia="zh-CN"/>
              </w:rPr>
              <w:t>-1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t>机加工</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对</w:t>
            </w:r>
            <w:r>
              <w:rPr>
                <w:rFonts w:hint="eastAsia" w:ascii="Times New Roman" w:hAnsi="Times New Roman" w:eastAsia="宋体" w:cs="Times New Roman"/>
                <w:color w:val="auto"/>
                <w:sz w:val="24"/>
                <w:szCs w:val="24"/>
                <w:lang w:val="en-US" w:eastAsia="zh-CN"/>
              </w:rPr>
              <w:t>激光切割</w:t>
            </w:r>
            <w:r>
              <w:rPr>
                <w:rFonts w:hint="eastAsia" w:ascii="Times New Roman" w:hAnsi="Times New Roman" w:eastAsia="宋体" w:cs="Times New Roman"/>
                <w:color w:val="auto"/>
                <w:sz w:val="24"/>
                <w:szCs w:val="24"/>
                <w:lang w:eastAsia="zh-CN"/>
              </w:rPr>
              <w:t>后的工件利用车床、摇臂钻床、精密铣床等加工设备按照设计图纸对其进行机加工。此工序产生</w:t>
            </w:r>
            <w:r>
              <w:rPr>
                <w:rFonts w:hint="eastAsia" w:ascii="Times New Roman" w:hAnsi="Times New Roman" w:eastAsia="宋体" w:cs="Times New Roman"/>
                <w:color w:val="auto"/>
                <w:sz w:val="24"/>
                <w:szCs w:val="24"/>
                <w:lang w:val="en-US" w:eastAsia="zh-CN"/>
              </w:rPr>
              <w:t>设备噪声（N</w:t>
            </w:r>
            <w:r>
              <w:rPr>
                <w:rFonts w:hint="eastAsia" w:ascii="Times New Roman" w:hAnsi="Times New Roman" w:eastAsia="宋体" w:cs="Times New Roman"/>
                <w:color w:val="auto"/>
                <w:sz w:val="24"/>
                <w:szCs w:val="24"/>
                <w:vertAlign w:val="subscript"/>
                <w:lang w:val="en-US" w:eastAsia="zh-CN"/>
              </w:rPr>
              <w:t>1-2</w:t>
            </w:r>
            <w:r>
              <w:rPr>
                <w:rFonts w:hint="eastAsia" w:ascii="Times New Roman" w:hAnsi="Times New Roman" w:eastAsia="宋体" w:cs="Times New Roman"/>
                <w:color w:val="auto"/>
                <w:sz w:val="24"/>
                <w:szCs w:val="24"/>
                <w:lang w:val="en-US" w:eastAsia="zh-CN"/>
              </w:rPr>
              <w:t>）、下脚料（</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1</w:t>
            </w:r>
            <w:r>
              <w:rPr>
                <w:rFonts w:hint="eastAsia" w:ascii="Times New Roman" w:hAnsi="Times New Roman" w:eastAsia="宋体" w:cs="Times New Roman"/>
                <w:color w:val="auto"/>
                <w:sz w:val="24"/>
                <w:szCs w:val="24"/>
                <w:vertAlign w:val="subscript"/>
                <w:lang w:val="en-US" w:eastAsia="zh-CN"/>
              </w:rPr>
              <w:t>-1</w:t>
            </w:r>
            <w:r>
              <w:rPr>
                <w:rFonts w:hint="eastAsia" w:ascii="Times New Roman" w:hAnsi="Times New Roman" w:eastAsia="宋体" w:cs="Times New Roman"/>
                <w:color w:val="auto"/>
                <w:sz w:val="24"/>
                <w:szCs w:val="24"/>
                <w:lang w:val="en-US" w:eastAsia="zh-CN"/>
              </w:rPr>
              <w:t>）、废机油（S</w:t>
            </w:r>
            <w:r>
              <w:rPr>
                <w:rFonts w:hint="default" w:ascii="Times New Roman" w:hAnsi="Times New Roman" w:eastAsia="宋体" w:cs="Times New Roman"/>
                <w:color w:val="auto"/>
                <w:sz w:val="24"/>
                <w:szCs w:val="24"/>
                <w:vertAlign w:val="subscript"/>
                <w:lang w:val="en-US" w:eastAsia="zh-CN"/>
              </w:rPr>
              <w:t>1</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废切削液（S</w:t>
            </w:r>
            <w:r>
              <w:rPr>
                <w:rFonts w:hint="eastAsia" w:ascii="Times New Roman" w:hAnsi="Times New Roman" w:eastAsia="宋体" w:cs="Times New Roman"/>
                <w:color w:val="auto"/>
                <w:sz w:val="24"/>
                <w:szCs w:val="24"/>
                <w:vertAlign w:val="subscript"/>
                <w:lang w:val="en-US" w:eastAsia="zh-CN"/>
              </w:rPr>
              <w:t>1-3</w:t>
            </w:r>
            <w:r>
              <w:rPr>
                <w:rFonts w:hint="eastAsia" w:ascii="Times New Roman" w:hAnsi="Times New Roman" w:eastAsia="宋体" w:cs="Times New Roman"/>
                <w:color w:val="auto"/>
                <w:sz w:val="24"/>
                <w:szCs w:val="24"/>
                <w:lang w:val="en-US" w:eastAsia="zh-CN"/>
              </w:rPr>
              <w:t>）和废包装桶（S</w:t>
            </w:r>
            <w:r>
              <w:rPr>
                <w:rFonts w:hint="eastAsia" w:ascii="Times New Roman" w:hAnsi="Times New Roman" w:eastAsia="宋体" w:cs="Times New Roman"/>
                <w:color w:val="auto"/>
                <w:sz w:val="24"/>
                <w:szCs w:val="24"/>
                <w:vertAlign w:val="subscript"/>
                <w:lang w:val="en-US" w:eastAsia="zh-CN"/>
              </w:rPr>
              <w:t>1-4</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rPr>
              <w:t>④</w:t>
            </w:r>
            <w:r>
              <w:rPr>
                <w:rFonts w:hint="default" w:ascii="Times New Roman" w:hAnsi="Times New Roman" w:eastAsia="宋体" w:cs="Times New Roman"/>
                <w:color w:val="auto"/>
                <w:sz w:val="24"/>
                <w:szCs w:val="24"/>
                <w:lang w:eastAsia="zh-CN"/>
              </w:rPr>
              <w:t>焊接</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将</w:t>
            </w:r>
            <w:r>
              <w:rPr>
                <w:rFonts w:hint="default" w:ascii="Times New Roman" w:hAnsi="Times New Roman" w:eastAsia="宋体" w:cs="Times New Roman"/>
                <w:color w:val="auto"/>
                <w:sz w:val="24"/>
                <w:szCs w:val="24"/>
                <w:lang w:eastAsia="zh-CN"/>
              </w:rPr>
              <w:t>加工后的工件利用</w:t>
            </w:r>
            <w:r>
              <w:rPr>
                <w:rFonts w:hint="eastAsia" w:ascii="Times New Roman" w:hAnsi="Times New Roman" w:eastAsia="宋体" w:cs="Times New Roman"/>
                <w:color w:val="auto"/>
                <w:sz w:val="24"/>
                <w:szCs w:val="24"/>
                <w:lang w:eastAsia="zh-CN"/>
              </w:rPr>
              <w:t>二氧化碳气体保护焊机按照设计图纸</w:t>
            </w:r>
            <w:r>
              <w:rPr>
                <w:rFonts w:hint="default" w:ascii="Times New Roman" w:hAnsi="Times New Roman" w:eastAsia="宋体" w:cs="Times New Roman"/>
                <w:color w:val="auto"/>
                <w:sz w:val="24"/>
                <w:szCs w:val="24"/>
                <w:lang w:eastAsia="zh-CN"/>
              </w:rPr>
              <w:t>进行焊接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此工序产生设备噪声</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1-3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颗粒物（</w:t>
            </w:r>
            <w:r>
              <w:rPr>
                <w:rFonts w:hint="eastAsia"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vertAlign w:val="subscript"/>
                <w:lang w:val="en-US" w:eastAsia="zh-CN"/>
              </w:rPr>
              <w:t>1-2</w:t>
            </w:r>
            <w:r>
              <w:rPr>
                <w:rFonts w:hint="eastAsia" w:ascii="Times New Roman" w:hAnsi="Times New Roman" w:eastAsia="宋体" w:cs="Times New Roman"/>
                <w:color w:val="auto"/>
                <w:sz w:val="24"/>
                <w:szCs w:val="24"/>
                <w:lang w:eastAsia="zh-CN"/>
              </w:rPr>
              <w:t>）和焊渣（</w:t>
            </w:r>
            <w:r>
              <w:rPr>
                <w:rFonts w:hint="eastAsia"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vertAlign w:val="subscript"/>
                <w:lang w:val="en-US" w:eastAsia="zh-CN"/>
              </w:rPr>
              <w:t>1-5</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pPr>
              <w:overflowPunct w:val="0"/>
              <w:autoSpaceDE w:val="0"/>
              <w:autoSpaceDN w:val="0"/>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⑤抛丸</w:t>
            </w:r>
          </w:p>
          <w:p>
            <w:pPr>
              <w:overflowPunct w:val="0"/>
              <w:autoSpaceDE w:val="0"/>
              <w:autoSpaceDN w:val="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抛丸是利用高速旋转的叶轮把小钢丸或者小铁丸抛掷出去高速撞击零件表面，故可以除去零件表面的氧化层。此工序产生噪声</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N</w:t>
            </w:r>
            <w:r>
              <w:rPr>
                <w:rFonts w:hint="default" w:ascii="Times New Roman" w:hAnsi="Times New Roman" w:cs="Times New Roman"/>
                <w:color w:val="auto"/>
                <w:sz w:val="24"/>
                <w:szCs w:val="24"/>
                <w:vertAlign w:val="subscript"/>
                <w:lang w:val="en-US" w:eastAsia="zh-CN"/>
              </w:rPr>
              <w:t>1-4</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、颗粒物</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G</w:t>
            </w:r>
            <w:r>
              <w:rPr>
                <w:rFonts w:hint="default" w:ascii="Times New Roman" w:hAnsi="Times New Roman" w:cs="Times New Roman"/>
                <w:color w:val="auto"/>
                <w:sz w:val="24"/>
                <w:szCs w:val="24"/>
                <w:vertAlign w:val="subscript"/>
                <w:lang w:val="en-US" w:eastAsia="zh-CN"/>
              </w:rPr>
              <w:t>1-3</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废</w:t>
            </w:r>
            <w:r>
              <w:rPr>
                <w:rFonts w:hint="eastAsia" w:ascii="Times New Roman" w:hAnsi="Times New Roman" w:cs="Times New Roman"/>
                <w:color w:val="auto"/>
                <w:sz w:val="24"/>
                <w:szCs w:val="24"/>
                <w:lang w:val="en-US" w:eastAsia="zh-CN"/>
              </w:rPr>
              <w:t>抛丸渣（</w:t>
            </w:r>
            <w:r>
              <w:rPr>
                <w:rFonts w:hint="default" w:ascii="Times New Roman" w:hAnsi="Times New Roman" w:cs="Times New Roman"/>
                <w:color w:val="auto"/>
                <w:sz w:val="24"/>
                <w:szCs w:val="24"/>
                <w:lang w:val="en-US" w:eastAsia="zh-CN"/>
              </w:rPr>
              <w:t>S</w:t>
            </w:r>
            <w:r>
              <w:rPr>
                <w:rFonts w:hint="default" w:ascii="Times New Roman" w:hAnsi="Times New Roman" w:cs="Times New Roman"/>
                <w:color w:val="auto"/>
                <w:sz w:val="24"/>
                <w:szCs w:val="24"/>
                <w:vertAlign w:val="subscript"/>
                <w:lang w:val="en-US" w:eastAsia="zh-CN"/>
              </w:rPr>
              <w:t>1-</w:t>
            </w:r>
            <w:r>
              <w:rPr>
                <w:rFonts w:hint="eastAsia" w:ascii="Times New Roman" w:hAnsi="Times New Roman" w:cs="Times New Roman"/>
                <w:color w:val="auto"/>
                <w:sz w:val="24"/>
                <w:szCs w:val="24"/>
                <w:vertAlign w:val="subscript"/>
                <w:lang w:val="en-US" w:eastAsia="zh-CN"/>
              </w:rPr>
              <w:t>6</w:t>
            </w:r>
            <w:r>
              <w:rPr>
                <w:rFonts w:hint="eastAsia" w:ascii="Times New Roman" w:hAnsi="Times New Roman" w:cs="Times New Roman"/>
                <w:color w:val="auto"/>
                <w:sz w:val="24"/>
                <w:szCs w:val="24"/>
                <w:lang w:val="en-US" w:eastAsia="zh-CN"/>
              </w:rPr>
              <w:t>）和废包装袋（S</w:t>
            </w:r>
            <w:r>
              <w:rPr>
                <w:rFonts w:hint="eastAsia" w:ascii="Times New Roman" w:hAnsi="Times New Roman" w:cs="Times New Roman"/>
                <w:color w:val="auto"/>
                <w:sz w:val="24"/>
                <w:szCs w:val="24"/>
                <w:vertAlign w:val="subscript"/>
                <w:lang w:val="en-US" w:eastAsia="zh-CN"/>
              </w:rPr>
              <w:t>1-7</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⑥喷粉</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喷粉</w:t>
            </w:r>
            <w:r>
              <w:rPr>
                <w:rFonts w:hint="default" w:ascii="Times New Roman" w:hAnsi="Times New Roman" w:eastAsia="宋体" w:cs="Times New Roman"/>
                <w:b w:val="0"/>
                <w:bCs/>
                <w:color w:val="auto"/>
                <w:kern w:val="24"/>
                <w:sz w:val="24"/>
                <w:szCs w:val="24"/>
                <w:lang w:val="en-US" w:eastAsia="zh-CN" w:bidi="ar-SA"/>
              </w:rPr>
              <w:t>是将</w:t>
            </w:r>
            <w:r>
              <w:rPr>
                <w:rFonts w:hint="eastAsia" w:ascii="Times New Roman" w:hAnsi="Times New Roman" w:eastAsia="宋体" w:cs="Times New Roman"/>
                <w:color w:val="auto"/>
                <w:sz w:val="24"/>
                <w:szCs w:val="24"/>
                <w:lang w:val="en-US" w:eastAsia="zh-CN"/>
              </w:rPr>
              <w:t>粉末涂料</w:t>
            </w:r>
            <w:r>
              <w:rPr>
                <w:rFonts w:hint="default" w:ascii="Times New Roman" w:hAnsi="Times New Roman" w:eastAsia="宋体" w:cs="Times New Roman"/>
                <w:b w:val="0"/>
                <w:bCs/>
                <w:color w:val="auto"/>
                <w:kern w:val="24"/>
                <w:sz w:val="24"/>
                <w:szCs w:val="24"/>
                <w:lang w:val="en-US" w:eastAsia="zh-CN" w:bidi="ar-SA"/>
              </w:rPr>
              <w:t>喷涂在</w:t>
            </w:r>
            <w:r>
              <w:rPr>
                <w:rFonts w:hint="default" w:ascii="Times New Roman" w:hAnsi="Times New Roman" w:eastAsia="宋体" w:cs="Times New Roman"/>
                <w:b w:val="0"/>
                <w:bCs/>
                <w:color w:val="auto"/>
                <w:kern w:val="24"/>
                <w:sz w:val="24"/>
                <w:szCs w:val="24"/>
                <w:lang w:val="en-US" w:eastAsia="zh-CN" w:bidi="ar-SA"/>
              </w:rPr>
              <w:fldChar w:fldCharType="begin"/>
            </w:r>
            <w:r>
              <w:rPr>
                <w:rFonts w:hint="default" w:ascii="Times New Roman" w:hAnsi="Times New Roman" w:eastAsia="宋体" w:cs="Times New Roman"/>
                <w:b w:val="0"/>
                <w:bCs/>
                <w:color w:val="auto"/>
                <w:kern w:val="24"/>
                <w:sz w:val="24"/>
                <w:szCs w:val="24"/>
                <w:lang w:val="en-US" w:eastAsia="zh-CN" w:bidi="ar-SA"/>
              </w:rPr>
              <w:instrText xml:space="preserve">HYPERLINK"https://baike.baidu.com/item/%E9%9B%B6%E4%BB%B6/33803"\t"https://baike.baidu.com/item/%E5%96%B7%E5%A1%91/_blank"</w:instrText>
            </w:r>
            <w:r>
              <w:rPr>
                <w:rFonts w:hint="default" w:ascii="Times New Roman" w:hAnsi="Times New Roman" w:eastAsia="宋体" w:cs="Times New Roman"/>
                <w:b w:val="0"/>
                <w:bCs/>
                <w:color w:val="auto"/>
                <w:kern w:val="24"/>
                <w:sz w:val="24"/>
                <w:szCs w:val="24"/>
                <w:lang w:val="en-US" w:eastAsia="zh-CN" w:bidi="ar-SA"/>
              </w:rPr>
              <w:fldChar w:fldCharType="separate"/>
            </w:r>
            <w:r>
              <w:rPr>
                <w:rFonts w:hint="default" w:ascii="Times New Roman" w:hAnsi="Times New Roman" w:eastAsia="宋体" w:cs="Times New Roman"/>
                <w:b w:val="0"/>
                <w:bCs/>
                <w:color w:val="auto"/>
                <w:kern w:val="24"/>
                <w:sz w:val="24"/>
                <w:szCs w:val="24"/>
                <w:lang w:val="en-US" w:eastAsia="zh-CN" w:bidi="ar-SA"/>
              </w:rPr>
              <w:t>零件</w:t>
            </w:r>
            <w:r>
              <w:rPr>
                <w:rFonts w:hint="default" w:ascii="Times New Roman" w:hAnsi="Times New Roman" w:eastAsia="宋体" w:cs="Times New Roman"/>
                <w:b w:val="0"/>
                <w:bCs/>
                <w:color w:val="auto"/>
                <w:kern w:val="24"/>
                <w:sz w:val="24"/>
                <w:szCs w:val="24"/>
                <w:lang w:val="en-US" w:eastAsia="zh-CN" w:bidi="ar-SA"/>
              </w:rPr>
              <w:fldChar w:fldCharType="end"/>
            </w:r>
            <w:r>
              <w:rPr>
                <w:rFonts w:hint="default" w:ascii="Times New Roman" w:hAnsi="Times New Roman" w:eastAsia="宋体" w:cs="Times New Roman"/>
                <w:b w:val="0"/>
                <w:bCs/>
                <w:color w:val="auto"/>
                <w:kern w:val="24"/>
                <w:sz w:val="24"/>
                <w:szCs w:val="24"/>
                <w:lang w:val="en-US" w:eastAsia="zh-CN" w:bidi="ar-SA"/>
              </w:rPr>
              <w:t>上的一种</w:t>
            </w:r>
            <w:r>
              <w:rPr>
                <w:rFonts w:hint="default" w:ascii="Times New Roman" w:hAnsi="Times New Roman" w:eastAsia="宋体" w:cs="Times New Roman"/>
                <w:b w:val="0"/>
                <w:bCs/>
                <w:color w:val="auto"/>
                <w:kern w:val="24"/>
                <w:sz w:val="24"/>
                <w:szCs w:val="24"/>
                <w:lang w:val="en-US" w:eastAsia="zh-CN" w:bidi="ar-SA"/>
              </w:rPr>
              <w:fldChar w:fldCharType="begin"/>
            </w:r>
            <w:r>
              <w:rPr>
                <w:rFonts w:hint="default" w:ascii="Times New Roman" w:hAnsi="Times New Roman" w:eastAsia="宋体" w:cs="Times New Roman"/>
                <w:b w:val="0"/>
                <w:bCs/>
                <w:color w:val="auto"/>
                <w:kern w:val="24"/>
                <w:sz w:val="24"/>
                <w:szCs w:val="24"/>
                <w:lang w:val="en-US" w:eastAsia="zh-CN" w:bidi="ar-SA"/>
              </w:rPr>
              <w:instrText xml:space="preserve">HYPERLINK"https://baike.baidu.com/item/%E8%A1%A8%E9%9D%A2"\t"https://baike.baidu.com/item/%E5%96%B7%E5%A1%91/_blank"</w:instrText>
            </w:r>
            <w:r>
              <w:rPr>
                <w:rFonts w:hint="default" w:ascii="Times New Roman" w:hAnsi="Times New Roman" w:eastAsia="宋体" w:cs="Times New Roman"/>
                <w:b w:val="0"/>
                <w:bCs/>
                <w:color w:val="auto"/>
                <w:kern w:val="24"/>
                <w:sz w:val="24"/>
                <w:szCs w:val="24"/>
                <w:lang w:val="en-US" w:eastAsia="zh-CN" w:bidi="ar-SA"/>
              </w:rPr>
              <w:fldChar w:fldCharType="separate"/>
            </w:r>
            <w:r>
              <w:rPr>
                <w:rFonts w:hint="default" w:ascii="Times New Roman" w:hAnsi="Times New Roman" w:eastAsia="宋体" w:cs="Times New Roman"/>
                <w:b w:val="0"/>
                <w:bCs/>
                <w:color w:val="auto"/>
                <w:kern w:val="24"/>
                <w:sz w:val="24"/>
                <w:szCs w:val="24"/>
                <w:lang w:val="en-US" w:eastAsia="zh-CN" w:bidi="ar-SA"/>
              </w:rPr>
              <w:t>表面</w:t>
            </w:r>
            <w:r>
              <w:rPr>
                <w:rFonts w:hint="default" w:ascii="Times New Roman" w:hAnsi="Times New Roman" w:eastAsia="宋体" w:cs="Times New Roman"/>
                <w:b w:val="0"/>
                <w:bCs/>
                <w:color w:val="auto"/>
                <w:kern w:val="24"/>
                <w:sz w:val="24"/>
                <w:szCs w:val="24"/>
                <w:lang w:val="en-US" w:eastAsia="zh-CN" w:bidi="ar-SA"/>
              </w:rPr>
              <w:fldChar w:fldCharType="end"/>
            </w:r>
            <w:r>
              <w:rPr>
                <w:rFonts w:hint="default" w:ascii="Times New Roman" w:hAnsi="Times New Roman" w:eastAsia="宋体" w:cs="Times New Roman"/>
                <w:b w:val="0"/>
                <w:bCs/>
                <w:color w:val="auto"/>
                <w:kern w:val="24"/>
                <w:sz w:val="24"/>
                <w:szCs w:val="24"/>
                <w:lang w:val="en-US" w:eastAsia="zh-CN" w:bidi="ar-SA"/>
              </w:rPr>
              <w:t>处理方法。其工作原理在于将</w:t>
            </w:r>
            <w:r>
              <w:rPr>
                <w:rFonts w:hint="eastAsia" w:ascii="Times New Roman" w:hAnsi="Times New Roman" w:eastAsia="宋体" w:cs="Times New Roman"/>
                <w:color w:val="auto"/>
                <w:sz w:val="24"/>
                <w:szCs w:val="24"/>
                <w:lang w:val="en-US" w:eastAsia="zh-CN"/>
              </w:rPr>
              <w:t>粉末涂料</w:t>
            </w:r>
            <w:r>
              <w:rPr>
                <w:rFonts w:hint="default" w:ascii="Times New Roman" w:hAnsi="Times New Roman" w:eastAsia="宋体" w:cs="Times New Roman"/>
                <w:b w:val="0"/>
                <w:bCs/>
                <w:color w:val="auto"/>
                <w:kern w:val="24"/>
                <w:sz w:val="24"/>
                <w:szCs w:val="24"/>
                <w:lang w:val="en-US" w:eastAsia="zh-CN" w:bidi="ar-SA"/>
              </w:rPr>
              <w:t>通过高压静电设备充电，在电场的作用下，将涂料喷涂到工件的表面，</w:t>
            </w:r>
            <w:r>
              <w:rPr>
                <w:rFonts w:hint="eastAsia" w:ascii="Times New Roman" w:hAnsi="Times New Roman" w:eastAsia="宋体" w:cs="Times New Roman"/>
                <w:color w:val="auto"/>
                <w:sz w:val="24"/>
                <w:szCs w:val="24"/>
                <w:lang w:val="en-US" w:eastAsia="zh-CN"/>
              </w:rPr>
              <w:t>粉末涂料</w:t>
            </w:r>
            <w:r>
              <w:rPr>
                <w:rFonts w:hint="default" w:ascii="Times New Roman" w:hAnsi="Times New Roman" w:eastAsia="宋体" w:cs="Times New Roman"/>
                <w:b w:val="0"/>
                <w:bCs/>
                <w:color w:val="auto"/>
                <w:kern w:val="24"/>
                <w:sz w:val="24"/>
                <w:szCs w:val="24"/>
                <w:lang w:val="en-US" w:eastAsia="zh-CN" w:bidi="ar-SA"/>
              </w:rPr>
              <w:t>会被均匀地吸附在工件表面，形成粉状的涂层；而粉状涂层经过高温烘烤后流平固化，塑料颗粒会融化成一层致密的效果各异的最终保护涂层</w:t>
            </w:r>
            <w:r>
              <w:rPr>
                <w:rFonts w:hint="eastAsia" w:ascii="Times New Roman" w:hAnsi="Times New Roman" w:eastAsia="宋体" w:cs="Times New Roman"/>
                <w:b w:val="0"/>
                <w:bCs/>
                <w:color w:val="auto"/>
                <w:kern w:val="24"/>
                <w:sz w:val="24"/>
                <w:szCs w:val="24"/>
                <w:lang w:val="en-US" w:eastAsia="zh-CN" w:bidi="ar-SA"/>
              </w:rPr>
              <w:t>，</w:t>
            </w:r>
            <w:r>
              <w:rPr>
                <w:rFonts w:hint="default" w:ascii="Times New Roman" w:hAnsi="Times New Roman" w:eastAsia="宋体" w:cs="Times New Roman"/>
                <w:b w:val="0"/>
                <w:bCs/>
                <w:color w:val="auto"/>
                <w:kern w:val="24"/>
                <w:sz w:val="24"/>
                <w:szCs w:val="24"/>
                <w:lang w:val="en-US" w:eastAsia="zh-CN" w:bidi="ar-SA"/>
              </w:rPr>
              <w:t>牢牢附着在工件表面。</w:t>
            </w:r>
            <w:r>
              <w:rPr>
                <w:rFonts w:hint="default" w:ascii="Times New Roman" w:hAnsi="Times New Roman" w:eastAsia="宋体" w:cs="Times New Roman"/>
                <w:color w:val="auto"/>
                <w:sz w:val="24"/>
                <w:szCs w:val="24"/>
                <w:lang w:eastAsia="zh-CN"/>
              </w:rPr>
              <w:t>此工序产生设备噪声</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N</w:t>
            </w:r>
            <w:r>
              <w:rPr>
                <w:rFonts w:hint="default" w:ascii="Times New Roman" w:hAnsi="Times New Roman" w:eastAsia="宋体" w:cs="Times New Roman"/>
                <w:color w:val="auto"/>
                <w:sz w:val="24"/>
                <w:szCs w:val="24"/>
                <w:vertAlign w:val="subscript"/>
                <w:lang w:val="en-US" w:eastAsia="zh-CN"/>
              </w:rPr>
              <w:t>1-5</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vertAlign w:val="subscript"/>
                <w:lang w:val="en-US" w:eastAsia="zh-CN"/>
              </w:rPr>
              <w:t>1-4</w:t>
            </w:r>
            <w:r>
              <w:rPr>
                <w:rFonts w:hint="eastAsia" w:ascii="Times New Roman" w:hAnsi="Times New Roman" w:eastAsia="宋体" w:cs="Times New Roman"/>
                <w:color w:val="auto"/>
                <w:sz w:val="24"/>
                <w:szCs w:val="24"/>
                <w:lang w:eastAsia="zh-CN"/>
              </w:rPr>
              <w:t>）和废包装箱（</w:t>
            </w:r>
            <w:r>
              <w:rPr>
                <w:rFonts w:hint="eastAsia"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vertAlign w:val="subscript"/>
                <w:lang w:val="en-US" w:eastAsia="zh-CN"/>
              </w:rPr>
              <w:t>1-8</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pPr>
              <w:overflowPunct w:val="0"/>
              <w:autoSpaceDE w:val="0"/>
              <w:autoSpaceDN w:val="0"/>
              <w:adjustRightInd w:val="0"/>
              <w:snapToGrid w:val="0"/>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eastAsia="zh-CN"/>
              </w:rPr>
              <w:t>⑦</w:t>
            </w:r>
            <w:r>
              <w:rPr>
                <w:rFonts w:hint="eastAsia" w:ascii="宋体" w:hAnsi="宋体" w:eastAsia="宋体" w:cs="宋体"/>
                <w:b w:val="0"/>
                <w:bCs w:val="0"/>
                <w:color w:val="auto"/>
                <w:sz w:val="24"/>
                <w:szCs w:val="24"/>
                <w:lang w:val="en-US" w:eastAsia="zh-CN"/>
              </w:rPr>
              <w:t>固化</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ascii="宋体" w:hAnsi="宋体" w:eastAsia="宋体" w:cs="宋体"/>
                <w:color w:val="auto"/>
                <w:sz w:val="24"/>
                <w:szCs w:val="24"/>
                <w:lang w:eastAsia="zh-CN"/>
              </w:rPr>
              <w:t>喷粉</w:t>
            </w:r>
            <w:r>
              <w:rPr>
                <w:rFonts w:hint="default" w:ascii="Times New Roman" w:hAnsi="Times New Roman" w:eastAsia="宋体" w:cs="Times New Roman"/>
                <w:bCs/>
                <w:color w:val="auto"/>
                <w:sz w:val="24"/>
              </w:rPr>
              <w:t>后的工件，由于塑粉的附着强度不够，需在高温下塑粉熔融附着在工件表面，保证高强度的附着力。</w:t>
            </w:r>
            <w:r>
              <w:rPr>
                <w:rFonts w:hint="default" w:ascii="Times New Roman" w:hAnsi="Times New Roman" w:eastAsia="宋体" w:cs="Times New Roman"/>
                <w:bCs/>
                <w:color w:val="auto"/>
                <w:sz w:val="24"/>
                <w:lang w:eastAsia="zh-CN"/>
              </w:rPr>
              <w:t>本项目固化工序热量来源为</w:t>
            </w:r>
            <w:r>
              <w:rPr>
                <w:rFonts w:hint="default" w:ascii="Times New Roman" w:hAnsi="Times New Roman" w:eastAsia="宋体" w:cs="Times New Roman"/>
                <w:b w:val="0"/>
                <w:bCs/>
                <w:color w:val="auto"/>
                <w:sz w:val="24"/>
                <w:lang w:val="en-US" w:eastAsia="zh-CN"/>
              </w:rPr>
              <w:t>电</w:t>
            </w:r>
            <w:r>
              <w:rPr>
                <w:rFonts w:hint="eastAsia" w:ascii="Times New Roman" w:hAnsi="Times New Roman" w:eastAsia="宋体" w:cs="Times New Roman"/>
                <w:b w:val="0"/>
                <w:bCs/>
                <w:color w:val="auto"/>
                <w:sz w:val="24"/>
                <w:lang w:val="en-US" w:eastAsia="zh-CN"/>
              </w:rPr>
              <w:t>（小构件使用电）/液化天然气（大构件使用液化天然气）</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color w:val="auto"/>
                <w:sz w:val="24"/>
                <w:szCs w:val="24"/>
                <w:lang w:eastAsia="zh-CN"/>
              </w:rPr>
              <w:t>此工序产生设备噪声</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N</w:t>
            </w:r>
            <w:r>
              <w:rPr>
                <w:rFonts w:hint="default" w:ascii="Times New Roman" w:hAnsi="Times New Roman" w:eastAsia="宋体" w:cs="Times New Roman"/>
                <w:color w:val="auto"/>
                <w:sz w:val="24"/>
                <w:szCs w:val="24"/>
                <w:vertAlign w:val="subscript"/>
                <w:lang w:val="en-US" w:eastAsia="zh-CN"/>
              </w:rPr>
              <w:t>1-6</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、非甲烷总烃</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vertAlign w:val="subscript"/>
                <w:lang w:val="en-US" w:eastAsia="zh-CN"/>
              </w:rPr>
              <w:t>1-5</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bCs/>
                <w:color w:val="auto"/>
                <w:sz w:val="24"/>
                <w:lang w:val="en-US" w:eastAsia="zh-CN"/>
              </w:rPr>
              <w:t>以及天然气燃烧产生的氮氧化物、二氧化硫和颗粒物。</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⑧</w:t>
            </w:r>
            <w:r>
              <w:rPr>
                <w:rFonts w:hint="eastAsia" w:ascii="Times New Roman" w:hAnsi="Times New Roman" w:eastAsia="宋体" w:cs="Times New Roman"/>
                <w:color w:val="auto"/>
                <w:sz w:val="24"/>
                <w:szCs w:val="24"/>
                <w:lang w:eastAsia="zh-CN"/>
              </w:rPr>
              <w:t>组装</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将外购的电机、减速机以及加工后的工件</w:t>
            </w:r>
            <w:r>
              <w:rPr>
                <w:rFonts w:hint="default" w:ascii="Times New Roman" w:hAnsi="Times New Roman" w:eastAsia="宋体" w:cs="Times New Roman"/>
                <w:color w:val="auto"/>
                <w:sz w:val="24"/>
                <w:szCs w:val="24"/>
                <w:lang w:eastAsia="zh-CN"/>
              </w:rPr>
              <w:t>进行</w:t>
            </w:r>
            <w:r>
              <w:rPr>
                <w:rFonts w:hint="eastAsia" w:ascii="Times New Roman" w:hAnsi="Times New Roman" w:eastAsia="宋体" w:cs="Times New Roman"/>
                <w:color w:val="auto"/>
                <w:sz w:val="24"/>
                <w:szCs w:val="24"/>
                <w:lang w:eastAsia="zh-CN"/>
              </w:rPr>
              <w:t>组装</w:t>
            </w:r>
            <w:r>
              <w:rPr>
                <w:rFonts w:hint="default" w:ascii="Times New Roman" w:hAnsi="Times New Roman" w:eastAsia="宋体" w:cs="Times New Roman"/>
                <w:color w:val="auto"/>
                <w:sz w:val="24"/>
                <w:szCs w:val="24"/>
                <w:lang w:eastAsia="zh-CN"/>
              </w:rPr>
              <w:t>。此工序产生噪声</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1-7</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pPr>
              <w:overflowPunct w:val="0"/>
              <w:autoSpaceDE w:val="0"/>
              <w:autoSpaceDN w:val="0"/>
              <w:adjustRightInd w:val="0"/>
              <w:snapToGrid w:val="0"/>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1.2</w:t>
            </w:r>
            <w:r>
              <w:rPr>
                <w:rFonts w:hint="eastAsia" w:ascii="Times New Roman" w:hAnsi="Times New Roman" w:cs="Times New Roman"/>
                <w:color w:val="auto"/>
                <w:sz w:val="24"/>
                <w:szCs w:val="24"/>
                <w:lang w:val="en-US" w:eastAsia="zh-CN"/>
              </w:rPr>
              <w:t>矿山皮带输送类配套设备</w:t>
            </w:r>
            <w:r>
              <w:rPr>
                <w:rFonts w:hint="eastAsia" w:ascii="Times New Roman" w:hAnsi="Times New Roman" w:cs="Times New Roman"/>
                <w:b w:val="0"/>
                <w:bCs w:val="0"/>
                <w:color w:val="auto"/>
                <w:sz w:val="24"/>
                <w:szCs w:val="24"/>
                <w:lang w:val="en-US" w:eastAsia="zh-CN"/>
              </w:rPr>
              <w:t>生产工艺流程及产污排污环节</w:t>
            </w:r>
          </w:p>
          <w:p>
            <w:pPr>
              <w:overflowPunct w:val="0"/>
              <w:autoSpaceDE w:val="0"/>
              <w:autoSpaceDN w:val="0"/>
              <w:adjustRightInd w:val="0"/>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本项目矿山皮带输送配套设备主要包含皮带输送清扫器和工业毛刷设备。</w:t>
            </w:r>
          </w:p>
          <w:p>
            <w:pPr>
              <w:overflowPunct w:val="0"/>
              <w:autoSpaceDE w:val="0"/>
              <w:autoSpaceDN w:val="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1.2.1皮带输送清扫器</w:t>
            </w:r>
            <w:r>
              <w:rPr>
                <w:rFonts w:hint="default" w:ascii="Times New Roman" w:hAnsi="Times New Roman" w:cs="Times New Roman"/>
                <w:color w:val="auto"/>
                <w:sz w:val="24"/>
                <w:szCs w:val="24"/>
                <w:lang w:val="en-US" w:eastAsia="zh-CN"/>
              </w:rPr>
              <w:t>生产</w:t>
            </w:r>
            <w:r>
              <w:rPr>
                <w:rFonts w:hint="default" w:ascii="Times New Roman" w:hAnsi="Times New Roman" w:cs="Times New Roman"/>
                <w:color w:val="auto"/>
                <w:sz w:val="24"/>
                <w:szCs w:val="24"/>
              </w:rPr>
              <w:t>工艺流程和产排污环节</w:t>
            </w:r>
          </w:p>
          <w:p>
            <w:pPr>
              <w:overflowPunct w:val="0"/>
              <w:autoSpaceDE w:val="0"/>
              <w:autoSpaceDN w:val="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皮带输送清扫器</w:t>
            </w:r>
            <w:r>
              <w:rPr>
                <w:rFonts w:hint="default" w:ascii="Times New Roman" w:hAnsi="Times New Roman" w:cs="Times New Roman"/>
                <w:color w:val="auto"/>
                <w:sz w:val="24"/>
                <w:szCs w:val="24"/>
                <w:lang w:val="en-US" w:eastAsia="zh-CN"/>
              </w:rPr>
              <w:t>生产</w:t>
            </w:r>
            <w:r>
              <w:rPr>
                <w:rFonts w:hint="default" w:ascii="Times New Roman" w:hAnsi="Times New Roman" w:cs="Times New Roman"/>
                <w:color w:val="auto"/>
                <w:sz w:val="24"/>
                <w:szCs w:val="24"/>
              </w:rPr>
              <w:t>工艺流程和产排污环节</w:t>
            </w:r>
            <w:r>
              <w:rPr>
                <w:rFonts w:hint="default" w:ascii="Times New Roman" w:hAnsi="Times New Roman" w:cs="Times New Roman"/>
                <w:color w:val="auto"/>
                <w:sz w:val="24"/>
                <w:szCs w:val="24"/>
                <w:lang w:val="en-US" w:eastAsia="zh-CN"/>
              </w:rPr>
              <w:t>见图2.</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p>
          <w:p>
            <w:pPr>
              <w:overflowPunct w:val="0"/>
              <w:autoSpaceDE w:val="0"/>
              <w:autoSpaceDN w:val="0"/>
              <w:adjustRightInd w:val="0"/>
              <w:snapToGrid w:val="0"/>
              <w:spacing w:line="360" w:lineRule="auto"/>
              <w:jc w:val="center"/>
              <w:rPr>
                <w:rFonts w:hint="default" w:ascii="Times New Roman" w:hAnsi="Times New Roman" w:eastAsia="宋体" w:cs="Times New Roman"/>
                <w:b w:val="0"/>
                <w:bCs/>
                <w:i w:val="0"/>
                <w:iCs w:val="0"/>
                <w:color w:val="auto"/>
                <w:sz w:val="24"/>
                <w:szCs w:val="24"/>
                <w:lang w:val="en-US" w:eastAsia="zh-CN"/>
              </w:rPr>
            </w:pPr>
            <w:r>
              <w:rPr>
                <w:rFonts w:hint="default" w:ascii="Times New Roman" w:hAnsi="Times New Roman" w:cs="Times New Roman"/>
                <w:b w:val="0"/>
                <w:bCs w:val="0"/>
                <w:color w:val="auto"/>
                <w:sz w:val="24"/>
                <w:szCs w:val="24"/>
                <w:lang w:val="en-US" w:eastAsia="zh-CN"/>
              </w:rPr>
              <w:object>
                <v:shape id="_x0000_i1026" o:spt="75" type="#_x0000_t75" style="height:445.05pt;width:478.2pt;" o:ole="t" filled="f" o:preferrelative="t" stroked="f" coordsize="21600,21600">
                  <v:path/>
                  <v:fill on="f" focussize="0,0"/>
                  <v:stroke on="f"/>
                  <v:imagedata r:id="rId10" o:title=""/>
                  <o:lock v:ext="edit" aspectratio="t"/>
                  <w10:wrap type="none"/>
                  <w10:anchorlock/>
                </v:shape>
                <o:OLEObject Type="Embed" ProgID="RFFlow4" ShapeID="_x0000_i1026" DrawAspect="Content" ObjectID="_1468075726" r:id="rId9">
                  <o:LockedField>false</o:LockedField>
                </o:OLEObject>
              </w:object>
            </w:r>
            <w:r>
              <w:rPr>
                <w:rFonts w:hint="default" w:ascii="Times New Roman" w:hAnsi="Times New Roman" w:eastAsia="宋体" w:cs="Times New Roman"/>
                <w:b/>
                <w:bCs w:val="0"/>
                <w:i w:val="0"/>
                <w:iCs w:val="0"/>
                <w:color w:val="auto"/>
                <w:sz w:val="24"/>
                <w:szCs w:val="24"/>
                <w:lang w:val="en-US" w:eastAsia="zh-CN"/>
              </w:rPr>
              <w:t>图2.</w:t>
            </w:r>
            <w:r>
              <w:rPr>
                <w:rFonts w:hint="eastAsia" w:ascii="Times New Roman" w:hAnsi="Times New Roman" w:eastAsia="宋体" w:cs="Times New Roman"/>
                <w:b/>
                <w:bCs w:val="0"/>
                <w:i w:val="0"/>
                <w:iCs w:val="0"/>
                <w:color w:val="auto"/>
                <w:sz w:val="24"/>
                <w:szCs w:val="24"/>
                <w:lang w:val="en-US" w:eastAsia="zh-CN"/>
              </w:rPr>
              <w:t>2</w:t>
            </w:r>
            <w:r>
              <w:rPr>
                <w:rFonts w:hint="default" w:ascii="Times New Roman" w:hAnsi="Times New Roman" w:eastAsia="宋体" w:cs="Times New Roman"/>
                <w:b/>
                <w:bCs w:val="0"/>
                <w:i w:val="0"/>
                <w:iCs w:val="0"/>
                <w:color w:val="auto"/>
                <w:sz w:val="24"/>
                <w:szCs w:val="24"/>
                <w:lang w:val="en-US" w:eastAsia="zh-CN"/>
              </w:rPr>
              <w:t xml:space="preserve">  </w:t>
            </w:r>
            <w:r>
              <w:rPr>
                <w:rFonts w:hint="eastAsia" w:ascii="Times New Roman" w:hAnsi="Times New Roman" w:cs="Times New Roman"/>
                <w:b/>
                <w:bCs/>
                <w:color w:val="auto"/>
                <w:sz w:val="24"/>
                <w:szCs w:val="24"/>
                <w:lang w:val="en-US" w:eastAsia="zh-CN"/>
              </w:rPr>
              <w:t>皮带输送清扫器</w:t>
            </w:r>
            <w:r>
              <w:rPr>
                <w:rFonts w:hint="default" w:ascii="Times New Roman" w:hAnsi="Times New Roman" w:cs="Times New Roman"/>
                <w:b/>
                <w:bCs/>
                <w:color w:val="auto"/>
                <w:sz w:val="24"/>
                <w:szCs w:val="24"/>
                <w:lang w:val="en-US" w:eastAsia="zh-CN"/>
              </w:rPr>
              <w:t>生产</w:t>
            </w:r>
            <w:r>
              <w:rPr>
                <w:rFonts w:hint="default" w:ascii="Times New Roman" w:hAnsi="Times New Roman" w:cs="Times New Roman"/>
                <w:b/>
                <w:bCs/>
                <w:color w:val="auto"/>
                <w:sz w:val="24"/>
                <w:szCs w:val="24"/>
              </w:rPr>
              <w:t>工艺流程和产排污环节</w:t>
            </w:r>
          </w:p>
          <w:p>
            <w:pPr>
              <w:overflowPunct w:val="0"/>
              <w:autoSpaceDE w:val="0"/>
              <w:autoSpaceDN w:val="0"/>
              <w:adjustRightInd w:val="0"/>
              <w:snapToGrid w:val="0"/>
              <w:spacing w:line="360" w:lineRule="auto"/>
              <w:ind w:firstLine="482" w:firstLineChars="200"/>
              <w:rPr>
                <w:rFonts w:hint="default" w:ascii="Times New Roman" w:hAnsi="Times New Roman" w:eastAsia="宋体" w:cs="Times New Roman"/>
                <w:b/>
                <w:bCs/>
                <w:i w:val="0"/>
                <w:iCs w:val="0"/>
                <w:color w:val="auto"/>
                <w:sz w:val="24"/>
                <w:szCs w:val="24"/>
                <w:lang w:val="en-US" w:eastAsia="zh-CN"/>
              </w:rPr>
            </w:pPr>
            <w:r>
              <w:rPr>
                <w:rFonts w:hint="eastAsia" w:ascii="Times New Roman" w:hAnsi="Times New Roman" w:cs="Times New Roman"/>
                <w:b/>
                <w:bCs/>
                <w:color w:val="auto"/>
                <w:sz w:val="24"/>
                <w:szCs w:val="24"/>
                <w:lang w:val="en-US" w:eastAsia="zh-CN"/>
              </w:rPr>
              <w:t>皮带输送清扫器</w:t>
            </w:r>
            <w:r>
              <w:rPr>
                <w:rFonts w:hint="default" w:ascii="Times New Roman" w:hAnsi="Times New Roman" w:cs="Times New Roman"/>
                <w:b/>
                <w:bCs/>
                <w:color w:val="auto"/>
                <w:sz w:val="24"/>
                <w:szCs w:val="24"/>
                <w:lang w:val="en-US" w:eastAsia="zh-CN"/>
              </w:rPr>
              <w:t>生产</w:t>
            </w:r>
            <w:r>
              <w:rPr>
                <w:rFonts w:hint="default" w:ascii="Times New Roman" w:hAnsi="Times New Roman" w:cs="Times New Roman"/>
                <w:b/>
                <w:bCs/>
                <w:color w:val="auto"/>
                <w:sz w:val="24"/>
                <w:szCs w:val="24"/>
              </w:rPr>
              <w:t>工艺流程和产排污环节</w:t>
            </w:r>
            <w:r>
              <w:rPr>
                <w:rFonts w:hint="default" w:ascii="Times New Roman" w:hAnsi="Times New Roman" w:eastAsia="宋体" w:cs="Times New Roman"/>
                <w:b/>
                <w:bCs/>
                <w:i w:val="0"/>
                <w:iCs w:val="0"/>
                <w:color w:val="auto"/>
                <w:sz w:val="24"/>
                <w:szCs w:val="24"/>
                <w:lang w:val="en-US" w:eastAsia="zh-CN"/>
              </w:rPr>
              <w:t>简述</w:t>
            </w:r>
            <w:r>
              <w:rPr>
                <w:rFonts w:hint="eastAsia" w:ascii="Times New Roman" w:hAnsi="Times New Roman" w:eastAsia="宋体" w:cs="Times New Roman"/>
                <w:b/>
                <w:bCs/>
                <w:i w:val="0"/>
                <w:iCs w:val="0"/>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（1）金属件生产工艺流程和产排污环节简述</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激光切割</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w:t>
            </w:r>
            <w:r>
              <w:rPr>
                <w:rFonts w:hint="eastAsia" w:ascii="Times New Roman" w:hAnsi="Times New Roman" w:eastAsia="宋体" w:cs="Times New Roman"/>
                <w:color w:val="auto"/>
                <w:sz w:val="24"/>
                <w:szCs w:val="24"/>
                <w:lang w:val="en-US" w:eastAsia="zh-CN"/>
              </w:rPr>
              <w:t>激光</w:t>
            </w:r>
            <w:r>
              <w:rPr>
                <w:rFonts w:hint="default" w:ascii="Times New Roman" w:hAnsi="Times New Roman" w:eastAsia="宋体" w:cs="Times New Roman"/>
                <w:color w:val="auto"/>
                <w:sz w:val="24"/>
                <w:szCs w:val="24"/>
                <w:lang w:val="en-US" w:eastAsia="zh-CN"/>
              </w:rPr>
              <w:t>切割机将</w:t>
            </w:r>
            <w:r>
              <w:rPr>
                <w:rFonts w:hint="eastAsia" w:ascii="Times New Roman" w:hAnsi="Times New Roman" w:eastAsia="宋体" w:cs="Times New Roman"/>
                <w:color w:val="auto"/>
                <w:sz w:val="24"/>
                <w:szCs w:val="24"/>
                <w:lang w:val="en-US" w:eastAsia="zh-CN"/>
              </w:rPr>
              <w:t>钢材</w:t>
            </w:r>
            <w:r>
              <w:rPr>
                <w:rFonts w:hint="default" w:ascii="Times New Roman" w:hAnsi="Times New Roman" w:eastAsia="宋体" w:cs="Times New Roman"/>
                <w:color w:val="auto"/>
                <w:sz w:val="24"/>
                <w:szCs w:val="24"/>
                <w:lang w:val="en-US" w:eastAsia="zh-CN"/>
              </w:rPr>
              <w:t>切割成预定的尺寸规格。</w:t>
            </w:r>
            <w:r>
              <w:rPr>
                <w:rFonts w:hint="eastAsia" w:ascii="Times New Roman" w:hAnsi="Times New Roman" w:eastAsia="宋体" w:cs="Times New Roman"/>
                <w:color w:val="auto"/>
                <w:sz w:val="24"/>
                <w:szCs w:val="24"/>
                <w:lang w:val="en-US" w:eastAsia="zh-CN"/>
              </w:rPr>
              <w:t>激光切割</w:t>
            </w:r>
            <w:r>
              <w:rPr>
                <w:rFonts w:hint="default" w:ascii="Times New Roman" w:hAnsi="Times New Roman" w:eastAsia="宋体" w:cs="Times New Roman"/>
                <w:color w:val="auto"/>
                <w:sz w:val="24"/>
                <w:szCs w:val="24"/>
                <w:lang w:val="en-US" w:eastAsia="zh-CN"/>
              </w:rPr>
              <w:t>过程中会产生</w:t>
            </w:r>
            <w:r>
              <w:rPr>
                <w:rFonts w:hint="eastAsia" w:ascii="Times New Roman" w:hAnsi="Times New Roman" w:eastAsia="宋体" w:cs="Times New Roman"/>
                <w:color w:val="auto"/>
                <w:sz w:val="24"/>
                <w:szCs w:val="24"/>
                <w:lang w:val="en-US" w:eastAsia="zh-CN"/>
              </w:rPr>
              <w:t>设备噪声（N</w:t>
            </w:r>
            <w:r>
              <w:rPr>
                <w:rFonts w:hint="eastAsia" w:ascii="Times New Roman" w:hAnsi="Times New Roman" w:eastAsia="宋体" w:cs="Times New Roman"/>
                <w:color w:val="auto"/>
                <w:sz w:val="24"/>
                <w:szCs w:val="24"/>
                <w:vertAlign w:val="subscript"/>
                <w:lang w:val="en-US" w:eastAsia="zh-CN"/>
              </w:rPr>
              <w:t>4-1</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vertAlign w:val="subscript"/>
                <w:lang w:val="en-US" w:eastAsia="zh-CN"/>
              </w:rPr>
              <w:t>4-1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下脚料（</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vertAlign w:val="subscript"/>
                <w:lang w:val="en-US" w:eastAsia="zh-CN"/>
              </w:rPr>
              <w:t>4-1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t>机加工</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对</w:t>
            </w:r>
            <w:r>
              <w:rPr>
                <w:rFonts w:hint="eastAsia" w:ascii="Times New Roman" w:hAnsi="Times New Roman" w:eastAsia="宋体" w:cs="Times New Roman"/>
                <w:color w:val="auto"/>
                <w:sz w:val="24"/>
                <w:szCs w:val="24"/>
                <w:lang w:val="en-US" w:eastAsia="zh-CN"/>
              </w:rPr>
              <w:t>激光切割</w:t>
            </w:r>
            <w:r>
              <w:rPr>
                <w:rFonts w:hint="eastAsia" w:ascii="Times New Roman" w:hAnsi="Times New Roman" w:eastAsia="宋体" w:cs="Times New Roman"/>
                <w:color w:val="auto"/>
                <w:sz w:val="24"/>
                <w:szCs w:val="24"/>
                <w:lang w:eastAsia="zh-CN"/>
              </w:rPr>
              <w:t>后的工件利用车床、摇臂钻床、精密铣床等加工设备按照设计图纸对其进行机加工。此工序产生</w:t>
            </w:r>
            <w:r>
              <w:rPr>
                <w:rFonts w:hint="eastAsia" w:ascii="Times New Roman" w:hAnsi="Times New Roman" w:eastAsia="宋体" w:cs="Times New Roman"/>
                <w:color w:val="auto"/>
                <w:sz w:val="24"/>
                <w:szCs w:val="24"/>
                <w:lang w:val="en-US" w:eastAsia="zh-CN"/>
              </w:rPr>
              <w:t>设备噪声（N</w:t>
            </w:r>
            <w:r>
              <w:rPr>
                <w:rFonts w:hint="eastAsia" w:ascii="Times New Roman" w:hAnsi="Times New Roman" w:eastAsia="宋体" w:cs="Times New Roman"/>
                <w:color w:val="auto"/>
                <w:sz w:val="24"/>
                <w:szCs w:val="24"/>
                <w:vertAlign w:val="subscript"/>
                <w:lang w:val="en-US" w:eastAsia="zh-CN"/>
              </w:rPr>
              <w:t>4-2</w:t>
            </w:r>
            <w:r>
              <w:rPr>
                <w:rFonts w:hint="eastAsia" w:ascii="Times New Roman" w:hAnsi="Times New Roman" w:eastAsia="宋体" w:cs="Times New Roman"/>
                <w:color w:val="auto"/>
                <w:sz w:val="24"/>
                <w:szCs w:val="24"/>
                <w:lang w:val="en-US" w:eastAsia="zh-CN"/>
              </w:rPr>
              <w:t>）、下脚料（</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vertAlign w:val="subscript"/>
                <w:lang w:val="en-US" w:eastAsia="zh-CN"/>
              </w:rPr>
              <w:t>4-1</w:t>
            </w:r>
            <w:r>
              <w:rPr>
                <w:rFonts w:hint="eastAsia" w:ascii="Times New Roman" w:hAnsi="Times New Roman" w:eastAsia="宋体" w:cs="Times New Roman"/>
                <w:color w:val="auto"/>
                <w:sz w:val="24"/>
                <w:szCs w:val="24"/>
                <w:lang w:val="en-US" w:eastAsia="zh-CN"/>
              </w:rPr>
              <w:t>）、废机油（S</w:t>
            </w:r>
            <w:r>
              <w:rPr>
                <w:rFonts w:hint="eastAsia" w:ascii="Times New Roman" w:hAnsi="Times New Roman" w:eastAsia="宋体" w:cs="Times New Roman"/>
                <w:color w:val="auto"/>
                <w:sz w:val="24"/>
                <w:szCs w:val="24"/>
                <w:vertAlign w:val="subscript"/>
                <w:lang w:val="en-US" w:eastAsia="zh-CN"/>
              </w:rPr>
              <w:t>4-2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废切削液（S</w:t>
            </w:r>
            <w:r>
              <w:rPr>
                <w:rFonts w:hint="eastAsia" w:ascii="Times New Roman" w:hAnsi="Times New Roman" w:eastAsia="宋体" w:cs="Times New Roman"/>
                <w:color w:val="auto"/>
                <w:sz w:val="24"/>
                <w:szCs w:val="24"/>
                <w:vertAlign w:val="subscript"/>
                <w:lang w:val="en-US" w:eastAsia="zh-CN"/>
              </w:rPr>
              <w:t>4-3</w:t>
            </w:r>
            <w:r>
              <w:rPr>
                <w:rFonts w:hint="eastAsia" w:ascii="Times New Roman" w:hAnsi="Times New Roman" w:eastAsia="宋体" w:cs="Times New Roman"/>
                <w:color w:val="auto"/>
                <w:sz w:val="24"/>
                <w:szCs w:val="24"/>
                <w:lang w:val="en-US" w:eastAsia="zh-CN"/>
              </w:rPr>
              <w:t>）和废包装桶（S</w:t>
            </w:r>
            <w:r>
              <w:rPr>
                <w:rFonts w:hint="eastAsia" w:ascii="Times New Roman" w:hAnsi="Times New Roman" w:eastAsia="宋体" w:cs="Times New Roman"/>
                <w:color w:val="auto"/>
                <w:sz w:val="24"/>
                <w:szCs w:val="24"/>
                <w:vertAlign w:val="subscript"/>
                <w:lang w:val="en-US" w:eastAsia="zh-CN"/>
              </w:rPr>
              <w:t>4-4</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rPr>
              <w:t>④</w:t>
            </w:r>
            <w:r>
              <w:rPr>
                <w:rFonts w:hint="default" w:ascii="Times New Roman" w:hAnsi="Times New Roman" w:eastAsia="宋体" w:cs="Times New Roman"/>
                <w:color w:val="auto"/>
                <w:sz w:val="24"/>
                <w:szCs w:val="24"/>
                <w:lang w:eastAsia="zh-CN"/>
              </w:rPr>
              <w:t>焊接</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将</w:t>
            </w:r>
            <w:r>
              <w:rPr>
                <w:rFonts w:hint="default" w:ascii="Times New Roman" w:hAnsi="Times New Roman" w:eastAsia="宋体" w:cs="Times New Roman"/>
                <w:color w:val="auto"/>
                <w:sz w:val="24"/>
                <w:szCs w:val="24"/>
                <w:lang w:eastAsia="zh-CN"/>
              </w:rPr>
              <w:t>加工后的工件利用</w:t>
            </w:r>
            <w:r>
              <w:rPr>
                <w:rFonts w:hint="eastAsia" w:ascii="Times New Roman" w:hAnsi="Times New Roman" w:eastAsia="宋体" w:cs="Times New Roman"/>
                <w:color w:val="auto"/>
                <w:sz w:val="24"/>
                <w:szCs w:val="24"/>
                <w:lang w:eastAsia="zh-CN"/>
              </w:rPr>
              <w:t>二氧化碳气体保护焊机按照设计图纸</w:t>
            </w:r>
            <w:r>
              <w:rPr>
                <w:rFonts w:hint="default" w:ascii="Times New Roman" w:hAnsi="Times New Roman" w:eastAsia="宋体" w:cs="Times New Roman"/>
                <w:color w:val="auto"/>
                <w:sz w:val="24"/>
                <w:szCs w:val="24"/>
                <w:lang w:eastAsia="zh-CN"/>
              </w:rPr>
              <w:t>进行焊接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此工序产生设备噪声</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4-3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颗粒物（</w:t>
            </w:r>
            <w:r>
              <w:rPr>
                <w:rFonts w:hint="eastAsia"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vertAlign w:val="subscript"/>
                <w:lang w:val="en-US" w:eastAsia="zh-CN"/>
              </w:rPr>
              <w:t>4-2</w:t>
            </w:r>
            <w:r>
              <w:rPr>
                <w:rFonts w:hint="eastAsia" w:ascii="Times New Roman" w:hAnsi="Times New Roman" w:eastAsia="宋体" w:cs="Times New Roman"/>
                <w:color w:val="auto"/>
                <w:sz w:val="24"/>
                <w:szCs w:val="24"/>
                <w:lang w:eastAsia="zh-CN"/>
              </w:rPr>
              <w:t>）和焊渣（</w:t>
            </w:r>
            <w:r>
              <w:rPr>
                <w:rFonts w:hint="eastAsia"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vertAlign w:val="subscript"/>
                <w:lang w:val="en-US" w:eastAsia="zh-CN"/>
              </w:rPr>
              <w:t>1-5</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pPr>
              <w:overflowPunct w:val="0"/>
              <w:autoSpaceDE w:val="0"/>
              <w:autoSpaceDN w:val="0"/>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⑤抛丸</w:t>
            </w:r>
          </w:p>
          <w:p>
            <w:pPr>
              <w:overflowPunct w:val="0"/>
              <w:autoSpaceDE w:val="0"/>
              <w:autoSpaceDN w:val="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抛丸是利用高速旋转的叶轮把小钢丸或者小铁丸抛掷出去高速撞击零件表面，故可以除去零件表面的氧化层。此工序产生噪声</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N</w:t>
            </w:r>
            <w:r>
              <w:rPr>
                <w:rFonts w:hint="eastAsia" w:ascii="Times New Roman" w:hAnsi="Times New Roman" w:cs="Times New Roman"/>
                <w:color w:val="auto"/>
                <w:sz w:val="24"/>
                <w:szCs w:val="24"/>
                <w:vertAlign w:val="subscript"/>
                <w:lang w:val="en-US" w:eastAsia="zh-CN"/>
              </w:rPr>
              <w:t>4</w:t>
            </w:r>
            <w:r>
              <w:rPr>
                <w:rFonts w:hint="default" w:ascii="Times New Roman" w:hAnsi="Times New Roman" w:cs="Times New Roman"/>
                <w:color w:val="auto"/>
                <w:sz w:val="24"/>
                <w:szCs w:val="24"/>
                <w:vertAlign w:val="subscript"/>
                <w:lang w:val="en-US" w:eastAsia="zh-CN"/>
              </w:rPr>
              <w:t>-4</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、颗粒物</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G</w:t>
            </w:r>
            <w:r>
              <w:rPr>
                <w:rFonts w:hint="eastAsia" w:ascii="Times New Roman" w:hAnsi="Times New Roman" w:cs="Times New Roman"/>
                <w:color w:val="auto"/>
                <w:sz w:val="24"/>
                <w:szCs w:val="24"/>
                <w:vertAlign w:val="subscript"/>
                <w:lang w:val="en-US" w:eastAsia="zh-CN"/>
              </w:rPr>
              <w:t>4</w:t>
            </w:r>
            <w:r>
              <w:rPr>
                <w:rFonts w:hint="default"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废</w:t>
            </w:r>
            <w:r>
              <w:rPr>
                <w:rFonts w:hint="eastAsia" w:ascii="Times New Roman" w:hAnsi="Times New Roman" w:cs="Times New Roman"/>
                <w:color w:val="auto"/>
                <w:sz w:val="24"/>
                <w:szCs w:val="24"/>
                <w:lang w:val="en-US" w:eastAsia="zh-CN"/>
              </w:rPr>
              <w:t>抛丸渣（</w:t>
            </w:r>
            <w:r>
              <w:rPr>
                <w:rFonts w:hint="default" w:ascii="Times New Roman" w:hAnsi="Times New Roman" w:cs="Times New Roman"/>
                <w:color w:val="auto"/>
                <w:sz w:val="24"/>
                <w:szCs w:val="24"/>
                <w:lang w:val="en-US" w:eastAsia="zh-CN"/>
              </w:rPr>
              <w:t>S</w:t>
            </w:r>
            <w:r>
              <w:rPr>
                <w:rFonts w:hint="eastAsia" w:ascii="Times New Roman" w:hAnsi="Times New Roman" w:cs="Times New Roman"/>
                <w:color w:val="auto"/>
                <w:sz w:val="24"/>
                <w:szCs w:val="24"/>
                <w:vertAlign w:val="subscript"/>
                <w:lang w:val="en-US" w:eastAsia="zh-CN"/>
              </w:rPr>
              <w:t>4</w:t>
            </w:r>
            <w:r>
              <w:rPr>
                <w:rFonts w:hint="default" w:ascii="Times New Roman" w:hAnsi="Times New Roman" w:cs="Times New Roman"/>
                <w:color w:val="auto"/>
                <w:sz w:val="24"/>
                <w:szCs w:val="24"/>
                <w:vertAlign w:val="subscript"/>
                <w:lang w:val="en-US" w:eastAsia="zh-CN"/>
              </w:rPr>
              <w:t>-</w:t>
            </w:r>
            <w:r>
              <w:rPr>
                <w:rFonts w:hint="eastAsia" w:ascii="Times New Roman" w:hAnsi="Times New Roman" w:cs="Times New Roman"/>
                <w:color w:val="auto"/>
                <w:sz w:val="24"/>
                <w:szCs w:val="24"/>
                <w:vertAlign w:val="subscript"/>
                <w:lang w:val="en-US" w:eastAsia="zh-CN"/>
              </w:rPr>
              <w:t>6</w:t>
            </w:r>
            <w:r>
              <w:rPr>
                <w:rFonts w:hint="eastAsia" w:ascii="Times New Roman" w:hAnsi="Times New Roman" w:cs="Times New Roman"/>
                <w:color w:val="auto"/>
                <w:sz w:val="24"/>
                <w:szCs w:val="24"/>
                <w:lang w:val="en-US" w:eastAsia="zh-CN"/>
              </w:rPr>
              <w:t>）和废包装袋（S</w:t>
            </w:r>
            <w:r>
              <w:rPr>
                <w:rFonts w:hint="eastAsia" w:ascii="Times New Roman" w:hAnsi="Times New Roman" w:cs="Times New Roman"/>
                <w:color w:val="auto"/>
                <w:sz w:val="24"/>
                <w:szCs w:val="24"/>
                <w:vertAlign w:val="subscript"/>
                <w:lang w:val="en-US" w:eastAsia="zh-CN"/>
              </w:rPr>
              <w:t>4-7</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⑥喷粉</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喷粉</w:t>
            </w:r>
            <w:r>
              <w:rPr>
                <w:rFonts w:hint="default" w:ascii="Times New Roman" w:hAnsi="Times New Roman" w:eastAsia="宋体" w:cs="Times New Roman"/>
                <w:b w:val="0"/>
                <w:bCs/>
                <w:color w:val="auto"/>
                <w:kern w:val="24"/>
                <w:sz w:val="24"/>
                <w:szCs w:val="24"/>
                <w:lang w:val="en-US" w:eastAsia="zh-CN" w:bidi="ar-SA"/>
              </w:rPr>
              <w:t>是将</w:t>
            </w:r>
            <w:r>
              <w:rPr>
                <w:rFonts w:hint="eastAsia" w:ascii="Times New Roman" w:hAnsi="Times New Roman" w:eastAsia="宋体" w:cs="Times New Roman"/>
                <w:color w:val="auto"/>
                <w:sz w:val="24"/>
                <w:szCs w:val="24"/>
                <w:lang w:val="en-US" w:eastAsia="zh-CN"/>
              </w:rPr>
              <w:t>粉末涂料</w:t>
            </w:r>
            <w:r>
              <w:rPr>
                <w:rFonts w:hint="default" w:ascii="Times New Roman" w:hAnsi="Times New Roman" w:eastAsia="宋体" w:cs="Times New Roman"/>
                <w:b w:val="0"/>
                <w:bCs/>
                <w:color w:val="auto"/>
                <w:kern w:val="24"/>
                <w:sz w:val="24"/>
                <w:szCs w:val="24"/>
                <w:lang w:val="en-US" w:eastAsia="zh-CN" w:bidi="ar-SA"/>
              </w:rPr>
              <w:t>喷涂在</w:t>
            </w:r>
            <w:r>
              <w:rPr>
                <w:rFonts w:hint="default" w:ascii="Times New Roman" w:hAnsi="Times New Roman" w:eastAsia="宋体" w:cs="Times New Roman"/>
                <w:b w:val="0"/>
                <w:bCs/>
                <w:color w:val="auto"/>
                <w:kern w:val="24"/>
                <w:sz w:val="24"/>
                <w:szCs w:val="24"/>
                <w:lang w:val="en-US" w:eastAsia="zh-CN" w:bidi="ar-SA"/>
              </w:rPr>
              <w:fldChar w:fldCharType="begin"/>
            </w:r>
            <w:r>
              <w:rPr>
                <w:rFonts w:hint="default" w:ascii="Times New Roman" w:hAnsi="Times New Roman" w:eastAsia="宋体" w:cs="Times New Roman"/>
                <w:b w:val="0"/>
                <w:bCs/>
                <w:color w:val="auto"/>
                <w:kern w:val="24"/>
                <w:sz w:val="24"/>
                <w:szCs w:val="24"/>
                <w:lang w:val="en-US" w:eastAsia="zh-CN" w:bidi="ar-SA"/>
              </w:rPr>
              <w:instrText xml:space="preserve">HYPERLINK"https://baike.baidu.com/item/%E9%9B%B6%E4%BB%B6/33803"\t"https://baike.baidu.com/item/%E5%96%B7%E5%A1%91/_blank"</w:instrText>
            </w:r>
            <w:r>
              <w:rPr>
                <w:rFonts w:hint="default" w:ascii="Times New Roman" w:hAnsi="Times New Roman" w:eastAsia="宋体" w:cs="Times New Roman"/>
                <w:b w:val="0"/>
                <w:bCs/>
                <w:color w:val="auto"/>
                <w:kern w:val="24"/>
                <w:sz w:val="24"/>
                <w:szCs w:val="24"/>
                <w:lang w:val="en-US" w:eastAsia="zh-CN" w:bidi="ar-SA"/>
              </w:rPr>
              <w:fldChar w:fldCharType="separate"/>
            </w:r>
            <w:r>
              <w:rPr>
                <w:rFonts w:hint="default" w:ascii="Times New Roman" w:hAnsi="Times New Roman" w:eastAsia="宋体" w:cs="Times New Roman"/>
                <w:b w:val="0"/>
                <w:bCs/>
                <w:color w:val="auto"/>
                <w:kern w:val="24"/>
                <w:sz w:val="24"/>
                <w:szCs w:val="24"/>
                <w:lang w:val="en-US" w:eastAsia="zh-CN" w:bidi="ar-SA"/>
              </w:rPr>
              <w:t>零件</w:t>
            </w:r>
            <w:r>
              <w:rPr>
                <w:rFonts w:hint="default" w:ascii="Times New Roman" w:hAnsi="Times New Roman" w:eastAsia="宋体" w:cs="Times New Roman"/>
                <w:b w:val="0"/>
                <w:bCs/>
                <w:color w:val="auto"/>
                <w:kern w:val="24"/>
                <w:sz w:val="24"/>
                <w:szCs w:val="24"/>
                <w:lang w:val="en-US" w:eastAsia="zh-CN" w:bidi="ar-SA"/>
              </w:rPr>
              <w:fldChar w:fldCharType="end"/>
            </w:r>
            <w:r>
              <w:rPr>
                <w:rFonts w:hint="default" w:ascii="Times New Roman" w:hAnsi="Times New Roman" w:eastAsia="宋体" w:cs="Times New Roman"/>
                <w:b w:val="0"/>
                <w:bCs/>
                <w:color w:val="auto"/>
                <w:kern w:val="24"/>
                <w:sz w:val="24"/>
                <w:szCs w:val="24"/>
                <w:lang w:val="en-US" w:eastAsia="zh-CN" w:bidi="ar-SA"/>
              </w:rPr>
              <w:t>上的一种</w:t>
            </w:r>
            <w:r>
              <w:rPr>
                <w:rFonts w:hint="default" w:ascii="Times New Roman" w:hAnsi="Times New Roman" w:eastAsia="宋体" w:cs="Times New Roman"/>
                <w:b w:val="0"/>
                <w:bCs/>
                <w:color w:val="auto"/>
                <w:kern w:val="24"/>
                <w:sz w:val="24"/>
                <w:szCs w:val="24"/>
                <w:lang w:val="en-US" w:eastAsia="zh-CN" w:bidi="ar-SA"/>
              </w:rPr>
              <w:fldChar w:fldCharType="begin"/>
            </w:r>
            <w:r>
              <w:rPr>
                <w:rFonts w:hint="default" w:ascii="Times New Roman" w:hAnsi="Times New Roman" w:eastAsia="宋体" w:cs="Times New Roman"/>
                <w:b w:val="0"/>
                <w:bCs/>
                <w:color w:val="auto"/>
                <w:kern w:val="24"/>
                <w:sz w:val="24"/>
                <w:szCs w:val="24"/>
                <w:lang w:val="en-US" w:eastAsia="zh-CN" w:bidi="ar-SA"/>
              </w:rPr>
              <w:instrText xml:space="preserve">HYPERLINK"https://baike.baidu.com/item/%E8%A1%A8%E9%9D%A2"\t"https://baike.baidu.com/item/%E5%96%B7%E5%A1%91/_blank"</w:instrText>
            </w:r>
            <w:r>
              <w:rPr>
                <w:rFonts w:hint="default" w:ascii="Times New Roman" w:hAnsi="Times New Roman" w:eastAsia="宋体" w:cs="Times New Roman"/>
                <w:b w:val="0"/>
                <w:bCs/>
                <w:color w:val="auto"/>
                <w:kern w:val="24"/>
                <w:sz w:val="24"/>
                <w:szCs w:val="24"/>
                <w:lang w:val="en-US" w:eastAsia="zh-CN" w:bidi="ar-SA"/>
              </w:rPr>
              <w:fldChar w:fldCharType="separate"/>
            </w:r>
            <w:r>
              <w:rPr>
                <w:rFonts w:hint="default" w:ascii="Times New Roman" w:hAnsi="Times New Roman" w:eastAsia="宋体" w:cs="Times New Roman"/>
                <w:b w:val="0"/>
                <w:bCs/>
                <w:color w:val="auto"/>
                <w:kern w:val="24"/>
                <w:sz w:val="24"/>
                <w:szCs w:val="24"/>
                <w:lang w:val="en-US" w:eastAsia="zh-CN" w:bidi="ar-SA"/>
              </w:rPr>
              <w:t>表面</w:t>
            </w:r>
            <w:r>
              <w:rPr>
                <w:rFonts w:hint="default" w:ascii="Times New Roman" w:hAnsi="Times New Roman" w:eastAsia="宋体" w:cs="Times New Roman"/>
                <w:b w:val="0"/>
                <w:bCs/>
                <w:color w:val="auto"/>
                <w:kern w:val="24"/>
                <w:sz w:val="24"/>
                <w:szCs w:val="24"/>
                <w:lang w:val="en-US" w:eastAsia="zh-CN" w:bidi="ar-SA"/>
              </w:rPr>
              <w:fldChar w:fldCharType="end"/>
            </w:r>
            <w:r>
              <w:rPr>
                <w:rFonts w:hint="default" w:ascii="Times New Roman" w:hAnsi="Times New Roman" w:eastAsia="宋体" w:cs="Times New Roman"/>
                <w:b w:val="0"/>
                <w:bCs/>
                <w:color w:val="auto"/>
                <w:kern w:val="24"/>
                <w:sz w:val="24"/>
                <w:szCs w:val="24"/>
                <w:lang w:val="en-US" w:eastAsia="zh-CN" w:bidi="ar-SA"/>
              </w:rPr>
              <w:t>处理方法。其工作原理在于将</w:t>
            </w:r>
            <w:r>
              <w:rPr>
                <w:rFonts w:hint="eastAsia" w:ascii="Times New Roman" w:hAnsi="Times New Roman" w:eastAsia="宋体" w:cs="Times New Roman"/>
                <w:color w:val="auto"/>
                <w:sz w:val="24"/>
                <w:szCs w:val="24"/>
                <w:lang w:val="en-US" w:eastAsia="zh-CN"/>
              </w:rPr>
              <w:t>粉末涂料</w:t>
            </w:r>
            <w:r>
              <w:rPr>
                <w:rFonts w:hint="default" w:ascii="Times New Roman" w:hAnsi="Times New Roman" w:eastAsia="宋体" w:cs="Times New Roman"/>
                <w:b w:val="0"/>
                <w:bCs/>
                <w:color w:val="auto"/>
                <w:kern w:val="24"/>
                <w:sz w:val="24"/>
                <w:szCs w:val="24"/>
                <w:lang w:val="en-US" w:eastAsia="zh-CN" w:bidi="ar-SA"/>
              </w:rPr>
              <w:t>通过高压静电设备充电，在电场的作用下，将涂料喷涂到工件的表面，</w:t>
            </w:r>
            <w:r>
              <w:rPr>
                <w:rFonts w:hint="eastAsia" w:ascii="Times New Roman" w:hAnsi="Times New Roman" w:eastAsia="宋体" w:cs="Times New Roman"/>
                <w:color w:val="auto"/>
                <w:sz w:val="24"/>
                <w:szCs w:val="24"/>
                <w:lang w:val="en-US" w:eastAsia="zh-CN"/>
              </w:rPr>
              <w:t>粉末涂料</w:t>
            </w:r>
            <w:r>
              <w:rPr>
                <w:rFonts w:hint="default" w:ascii="Times New Roman" w:hAnsi="Times New Roman" w:eastAsia="宋体" w:cs="Times New Roman"/>
                <w:b w:val="0"/>
                <w:bCs/>
                <w:color w:val="auto"/>
                <w:kern w:val="24"/>
                <w:sz w:val="24"/>
                <w:szCs w:val="24"/>
                <w:lang w:val="en-US" w:eastAsia="zh-CN" w:bidi="ar-SA"/>
              </w:rPr>
              <w:t>会被均匀地吸附在工件表面，形成粉状的涂层；而粉状涂层经过高温烘烤后流平固化，塑料颗粒会融化成一层致密的效果各异的最终保护涂层</w:t>
            </w:r>
            <w:r>
              <w:rPr>
                <w:rFonts w:hint="eastAsia" w:ascii="Times New Roman" w:hAnsi="Times New Roman" w:eastAsia="宋体" w:cs="Times New Roman"/>
                <w:b w:val="0"/>
                <w:bCs/>
                <w:color w:val="auto"/>
                <w:kern w:val="24"/>
                <w:sz w:val="24"/>
                <w:szCs w:val="24"/>
                <w:lang w:val="en-US" w:eastAsia="zh-CN" w:bidi="ar-SA"/>
              </w:rPr>
              <w:t>，</w:t>
            </w:r>
            <w:r>
              <w:rPr>
                <w:rFonts w:hint="default" w:ascii="Times New Roman" w:hAnsi="Times New Roman" w:eastAsia="宋体" w:cs="Times New Roman"/>
                <w:b w:val="0"/>
                <w:bCs/>
                <w:color w:val="auto"/>
                <w:kern w:val="24"/>
                <w:sz w:val="24"/>
                <w:szCs w:val="24"/>
                <w:lang w:val="en-US" w:eastAsia="zh-CN" w:bidi="ar-SA"/>
              </w:rPr>
              <w:t>牢牢附着在工件表面。</w:t>
            </w:r>
            <w:r>
              <w:rPr>
                <w:rFonts w:hint="default" w:ascii="Times New Roman" w:hAnsi="Times New Roman" w:eastAsia="宋体" w:cs="Times New Roman"/>
                <w:color w:val="auto"/>
                <w:sz w:val="24"/>
                <w:szCs w:val="24"/>
                <w:lang w:eastAsia="zh-CN"/>
              </w:rPr>
              <w:t>此工序产生设备噪声</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4</w:t>
            </w:r>
            <w:r>
              <w:rPr>
                <w:rFonts w:hint="default"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vertAlign w:val="subscript"/>
                <w:lang w:val="en-US" w:eastAsia="zh-CN"/>
              </w:rPr>
              <w:t>4</w:t>
            </w:r>
            <w:r>
              <w:rPr>
                <w:rFonts w:hint="default" w:ascii="Times New Roman" w:hAnsi="Times New Roman" w:eastAsia="宋体" w:cs="Times New Roman"/>
                <w:color w:val="auto"/>
                <w:sz w:val="24"/>
                <w:szCs w:val="24"/>
                <w:vertAlign w:val="subscript"/>
                <w:lang w:val="en-US" w:eastAsia="zh-CN"/>
              </w:rPr>
              <w:t>-4</w:t>
            </w:r>
            <w:r>
              <w:rPr>
                <w:rFonts w:hint="eastAsia" w:ascii="Times New Roman" w:hAnsi="Times New Roman" w:eastAsia="宋体" w:cs="Times New Roman"/>
                <w:color w:val="auto"/>
                <w:sz w:val="24"/>
                <w:szCs w:val="24"/>
                <w:lang w:eastAsia="zh-CN"/>
              </w:rPr>
              <w:t>）和废包装箱（</w:t>
            </w:r>
            <w:r>
              <w:rPr>
                <w:rFonts w:hint="eastAsia"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vertAlign w:val="subscript"/>
                <w:lang w:val="en-US" w:eastAsia="zh-CN"/>
              </w:rPr>
              <w:t>4-8</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pPr>
              <w:overflowPunct w:val="0"/>
              <w:autoSpaceDE w:val="0"/>
              <w:autoSpaceDN w:val="0"/>
              <w:adjustRightInd w:val="0"/>
              <w:snapToGrid w:val="0"/>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eastAsia="zh-CN"/>
              </w:rPr>
              <w:t>⑦</w:t>
            </w:r>
            <w:r>
              <w:rPr>
                <w:rFonts w:hint="eastAsia" w:ascii="宋体" w:hAnsi="宋体" w:eastAsia="宋体" w:cs="宋体"/>
                <w:b w:val="0"/>
                <w:bCs w:val="0"/>
                <w:color w:val="auto"/>
                <w:sz w:val="24"/>
                <w:szCs w:val="24"/>
                <w:lang w:val="en-US" w:eastAsia="zh-CN"/>
              </w:rPr>
              <w:t>固化</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ascii="宋体" w:hAnsi="宋体" w:eastAsia="宋体" w:cs="宋体"/>
                <w:color w:val="auto"/>
                <w:sz w:val="24"/>
                <w:szCs w:val="24"/>
                <w:lang w:eastAsia="zh-CN"/>
              </w:rPr>
              <w:t>喷粉</w:t>
            </w:r>
            <w:r>
              <w:rPr>
                <w:rFonts w:hint="default" w:ascii="Times New Roman" w:hAnsi="Times New Roman" w:eastAsia="宋体" w:cs="Times New Roman"/>
                <w:bCs/>
                <w:color w:val="auto"/>
                <w:sz w:val="24"/>
              </w:rPr>
              <w:t>后的工件，由于塑粉的附着强度不够，需在高温下塑粉熔融附着在工件表面，保证高强度的附着力。</w:t>
            </w:r>
            <w:r>
              <w:rPr>
                <w:rFonts w:hint="default" w:ascii="Times New Roman" w:hAnsi="Times New Roman" w:eastAsia="宋体" w:cs="Times New Roman"/>
                <w:bCs/>
                <w:color w:val="auto"/>
                <w:sz w:val="24"/>
                <w:lang w:eastAsia="zh-CN"/>
              </w:rPr>
              <w:t>本项目固化工序热量来源为</w:t>
            </w:r>
            <w:r>
              <w:rPr>
                <w:rFonts w:hint="default" w:ascii="Times New Roman" w:hAnsi="Times New Roman" w:eastAsia="宋体" w:cs="Times New Roman"/>
                <w:b w:val="0"/>
                <w:bCs/>
                <w:color w:val="auto"/>
                <w:sz w:val="24"/>
                <w:lang w:val="en-US" w:eastAsia="zh-CN"/>
              </w:rPr>
              <w:t>电</w:t>
            </w:r>
            <w:r>
              <w:rPr>
                <w:rFonts w:hint="eastAsia" w:ascii="Times New Roman" w:hAnsi="Times New Roman" w:eastAsia="宋体" w:cs="Times New Roman"/>
                <w:b w:val="0"/>
                <w:bCs/>
                <w:color w:val="auto"/>
                <w:sz w:val="24"/>
                <w:lang w:val="en-US" w:eastAsia="zh-CN"/>
              </w:rPr>
              <w:t>（小构件使用电）/液化天然气（大构件使用液化天然气）</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color w:val="auto"/>
                <w:sz w:val="24"/>
                <w:szCs w:val="24"/>
                <w:lang w:eastAsia="zh-CN"/>
              </w:rPr>
              <w:t>此工序产生设备噪声</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4</w:t>
            </w:r>
            <w:r>
              <w:rPr>
                <w:rFonts w:hint="default" w:ascii="Times New Roman" w:hAnsi="Times New Roman" w:eastAsia="宋体" w:cs="Times New Roman"/>
                <w:color w:val="auto"/>
                <w:sz w:val="24"/>
                <w:szCs w:val="24"/>
                <w:vertAlign w:val="subscript"/>
                <w:lang w:val="en-US" w:eastAsia="zh-CN"/>
              </w:rPr>
              <w:t>-6</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、非甲烷总烃</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vertAlign w:val="subscript"/>
                <w:lang w:val="en-US" w:eastAsia="zh-CN"/>
              </w:rPr>
              <w:t>4</w:t>
            </w:r>
            <w:r>
              <w:rPr>
                <w:rFonts w:hint="default"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bCs/>
                <w:color w:val="auto"/>
                <w:sz w:val="24"/>
                <w:lang w:val="en-US" w:eastAsia="zh-CN"/>
              </w:rPr>
              <w:t>以及天然气燃烧产生的氮氧化物、二氧化硫和颗粒物。</w:t>
            </w:r>
          </w:p>
          <w:p>
            <w:pPr>
              <w:overflowPunct w:val="0"/>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）聚氨酯配件</w:t>
            </w:r>
            <w:r>
              <w:rPr>
                <w:rFonts w:hint="eastAsia" w:ascii="Times New Roman" w:hAnsi="Times New Roman" w:eastAsia="宋体" w:cs="Times New Roman"/>
                <w:color w:val="auto"/>
                <w:sz w:val="24"/>
                <w:szCs w:val="24"/>
                <w:lang w:val="en-US" w:eastAsia="zh-CN"/>
              </w:rPr>
              <w:t>生产工艺流程和产排污环节简述</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w:t>
            </w:r>
            <w:r>
              <w:rPr>
                <w:rFonts w:hint="eastAsia" w:ascii="Times New Roman" w:hAnsi="Times New Roman" w:eastAsia="宋体" w:cs="Times New Roman"/>
                <w:color w:val="auto"/>
                <w:sz w:val="24"/>
                <w:szCs w:val="24"/>
                <w:lang w:eastAsia="zh-CN"/>
              </w:rPr>
              <w:t>预烘</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将外购的聚氨酯预聚体和固化剂分别进行预烘（其中聚氨酯预聚体预烘温度为</w:t>
            </w:r>
            <w:r>
              <w:rPr>
                <w:rFonts w:hint="eastAsia" w:ascii="Times New Roman" w:hAnsi="Times New Roman" w:eastAsia="宋体" w:cs="Times New Roman"/>
                <w:color w:val="auto"/>
                <w:sz w:val="24"/>
                <w:szCs w:val="24"/>
                <w:lang w:val="en-US" w:eastAsia="zh-CN"/>
              </w:rPr>
              <w:t>60℃，固化剂预烘温度为120℃</w:t>
            </w:r>
            <w:r>
              <w:rPr>
                <w:rFonts w:hint="eastAsia" w:ascii="Times New Roman" w:hAnsi="Times New Roman" w:eastAsia="宋体" w:cs="Times New Roman"/>
                <w:color w:val="auto"/>
                <w:sz w:val="24"/>
                <w:szCs w:val="24"/>
                <w:lang w:eastAsia="zh-CN"/>
              </w:rPr>
              <w:t>），为浇注工序做准备。此工序产生设备噪声（</w:t>
            </w:r>
            <w:r>
              <w:rPr>
                <w:rFonts w:hint="eastAsia"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2-1</w:t>
            </w:r>
            <w:r>
              <w:rPr>
                <w:rFonts w:hint="eastAsia" w:ascii="Times New Roman" w:hAnsi="Times New Roman" w:eastAsia="宋体" w:cs="Times New Roman"/>
                <w:color w:val="auto"/>
                <w:sz w:val="24"/>
                <w:szCs w:val="24"/>
                <w:lang w:eastAsia="zh-CN"/>
              </w:rPr>
              <w:t>）、非甲烷总烃（</w:t>
            </w:r>
            <w:r>
              <w:rPr>
                <w:rFonts w:hint="eastAsia"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vertAlign w:val="subscript"/>
                <w:lang w:val="en-US" w:eastAsia="zh-CN"/>
              </w:rPr>
              <w:t>2-1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b w:val="0"/>
                <w:bCs w:val="0"/>
                <w:color w:val="auto"/>
                <w:sz w:val="24"/>
                <w:szCs w:val="24"/>
                <w:lang w:val="en-US" w:eastAsia="zh-CN"/>
              </w:rPr>
              <w:t>二苯基甲烷二异氰酸酯（MDI）（G</w:t>
            </w:r>
            <w:r>
              <w:rPr>
                <w:rFonts w:hint="default" w:ascii="Times New Roman" w:hAnsi="Times New Roman" w:cs="Times New Roman"/>
                <w:b w:val="0"/>
                <w:bCs w:val="0"/>
                <w:color w:val="auto"/>
                <w:sz w:val="24"/>
                <w:szCs w:val="24"/>
                <w:vertAlign w:val="subscript"/>
                <w:lang w:val="en-US" w:eastAsia="zh-CN"/>
              </w:rPr>
              <w:t>2-2</w:t>
            </w:r>
            <w:r>
              <w:rPr>
                <w:rFonts w:hint="default" w:ascii="Times New Roman" w:hAnsi="Times New Roman" w:cs="Times New Roman"/>
                <w:b w:val="0"/>
                <w:bCs w:val="0"/>
                <w:color w:val="auto"/>
                <w:sz w:val="24"/>
                <w:szCs w:val="24"/>
                <w:lang w:val="en-US" w:eastAsia="zh-CN"/>
              </w:rPr>
              <w:t>）和</w:t>
            </w:r>
            <w:r>
              <w:rPr>
                <w:rFonts w:hint="eastAsia" w:ascii="Times New Roman" w:hAnsi="Times New Roman" w:eastAsia="宋体" w:cs="Times New Roman"/>
                <w:color w:val="auto"/>
                <w:sz w:val="24"/>
                <w:szCs w:val="24"/>
                <w:lang w:val="en-US" w:eastAsia="zh-CN"/>
              </w:rPr>
              <w:t>废包装桶（S</w:t>
            </w:r>
            <w:r>
              <w:rPr>
                <w:rFonts w:hint="eastAsia" w:ascii="Times New Roman" w:hAnsi="Times New Roman" w:eastAsia="宋体" w:cs="Times New Roman"/>
                <w:color w:val="auto"/>
                <w:sz w:val="24"/>
                <w:szCs w:val="24"/>
                <w:vertAlign w:val="subscript"/>
                <w:lang w:val="en-US" w:eastAsia="zh-CN"/>
              </w:rPr>
              <w:t>2-1</w:t>
            </w:r>
            <w:r>
              <w:rPr>
                <w:rFonts w:hint="eastAsia" w:ascii="Times New Roman" w:hAnsi="Times New Roman" w:eastAsia="宋体" w:cs="Times New Roman"/>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②浇注</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按比例将预烘完成的聚氨酯预聚体和固化剂投入至浇注机中，抽真空，然后注入到模具中，完成浇注工序（浇注时模具温度保持在</w:t>
            </w:r>
            <w:r>
              <w:rPr>
                <w:rFonts w:hint="eastAsia" w:ascii="Times New Roman" w:hAnsi="Times New Roman" w:eastAsia="宋体" w:cs="Times New Roman"/>
                <w:color w:val="auto"/>
                <w:sz w:val="24"/>
                <w:szCs w:val="24"/>
                <w:lang w:val="en-US" w:eastAsia="zh-CN"/>
              </w:rPr>
              <w:t>120℃左右</w:t>
            </w:r>
            <w:r>
              <w:rPr>
                <w:rFonts w:hint="eastAsia" w:ascii="Times New Roman" w:hAnsi="Times New Roman" w:eastAsia="宋体" w:cs="Times New Roman"/>
                <w:color w:val="auto"/>
                <w:sz w:val="24"/>
                <w:szCs w:val="24"/>
                <w:lang w:eastAsia="zh-CN"/>
              </w:rPr>
              <w:t>）。此工序产生设备噪声（</w:t>
            </w:r>
            <w:r>
              <w:rPr>
                <w:rFonts w:hint="eastAsia"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2-2</w:t>
            </w:r>
            <w:r>
              <w:rPr>
                <w:rFonts w:hint="eastAsia" w:ascii="Times New Roman" w:hAnsi="Times New Roman" w:eastAsia="宋体" w:cs="Times New Roman"/>
                <w:color w:val="auto"/>
                <w:sz w:val="24"/>
                <w:szCs w:val="24"/>
                <w:lang w:eastAsia="zh-CN"/>
              </w:rPr>
              <w:t>）、非甲烷总烃（</w:t>
            </w:r>
            <w:r>
              <w:rPr>
                <w:rFonts w:hint="eastAsia"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vertAlign w:val="subscript"/>
                <w:lang w:val="en-US" w:eastAsia="zh-CN"/>
              </w:rPr>
              <w:t>2-1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和</w:t>
            </w:r>
            <w:r>
              <w:rPr>
                <w:rFonts w:hint="default" w:ascii="Times New Roman" w:hAnsi="Times New Roman" w:cs="Times New Roman"/>
                <w:b w:val="0"/>
                <w:bCs w:val="0"/>
                <w:color w:val="auto"/>
                <w:sz w:val="24"/>
                <w:szCs w:val="24"/>
                <w:lang w:val="en-US" w:eastAsia="zh-CN"/>
              </w:rPr>
              <w:t>二苯基甲烷二异氰酸酯（MDI）（G</w:t>
            </w:r>
            <w:r>
              <w:rPr>
                <w:rFonts w:hint="default" w:ascii="Times New Roman" w:hAnsi="Times New Roman" w:cs="Times New Roman"/>
                <w:b w:val="0"/>
                <w:bCs w:val="0"/>
                <w:color w:val="auto"/>
                <w:sz w:val="24"/>
                <w:szCs w:val="24"/>
                <w:vertAlign w:val="subscript"/>
                <w:lang w:val="en-US" w:eastAsia="zh-CN"/>
              </w:rPr>
              <w:t>2-2</w:t>
            </w:r>
            <w:r>
              <w:rPr>
                <w:rFonts w:hint="default" w:ascii="Times New Roman" w:hAnsi="Times New Roman" w:cs="Times New Roman"/>
                <w:b w:val="0"/>
                <w:bCs w:val="0"/>
                <w:color w:val="auto"/>
                <w:sz w:val="24"/>
                <w:szCs w:val="24"/>
                <w:lang w:val="en-US" w:eastAsia="zh-CN"/>
              </w:rPr>
              <w:t>）</w:t>
            </w:r>
            <w:r>
              <w:rPr>
                <w:rFonts w:hint="eastAsia" w:ascii="Times New Roman" w:hAnsi="Times New Roman" w:eastAsia="宋体" w:cs="Times New Roman"/>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color w:val="auto"/>
                <w:sz w:val="24"/>
                <w:szCs w:val="32"/>
                <w:lang w:val="en-US" w:eastAsia="zh-CN"/>
              </w:rPr>
            </w:pPr>
            <w:r>
              <w:rPr>
                <w:rFonts w:hint="default" w:ascii="Times New Roman" w:hAnsi="Times New Roman"/>
                <w:color w:val="auto"/>
                <w:sz w:val="24"/>
                <w:szCs w:val="32"/>
                <w:lang w:val="en-US" w:eastAsia="zh-CN"/>
              </w:rPr>
              <w:t>③</w:t>
            </w:r>
            <w:r>
              <w:rPr>
                <w:rFonts w:hint="eastAsia" w:ascii="Times New Roman" w:hAnsi="Times New Roman"/>
                <w:color w:val="auto"/>
                <w:sz w:val="24"/>
                <w:szCs w:val="32"/>
                <w:lang w:val="en-US" w:eastAsia="zh-CN"/>
              </w:rPr>
              <w:t>冷却脱模</w:t>
            </w:r>
          </w:p>
          <w:p>
            <w:pPr>
              <w:overflowPunct w:val="0"/>
              <w:autoSpaceDE w:val="0"/>
              <w:autoSpaceDN w:val="0"/>
              <w:adjustRightInd w:val="0"/>
              <w:snapToGrid w:val="0"/>
              <w:spacing w:line="360" w:lineRule="auto"/>
              <w:ind w:firstLine="480" w:firstLineChars="200"/>
              <w:rPr>
                <w:rFonts w:hint="default" w:ascii="Times New Roman" w:hAnsi="Times New Roman"/>
                <w:color w:val="auto"/>
                <w:sz w:val="24"/>
                <w:szCs w:val="32"/>
                <w:lang w:val="en-US" w:eastAsia="zh-CN"/>
              </w:rPr>
            </w:pPr>
            <w:r>
              <w:rPr>
                <w:rFonts w:hint="eastAsia" w:ascii="Times New Roman" w:hAnsi="Times New Roman"/>
                <w:color w:val="auto"/>
                <w:sz w:val="24"/>
                <w:szCs w:val="32"/>
                <w:lang w:val="en-US" w:eastAsia="zh-CN"/>
              </w:rPr>
              <w:t>将浇注完成后的工件通过自然冷却脱模。</w:t>
            </w:r>
            <w:r>
              <w:rPr>
                <w:rFonts w:hint="default" w:ascii="Times New Roman" w:hAnsi="Times New Roman"/>
                <w:color w:val="auto"/>
                <w:sz w:val="24"/>
                <w:szCs w:val="32"/>
                <w:lang w:val="en-US" w:eastAsia="zh-CN"/>
              </w:rPr>
              <w:t>此工序产生噪声</w:t>
            </w:r>
            <w:r>
              <w:rPr>
                <w:rFonts w:hint="eastAsia" w:ascii="Times New Roman" w:hAnsi="Times New Roman"/>
                <w:color w:val="auto"/>
                <w:sz w:val="24"/>
                <w:szCs w:val="32"/>
                <w:lang w:val="en-US" w:eastAsia="zh-CN"/>
              </w:rPr>
              <w:t>（N</w:t>
            </w:r>
            <w:r>
              <w:rPr>
                <w:rFonts w:hint="eastAsia" w:ascii="Times New Roman" w:hAnsi="Times New Roman"/>
                <w:color w:val="auto"/>
                <w:sz w:val="24"/>
                <w:szCs w:val="32"/>
                <w:vertAlign w:val="subscript"/>
                <w:lang w:val="en-US" w:eastAsia="zh-CN"/>
              </w:rPr>
              <w:t>2-3</w:t>
            </w:r>
            <w:r>
              <w:rPr>
                <w:rFonts w:hint="eastAsia" w:ascii="Times New Roman" w:hAnsi="Times New Roman"/>
                <w:color w:val="auto"/>
                <w:sz w:val="24"/>
                <w:szCs w:val="32"/>
                <w:lang w:val="en-US" w:eastAsia="zh-CN"/>
              </w:rPr>
              <w:t>）非甲烷总烃（G</w:t>
            </w:r>
            <w:r>
              <w:rPr>
                <w:rFonts w:hint="eastAsia" w:ascii="Times New Roman" w:hAnsi="Times New Roman"/>
                <w:color w:val="auto"/>
                <w:sz w:val="24"/>
                <w:szCs w:val="32"/>
                <w:vertAlign w:val="subscript"/>
                <w:lang w:val="en-US" w:eastAsia="zh-CN"/>
              </w:rPr>
              <w:t>2-1</w:t>
            </w:r>
            <w:r>
              <w:rPr>
                <w:rFonts w:hint="eastAsia" w:ascii="Times New Roman" w:hAnsi="Times New Roman"/>
                <w:color w:val="auto"/>
                <w:sz w:val="24"/>
                <w:szCs w:val="32"/>
                <w:lang w:val="en-US" w:eastAsia="zh-CN"/>
              </w:rPr>
              <w:t>）</w:t>
            </w:r>
            <w:r>
              <w:rPr>
                <w:rFonts w:hint="eastAsia" w:ascii="Times New Roman" w:hAnsi="Times New Roman" w:eastAsia="宋体" w:cs="Times New Roman"/>
                <w:color w:val="auto"/>
                <w:sz w:val="24"/>
                <w:szCs w:val="24"/>
                <w:lang w:val="en-US" w:eastAsia="zh-CN"/>
              </w:rPr>
              <w:t>和</w:t>
            </w:r>
            <w:r>
              <w:rPr>
                <w:rFonts w:hint="default" w:ascii="Times New Roman" w:hAnsi="Times New Roman" w:cs="Times New Roman"/>
                <w:b w:val="0"/>
                <w:bCs w:val="0"/>
                <w:color w:val="auto"/>
                <w:sz w:val="24"/>
                <w:szCs w:val="24"/>
                <w:lang w:val="en-US" w:eastAsia="zh-CN"/>
              </w:rPr>
              <w:t>二苯基甲烷二异氰酸酯（MDI）（G</w:t>
            </w:r>
            <w:r>
              <w:rPr>
                <w:rFonts w:hint="default" w:ascii="Times New Roman" w:hAnsi="Times New Roman" w:cs="Times New Roman"/>
                <w:b w:val="0"/>
                <w:bCs w:val="0"/>
                <w:color w:val="auto"/>
                <w:sz w:val="24"/>
                <w:szCs w:val="24"/>
                <w:vertAlign w:val="subscript"/>
                <w:lang w:val="en-US" w:eastAsia="zh-CN"/>
              </w:rPr>
              <w:t>2-2</w:t>
            </w:r>
            <w:r>
              <w:rPr>
                <w:rFonts w:hint="default" w:ascii="Times New Roman" w:hAnsi="Times New Roman" w:cs="Times New Roman"/>
                <w:b w:val="0"/>
                <w:bCs w:val="0"/>
                <w:color w:val="auto"/>
                <w:sz w:val="24"/>
                <w:szCs w:val="24"/>
                <w:lang w:val="en-US" w:eastAsia="zh-CN"/>
              </w:rPr>
              <w:t>）</w:t>
            </w:r>
            <w:r>
              <w:rPr>
                <w:rFonts w:hint="eastAsia" w:ascii="Times New Roman" w:hAnsi="Times New Roman" w:eastAsia="宋体" w:cs="Times New Roman"/>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color w:val="auto"/>
                <w:sz w:val="24"/>
                <w:szCs w:val="32"/>
                <w:lang w:val="en-US" w:eastAsia="zh-CN"/>
              </w:rPr>
            </w:pPr>
            <w:r>
              <w:rPr>
                <w:rFonts w:hint="default" w:ascii="Times New Roman" w:hAnsi="Times New Roman"/>
                <w:color w:val="auto"/>
                <w:sz w:val="24"/>
                <w:szCs w:val="32"/>
                <w:lang w:val="en-US" w:eastAsia="zh-CN"/>
              </w:rPr>
              <w:t>④</w:t>
            </w:r>
            <w:r>
              <w:rPr>
                <w:rFonts w:hint="eastAsia" w:ascii="Times New Roman" w:hAnsi="Times New Roman"/>
                <w:color w:val="auto"/>
                <w:sz w:val="24"/>
                <w:szCs w:val="32"/>
                <w:lang w:val="en-US" w:eastAsia="zh-CN"/>
              </w:rPr>
              <w:t>修边</w:t>
            </w:r>
          </w:p>
          <w:p>
            <w:pPr>
              <w:overflowPunct w:val="0"/>
              <w:autoSpaceDE w:val="0"/>
              <w:autoSpaceDN w:val="0"/>
              <w:adjustRightInd w:val="0"/>
              <w:snapToGrid w:val="0"/>
              <w:spacing w:line="360" w:lineRule="auto"/>
              <w:ind w:firstLine="480" w:firstLineChars="200"/>
              <w:rPr>
                <w:rFonts w:hint="eastAsia" w:ascii="Times New Roman" w:hAnsi="Times New Roman"/>
                <w:color w:val="auto"/>
                <w:sz w:val="24"/>
                <w:szCs w:val="32"/>
                <w:lang w:val="en-US" w:eastAsia="zh-CN"/>
              </w:rPr>
            </w:pPr>
            <w:r>
              <w:rPr>
                <w:rFonts w:hint="eastAsia" w:ascii="Times New Roman" w:hAnsi="Times New Roman"/>
                <w:color w:val="auto"/>
                <w:sz w:val="24"/>
                <w:szCs w:val="32"/>
                <w:lang w:val="en-US" w:eastAsia="zh-CN"/>
              </w:rPr>
              <w:t>将冷却脱模的半成品按照设计标准进行修边。此工序产生噪声（N2-4）和边角料（S2-2）。</w:t>
            </w:r>
          </w:p>
          <w:p>
            <w:pPr>
              <w:overflowPunct w:val="0"/>
              <w:autoSpaceDE w:val="0"/>
              <w:autoSpaceDN w:val="0"/>
              <w:adjustRightInd w:val="0"/>
              <w:snapToGrid w:val="0"/>
              <w:spacing w:line="360" w:lineRule="auto"/>
              <w:ind w:firstLine="480" w:firstLineChars="200"/>
              <w:rPr>
                <w:rFonts w:hint="eastAsia" w:ascii="Times New Roman" w:hAnsi="Times New Roman"/>
                <w:color w:val="auto"/>
                <w:sz w:val="24"/>
                <w:szCs w:val="32"/>
                <w:lang w:val="en-US" w:eastAsia="zh-CN"/>
              </w:rPr>
            </w:pPr>
            <w:r>
              <w:rPr>
                <w:rFonts w:hint="eastAsia" w:ascii="Times New Roman" w:hAnsi="Times New Roman"/>
                <w:color w:val="auto"/>
                <w:sz w:val="24"/>
                <w:szCs w:val="32"/>
                <w:lang w:val="en-US" w:eastAsia="zh-CN"/>
              </w:rPr>
              <w:t>⑤机加工</w:t>
            </w:r>
          </w:p>
          <w:p>
            <w:pPr>
              <w:overflowPunct w:val="0"/>
              <w:autoSpaceDE w:val="0"/>
              <w:autoSpaceDN w:val="0"/>
              <w:adjustRightInd w:val="0"/>
              <w:snapToGrid w:val="0"/>
              <w:spacing w:line="360" w:lineRule="auto"/>
              <w:ind w:firstLine="480" w:firstLineChars="200"/>
              <w:rPr>
                <w:rFonts w:hint="default" w:ascii="Times New Roman" w:hAnsi="Times New Roman"/>
                <w:color w:val="auto"/>
                <w:sz w:val="24"/>
                <w:szCs w:val="32"/>
                <w:lang w:val="en-US" w:eastAsia="zh-CN"/>
              </w:rPr>
            </w:pPr>
            <w:r>
              <w:rPr>
                <w:rFonts w:hint="eastAsia" w:ascii="Times New Roman" w:hAnsi="Times New Roman"/>
                <w:color w:val="auto"/>
                <w:sz w:val="24"/>
                <w:szCs w:val="32"/>
                <w:lang w:val="en-US" w:eastAsia="zh-CN"/>
              </w:rPr>
              <w:t>将外购的铝合金型材利用锯床、车床及铣床成一定规格的铝合金型材，然后放入浇注机中，起到固定的作用。此工序产生噪声（N</w:t>
            </w:r>
            <w:r>
              <w:rPr>
                <w:rFonts w:hint="eastAsia" w:ascii="Times New Roman" w:hAnsi="Times New Roman"/>
                <w:color w:val="auto"/>
                <w:sz w:val="24"/>
                <w:szCs w:val="32"/>
                <w:vertAlign w:val="subscript"/>
                <w:lang w:val="en-US" w:eastAsia="zh-CN"/>
              </w:rPr>
              <w:t>2-5</w:t>
            </w:r>
            <w:r>
              <w:rPr>
                <w:rFonts w:hint="eastAsia" w:ascii="Times New Roman" w:hAnsi="Times New Roman"/>
                <w:color w:val="auto"/>
                <w:sz w:val="24"/>
                <w:szCs w:val="32"/>
                <w:lang w:val="en-US" w:eastAsia="zh-CN"/>
              </w:rPr>
              <w:t>）、边角料（S</w:t>
            </w:r>
            <w:r>
              <w:rPr>
                <w:rFonts w:hint="eastAsia" w:ascii="Times New Roman" w:hAnsi="Times New Roman"/>
                <w:color w:val="auto"/>
                <w:sz w:val="24"/>
                <w:szCs w:val="32"/>
                <w:vertAlign w:val="subscript"/>
                <w:lang w:val="en-US" w:eastAsia="zh-CN"/>
              </w:rPr>
              <w:t>2-3</w:t>
            </w:r>
            <w:r>
              <w:rPr>
                <w:rFonts w:hint="eastAsia" w:ascii="Times New Roman" w:hAnsi="Times New Roman"/>
                <w:color w:val="auto"/>
                <w:sz w:val="24"/>
                <w:szCs w:val="32"/>
                <w:lang w:val="en-US" w:eastAsia="zh-CN"/>
              </w:rPr>
              <w:t>）、废机油（S</w:t>
            </w:r>
            <w:r>
              <w:rPr>
                <w:rFonts w:hint="eastAsia" w:ascii="Times New Roman" w:hAnsi="Times New Roman"/>
                <w:color w:val="auto"/>
                <w:sz w:val="24"/>
                <w:szCs w:val="32"/>
                <w:vertAlign w:val="subscript"/>
                <w:lang w:val="en-US" w:eastAsia="zh-CN"/>
              </w:rPr>
              <w:t>2-4</w:t>
            </w:r>
            <w:r>
              <w:rPr>
                <w:rFonts w:hint="eastAsia" w:ascii="Times New Roman" w:hAnsi="Times New Roman"/>
                <w:color w:val="auto"/>
                <w:sz w:val="24"/>
                <w:szCs w:val="32"/>
                <w:lang w:val="en-US" w:eastAsia="zh-CN"/>
              </w:rPr>
              <w:t>）</w:t>
            </w:r>
            <w:r>
              <w:rPr>
                <w:rFonts w:hint="default" w:ascii="Times New Roman" w:hAnsi="Times New Roman"/>
                <w:color w:val="auto"/>
                <w:sz w:val="24"/>
                <w:szCs w:val="32"/>
                <w:lang w:val="en-US" w:eastAsia="zh-CN"/>
              </w:rPr>
              <w:t>、</w:t>
            </w:r>
            <w:r>
              <w:rPr>
                <w:rFonts w:hint="eastAsia" w:ascii="Times New Roman" w:hAnsi="Times New Roman"/>
                <w:color w:val="auto"/>
                <w:sz w:val="24"/>
                <w:szCs w:val="32"/>
                <w:lang w:val="en-US" w:eastAsia="zh-CN"/>
              </w:rPr>
              <w:t>废切削液（S</w:t>
            </w:r>
            <w:r>
              <w:rPr>
                <w:rFonts w:hint="eastAsia" w:ascii="Times New Roman" w:hAnsi="Times New Roman"/>
                <w:color w:val="auto"/>
                <w:sz w:val="24"/>
                <w:szCs w:val="32"/>
                <w:vertAlign w:val="subscript"/>
                <w:lang w:val="en-US" w:eastAsia="zh-CN"/>
              </w:rPr>
              <w:t>2-5</w:t>
            </w:r>
            <w:r>
              <w:rPr>
                <w:rFonts w:hint="eastAsia" w:ascii="Times New Roman" w:hAnsi="Times New Roman"/>
                <w:color w:val="auto"/>
                <w:sz w:val="24"/>
                <w:szCs w:val="32"/>
                <w:lang w:val="en-US" w:eastAsia="zh-CN"/>
              </w:rPr>
              <w:t>）和废包装桶（S</w:t>
            </w:r>
            <w:r>
              <w:rPr>
                <w:rFonts w:hint="eastAsia" w:ascii="Times New Roman" w:hAnsi="Times New Roman"/>
                <w:color w:val="auto"/>
                <w:sz w:val="24"/>
                <w:szCs w:val="32"/>
                <w:vertAlign w:val="subscript"/>
                <w:lang w:val="en-US" w:eastAsia="zh-CN"/>
              </w:rPr>
              <w:t>2-6</w:t>
            </w:r>
            <w:r>
              <w:rPr>
                <w:rFonts w:hint="eastAsia" w:ascii="Times New Roman" w:hAnsi="Times New Roman"/>
                <w:color w:val="auto"/>
                <w:sz w:val="24"/>
                <w:szCs w:val="32"/>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为保障产品的品质，聚氨酯刀头、浇注机须定期清洗，清洗使用清洗剂。清洗工序产生非甲烷总烃（G</w:t>
            </w:r>
            <w:r>
              <w:rPr>
                <w:rFonts w:hint="default" w:ascii="Times New Roman" w:hAnsi="Times New Roman" w:eastAsia="宋体" w:cs="Times New Roman"/>
                <w:color w:val="auto"/>
                <w:sz w:val="24"/>
                <w:szCs w:val="24"/>
                <w:vertAlign w:val="subscript"/>
                <w:lang w:val="en-US" w:eastAsia="zh-CN"/>
              </w:rPr>
              <w:t>7-1</w:t>
            </w:r>
            <w:r>
              <w:rPr>
                <w:rFonts w:hint="default" w:ascii="Times New Roman" w:hAnsi="Times New Roman" w:eastAsia="宋体" w:cs="Times New Roman"/>
                <w:color w:val="auto"/>
                <w:sz w:val="24"/>
                <w:szCs w:val="24"/>
                <w:lang w:val="en-US" w:eastAsia="zh-CN"/>
              </w:rPr>
              <w:t>）及废包装桶（S</w:t>
            </w:r>
            <w:r>
              <w:rPr>
                <w:rFonts w:hint="default" w:ascii="Times New Roman" w:hAnsi="Times New Roman" w:eastAsia="宋体" w:cs="Times New Roman"/>
                <w:color w:val="auto"/>
                <w:sz w:val="24"/>
                <w:szCs w:val="24"/>
                <w:vertAlign w:val="subscript"/>
                <w:lang w:val="en-US" w:eastAsia="zh-CN"/>
              </w:rPr>
              <w:t>7-1</w:t>
            </w:r>
            <w:r>
              <w:rPr>
                <w:rFonts w:hint="default" w:ascii="Times New Roman" w:hAnsi="Times New Roman" w:eastAsia="宋体" w:cs="Times New Roman"/>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color w:val="auto"/>
                <w:sz w:val="24"/>
                <w:szCs w:val="32"/>
                <w:lang w:val="en-US" w:eastAsia="zh-CN"/>
              </w:rPr>
              <w:t>（3）橡胶配件生产工艺流程和产排污环</w:t>
            </w:r>
            <w:r>
              <w:rPr>
                <w:rFonts w:hint="eastAsia" w:ascii="Times New Roman" w:hAnsi="Times New Roman" w:eastAsia="宋体" w:cs="Times New Roman"/>
                <w:color w:val="auto"/>
                <w:sz w:val="24"/>
                <w:szCs w:val="24"/>
                <w:lang w:val="en-US" w:eastAsia="zh-CN"/>
              </w:rPr>
              <w:t>节简述</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w:t>
            </w:r>
            <w:r>
              <w:rPr>
                <w:rFonts w:hint="eastAsia" w:ascii="Times New Roman" w:hAnsi="Times New Roman" w:eastAsia="宋体" w:cs="Times New Roman"/>
                <w:color w:val="auto"/>
                <w:sz w:val="24"/>
                <w:szCs w:val="24"/>
                <w:lang w:eastAsia="zh-CN"/>
              </w:rPr>
              <w:t>裁剪</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ascii="Times New Roman" w:hAnsi="Times New Roman"/>
                <w:color w:val="auto"/>
                <w:sz w:val="24"/>
                <w:szCs w:val="32"/>
                <w:lang w:val="en-US" w:eastAsia="zh-CN"/>
              </w:rPr>
              <w:t>根据产品要求的尺寸大小，将</w:t>
            </w:r>
            <w:r>
              <w:rPr>
                <w:rFonts w:hint="eastAsia" w:ascii="Times New Roman" w:hAnsi="Times New Roman"/>
                <w:color w:val="auto"/>
                <w:sz w:val="24"/>
                <w:szCs w:val="32"/>
                <w:lang w:val="en-US" w:eastAsia="zh-CN"/>
              </w:rPr>
              <w:t>外购</w:t>
            </w:r>
            <w:r>
              <w:rPr>
                <w:rFonts w:ascii="Times New Roman" w:hAnsi="Times New Roman"/>
                <w:color w:val="auto"/>
                <w:sz w:val="24"/>
                <w:szCs w:val="32"/>
                <w:lang w:val="en-US" w:eastAsia="zh-CN"/>
              </w:rPr>
              <w:t>的橡胶</w:t>
            </w:r>
            <w:r>
              <w:rPr>
                <w:rFonts w:hint="eastAsia" w:ascii="Times New Roman" w:hAnsi="Times New Roman"/>
                <w:color w:val="auto"/>
                <w:sz w:val="24"/>
                <w:szCs w:val="32"/>
                <w:lang w:val="en-US" w:eastAsia="zh-CN"/>
              </w:rPr>
              <w:t>胶片（已开炼和密炼）</w:t>
            </w:r>
            <w:r>
              <w:rPr>
                <w:rFonts w:ascii="Times New Roman" w:hAnsi="Times New Roman"/>
                <w:color w:val="auto"/>
                <w:sz w:val="24"/>
                <w:szCs w:val="32"/>
                <w:lang w:val="en-US" w:eastAsia="zh-CN"/>
              </w:rPr>
              <w:t>通过</w:t>
            </w:r>
            <w:r>
              <w:rPr>
                <w:rFonts w:hint="eastAsia" w:ascii="Times New Roman" w:hAnsi="Times New Roman"/>
                <w:color w:val="auto"/>
                <w:sz w:val="24"/>
                <w:szCs w:val="32"/>
                <w:lang w:val="en-US" w:eastAsia="zh-CN"/>
              </w:rPr>
              <w:t>裁切机</w:t>
            </w:r>
            <w:r>
              <w:rPr>
                <w:rFonts w:ascii="Times New Roman" w:hAnsi="Times New Roman"/>
                <w:color w:val="auto"/>
                <w:sz w:val="24"/>
                <w:szCs w:val="32"/>
                <w:lang w:val="en-US" w:eastAsia="zh-CN"/>
              </w:rPr>
              <w:t>进行剪裁</w:t>
            </w:r>
            <w:r>
              <w:rPr>
                <w:rFonts w:hint="eastAsia" w:ascii="Times New Roman" w:hAnsi="Times New Roman"/>
                <w:color w:val="auto"/>
                <w:sz w:val="24"/>
                <w:szCs w:val="32"/>
                <w:lang w:val="en-US" w:eastAsia="zh-CN"/>
              </w:rPr>
              <w:t>。此工序产生和噪声（N</w:t>
            </w:r>
            <w:r>
              <w:rPr>
                <w:rFonts w:hint="eastAsia" w:ascii="Times New Roman" w:hAnsi="Times New Roman"/>
                <w:color w:val="auto"/>
                <w:sz w:val="24"/>
                <w:szCs w:val="32"/>
                <w:vertAlign w:val="subscript"/>
                <w:lang w:val="en-US" w:eastAsia="zh-CN"/>
              </w:rPr>
              <w:t>3-1</w:t>
            </w:r>
            <w:r>
              <w:rPr>
                <w:rFonts w:hint="eastAsia" w:ascii="Times New Roman" w:hAnsi="Times New Roman"/>
                <w:color w:val="auto"/>
                <w:sz w:val="24"/>
                <w:szCs w:val="32"/>
                <w:lang w:val="en-US" w:eastAsia="zh-CN"/>
              </w:rPr>
              <w:t>）和</w:t>
            </w:r>
            <w:r>
              <w:rPr>
                <w:rFonts w:ascii="Times New Roman" w:hAnsi="Times New Roman"/>
                <w:color w:val="auto"/>
                <w:sz w:val="24"/>
                <w:szCs w:val="32"/>
                <w:lang w:val="en-US" w:eastAsia="zh-CN"/>
              </w:rPr>
              <w:t>边角料</w:t>
            </w:r>
            <w:r>
              <w:rPr>
                <w:rFonts w:hint="eastAsia" w:ascii="Times New Roman" w:hAnsi="Times New Roman"/>
                <w:color w:val="auto"/>
                <w:sz w:val="24"/>
                <w:szCs w:val="32"/>
                <w:lang w:val="en-US" w:eastAsia="zh-CN"/>
              </w:rPr>
              <w:t>（S</w:t>
            </w:r>
            <w:r>
              <w:rPr>
                <w:rFonts w:hint="eastAsia" w:ascii="Times New Roman" w:hAnsi="Times New Roman"/>
                <w:color w:val="auto"/>
                <w:sz w:val="24"/>
                <w:szCs w:val="32"/>
                <w:vertAlign w:val="subscript"/>
                <w:lang w:val="en-US" w:eastAsia="zh-CN"/>
              </w:rPr>
              <w:t>3-1</w:t>
            </w:r>
            <w:r>
              <w:rPr>
                <w:rFonts w:hint="eastAsia" w:ascii="Times New Roman" w:hAnsi="Times New Roman"/>
                <w:color w:val="auto"/>
                <w:sz w:val="24"/>
                <w:szCs w:val="32"/>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w:t>
            </w:r>
            <w:r>
              <w:rPr>
                <w:rFonts w:hint="eastAsia" w:ascii="Times New Roman" w:hAnsi="Times New Roman" w:eastAsia="宋体" w:cs="Times New Roman"/>
                <w:color w:val="auto"/>
                <w:sz w:val="24"/>
                <w:szCs w:val="24"/>
                <w:lang w:eastAsia="zh-CN"/>
              </w:rPr>
              <w:t>硫化</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ascii="Times New Roman" w:hAnsi="Times New Roman"/>
                <w:color w:val="auto"/>
                <w:sz w:val="24"/>
                <w:szCs w:val="32"/>
                <w:lang w:val="en-US" w:eastAsia="zh-CN"/>
              </w:rPr>
              <w:t>裁切后的橡胶与工件根据需要放入模具中，通过硫化机进行加热硫化作业。硫化工程中采用电加热，加热时间约1h/批次，加热温度约145</w:t>
            </w:r>
            <w:r>
              <w:rPr>
                <w:rFonts w:hAnsi="Times New Roman"/>
                <w:color w:val="auto"/>
                <w:sz w:val="24"/>
                <w:szCs w:val="32"/>
                <w:lang w:val="en-US" w:eastAsia="zh-CN"/>
              </w:rPr>
              <w:t>℃</w:t>
            </w:r>
            <w:r>
              <w:rPr>
                <w:rFonts w:ascii="Times New Roman" w:hAnsi="Times New Roman"/>
                <w:color w:val="auto"/>
                <w:sz w:val="24"/>
                <w:szCs w:val="32"/>
                <w:lang w:val="en-US" w:eastAsia="zh-CN"/>
              </w:rPr>
              <w:t>；橡胶经硫化能使橡胶分子之间产生交联，形成三维网状结构，从而使其性能大大改善。</w:t>
            </w:r>
            <w:r>
              <w:rPr>
                <w:rFonts w:hint="eastAsia" w:ascii="Times New Roman" w:hAnsi="Times New Roman"/>
                <w:color w:val="auto"/>
                <w:sz w:val="24"/>
                <w:szCs w:val="32"/>
                <w:lang w:val="en-US" w:eastAsia="zh-CN"/>
              </w:rPr>
              <w:t>此</w:t>
            </w:r>
            <w:r>
              <w:rPr>
                <w:rFonts w:ascii="Times New Roman" w:hAnsi="Times New Roman"/>
                <w:color w:val="auto"/>
                <w:sz w:val="24"/>
                <w:szCs w:val="32"/>
                <w:lang w:val="en-US" w:eastAsia="zh-CN"/>
              </w:rPr>
              <w:t>工序</w:t>
            </w:r>
            <w:r>
              <w:rPr>
                <w:rFonts w:hint="eastAsia" w:ascii="Times New Roman" w:hAnsi="Times New Roman"/>
                <w:color w:val="auto"/>
                <w:sz w:val="24"/>
                <w:szCs w:val="32"/>
                <w:lang w:val="en-US" w:eastAsia="zh-CN"/>
              </w:rPr>
              <w:t>产生噪声（N</w:t>
            </w:r>
            <w:r>
              <w:rPr>
                <w:rFonts w:hint="eastAsia" w:ascii="Times New Roman" w:hAnsi="Times New Roman"/>
                <w:color w:val="auto"/>
                <w:sz w:val="24"/>
                <w:szCs w:val="32"/>
                <w:vertAlign w:val="subscript"/>
                <w:lang w:val="en-US" w:eastAsia="zh-CN"/>
              </w:rPr>
              <w:t>3-1</w:t>
            </w:r>
            <w:r>
              <w:rPr>
                <w:rFonts w:hint="eastAsia" w:ascii="Times New Roman" w:hAnsi="Times New Roman"/>
                <w:color w:val="auto"/>
                <w:sz w:val="24"/>
                <w:szCs w:val="32"/>
                <w:lang w:val="en-US" w:eastAsia="zh-CN"/>
              </w:rPr>
              <w:t>）、非甲烷总烃（G</w:t>
            </w:r>
            <w:r>
              <w:rPr>
                <w:rFonts w:hint="eastAsia" w:ascii="Times New Roman" w:hAnsi="Times New Roman"/>
                <w:color w:val="auto"/>
                <w:sz w:val="24"/>
                <w:szCs w:val="32"/>
                <w:vertAlign w:val="subscript"/>
                <w:lang w:val="en-US" w:eastAsia="zh-CN"/>
              </w:rPr>
              <w:t>3-1</w:t>
            </w:r>
            <w:r>
              <w:rPr>
                <w:rFonts w:hint="eastAsia" w:ascii="Times New Roman" w:hAnsi="Times New Roman"/>
                <w:color w:val="auto"/>
                <w:sz w:val="24"/>
                <w:szCs w:val="32"/>
                <w:lang w:val="en-US" w:eastAsia="zh-CN"/>
              </w:rPr>
              <w:t>）、二硫化碳（G</w:t>
            </w:r>
            <w:r>
              <w:rPr>
                <w:rFonts w:hint="eastAsia" w:ascii="Times New Roman" w:hAnsi="Times New Roman"/>
                <w:color w:val="auto"/>
                <w:sz w:val="24"/>
                <w:szCs w:val="32"/>
                <w:vertAlign w:val="subscript"/>
                <w:lang w:val="en-US" w:eastAsia="zh-CN"/>
              </w:rPr>
              <w:t>3-2</w:t>
            </w:r>
            <w:r>
              <w:rPr>
                <w:rFonts w:hint="eastAsia" w:ascii="Times New Roman" w:hAnsi="Times New Roman"/>
                <w:color w:val="auto"/>
                <w:sz w:val="24"/>
                <w:szCs w:val="32"/>
                <w:lang w:val="en-US" w:eastAsia="zh-CN"/>
              </w:rPr>
              <w:t>）和臭气浓度（G</w:t>
            </w:r>
            <w:r>
              <w:rPr>
                <w:rFonts w:hint="eastAsia" w:ascii="Times New Roman" w:hAnsi="Times New Roman"/>
                <w:color w:val="auto"/>
                <w:sz w:val="24"/>
                <w:szCs w:val="32"/>
                <w:vertAlign w:val="subscript"/>
                <w:lang w:val="en-US" w:eastAsia="zh-CN"/>
              </w:rPr>
              <w:t>3-3</w:t>
            </w:r>
            <w:r>
              <w:rPr>
                <w:rFonts w:hint="eastAsia" w:ascii="Times New Roman" w:hAnsi="Times New Roman"/>
                <w:color w:val="auto"/>
                <w:sz w:val="24"/>
                <w:szCs w:val="32"/>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w:t>
            </w:r>
            <w:r>
              <w:rPr>
                <w:rFonts w:hint="eastAsia" w:ascii="Times New Roman" w:hAnsi="Times New Roman" w:eastAsia="宋体" w:cs="Times New Roman"/>
                <w:color w:val="auto"/>
                <w:sz w:val="24"/>
                <w:szCs w:val="24"/>
                <w:lang w:eastAsia="zh-CN"/>
              </w:rPr>
              <w:t>修边</w:t>
            </w:r>
          </w:p>
          <w:p>
            <w:pPr>
              <w:overflowPunct w:val="0"/>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color w:val="auto"/>
                <w:sz w:val="24"/>
                <w:szCs w:val="32"/>
                <w:lang w:val="en-US" w:eastAsia="zh-CN"/>
              </w:rPr>
              <w:t>硫化脱模后的橡胶</w:t>
            </w:r>
            <w:r>
              <w:rPr>
                <w:rFonts w:hint="eastAsia" w:ascii="Times New Roman" w:hAnsi="Times New Roman"/>
                <w:color w:val="auto"/>
                <w:sz w:val="24"/>
                <w:szCs w:val="32"/>
                <w:lang w:val="en-US" w:eastAsia="zh-CN"/>
              </w:rPr>
              <w:t>配件</w:t>
            </w:r>
            <w:r>
              <w:rPr>
                <w:rFonts w:ascii="Times New Roman" w:hAnsi="Times New Roman"/>
                <w:color w:val="auto"/>
                <w:sz w:val="24"/>
                <w:szCs w:val="32"/>
                <w:lang w:val="en-US" w:eastAsia="zh-CN"/>
              </w:rPr>
              <w:t>进行人工修边</w:t>
            </w:r>
            <w:r>
              <w:rPr>
                <w:rFonts w:hint="eastAsia" w:ascii="Times New Roman" w:hAnsi="Times New Roman"/>
                <w:color w:val="auto"/>
                <w:sz w:val="24"/>
                <w:szCs w:val="32"/>
                <w:lang w:val="en-US" w:eastAsia="zh-CN"/>
              </w:rPr>
              <w:t>。此工序产生边角料（S</w:t>
            </w:r>
            <w:r>
              <w:rPr>
                <w:rFonts w:hint="eastAsia" w:ascii="Times New Roman" w:hAnsi="Times New Roman"/>
                <w:color w:val="auto"/>
                <w:sz w:val="24"/>
                <w:szCs w:val="32"/>
                <w:vertAlign w:val="subscript"/>
                <w:lang w:val="en-US" w:eastAsia="zh-CN"/>
              </w:rPr>
              <w:t>3-1</w:t>
            </w:r>
            <w:r>
              <w:rPr>
                <w:rFonts w:hint="eastAsia" w:ascii="Times New Roman" w:hAnsi="Times New Roman"/>
                <w:color w:val="auto"/>
                <w:sz w:val="24"/>
                <w:szCs w:val="32"/>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）皮带输送清扫器生产工艺流程和产排污环节简述</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①组装</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将外购的电机、减速机以及加工后的聚氨酯配件、橡胶配件、托辊</w:t>
            </w:r>
            <w:r>
              <w:rPr>
                <w:rFonts w:hint="default" w:ascii="Times New Roman" w:hAnsi="Times New Roman" w:eastAsia="宋体" w:cs="Times New Roman"/>
                <w:color w:val="auto"/>
                <w:sz w:val="24"/>
                <w:szCs w:val="24"/>
                <w:lang w:eastAsia="zh-CN"/>
              </w:rPr>
              <w:t>进行</w:t>
            </w:r>
            <w:r>
              <w:rPr>
                <w:rFonts w:hint="eastAsia" w:ascii="Times New Roman" w:hAnsi="Times New Roman" w:eastAsia="宋体" w:cs="Times New Roman"/>
                <w:color w:val="auto"/>
                <w:sz w:val="24"/>
                <w:szCs w:val="24"/>
                <w:lang w:eastAsia="zh-CN"/>
              </w:rPr>
              <w:t>组装</w:t>
            </w:r>
            <w:r>
              <w:rPr>
                <w:rFonts w:hint="default" w:ascii="Times New Roman" w:hAnsi="Times New Roman" w:eastAsia="宋体" w:cs="Times New Roman"/>
                <w:color w:val="auto"/>
                <w:sz w:val="24"/>
                <w:szCs w:val="24"/>
                <w:lang w:eastAsia="zh-CN"/>
              </w:rPr>
              <w:t>。此工序产生噪声</w:t>
            </w:r>
            <w:r>
              <w:rPr>
                <w:rFonts w:hint="eastAsia"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5-1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p>
          <w:p>
            <w:pPr>
              <w:overflowPunct w:val="0"/>
              <w:autoSpaceDE w:val="0"/>
              <w:autoSpaceDN w:val="0"/>
              <w:adjustRightInd w:val="0"/>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②包装</w:t>
            </w:r>
          </w:p>
          <w:p>
            <w:pPr>
              <w:overflowPunct w:val="0"/>
              <w:autoSpaceDE w:val="0"/>
              <w:autoSpaceDN w:val="0"/>
              <w:adjustRightInd w:val="0"/>
              <w:snapToGrid w:val="0"/>
              <w:spacing w:line="360" w:lineRule="auto"/>
              <w:ind w:firstLine="480" w:firstLineChars="200"/>
              <w:rPr>
                <w:rFonts w:hint="eastAsia"/>
                <w:color w:val="auto"/>
                <w:lang w:val="en-US" w:eastAsia="zh-CN"/>
              </w:rPr>
            </w:pPr>
            <w:r>
              <w:rPr>
                <w:rFonts w:hint="eastAsia" w:ascii="Times New Roman" w:hAnsi="Times New Roman" w:cs="Times New Roman"/>
                <w:color w:val="auto"/>
                <w:sz w:val="24"/>
                <w:szCs w:val="24"/>
                <w:lang w:val="en-US" w:eastAsia="zh-CN"/>
              </w:rPr>
              <w:t>组装完毕的皮带清扫器利用木质包装箱进行包装，外售。</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color w:val="auto"/>
                <w:sz w:val="24"/>
                <w:szCs w:val="24"/>
                <w:u w:val="single"/>
                <w:lang w:val="en-US" w:eastAsia="zh-CN"/>
              </w:rPr>
              <w:t>为保障产品的品质，聚氨酯刀头、浇注机须定期清洗，清洗使用清洗剂。清洗工序产生非甲烷总烃（G</w:t>
            </w:r>
            <w:r>
              <w:rPr>
                <w:rFonts w:hint="eastAsia" w:ascii="Times New Roman" w:hAnsi="Times New Roman" w:eastAsia="宋体" w:cs="Times New Roman"/>
                <w:color w:val="auto"/>
                <w:sz w:val="24"/>
                <w:szCs w:val="24"/>
                <w:u w:val="single"/>
                <w:vertAlign w:val="subscript"/>
                <w:lang w:val="en-US" w:eastAsia="zh-CN"/>
              </w:rPr>
              <w:t>6</w:t>
            </w:r>
            <w:r>
              <w:rPr>
                <w:rFonts w:hint="default" w:ascii="Times New Roman" w:hAnsi="Times New Roman" w:eastAsia="宋体" w:cs="Times New Roman"/>
                <w:color w:val="auto"/>
                <w:sz w:val="24"/>
                <w:szCs w:val="24"/>
                <w:u w:val="single"/>
                <w:vertAlign w:val="subscript"/>
                <w:lang w:val="en-US" w:eastAsia="zh-CN"/>
              </w:rPr>
              <w:t>-1</w:t>
            </w:r>
            <w:r>
              <w:rPr>
                <w:rFonts w:hint="default" w:ascii="Times New Roman" w:hAnsi="Times New Roman" w:eastAsia="宋体" w:cs="Times New Roman"/>
                <w:color w:val="auto"/>
                <w:sz w:val="24"/>
                <w:szCs w:val="24"/>
                <w:u w:val="single"/>
                <w:lang w:val="en-US" w:eastAsia="zh-CN"/>
              </w:rPr>
              <w:t>）及废包装桶（S</w:t>
            </w:r>
            <w:r>
              <w:rPr>
                <w:rFonts w:hint="eastAsia" w:ascii="Times New Roman" w:hAnsi="Times New Roman" w:eastAsia="宋体" w:cs="Times New Roman"/>
                <w:color w:val="auto"/>
                <w:sz w:val="24"/>
                <w:szCs w:val="24"/>
                <w:u w:val="single"/>
                <w:vertAlign w:val="subscript"/>
                <w:lang w:val="en-US" w:eastAsia="zh-CN"/>
              </w:rPr>
              <w:t>6</w:t>
            </w:r>
            <w:r>
              <w:rPr>
                <w:rFonts w:hint="default" w:ascii="Times New Roman" w:hAnsi="Times New Roman" w:eastAsia="宋体" w:cs="Times New Roman"/>
                <w:color w:val="auto"/>
                <w:sz w:val="24"/>
                <w:szCs w:val="24"/>
                <w:u w:val="single"/>
                <w:vertAlign w:val="subscript"/>
                <w:lang w:val="en-US" w:eastAsia="zh-CN"/>
              </w:rPr>
              <w:t>-1</w:t>
            </w:r>
            <w:r>
              <w:rPr>
                <w:rFonts w:hint="default" w:ascii="Times New Roman" w:hAnsi="Times New Roman" w:eastAsia="宋体" w:cs="Times New Roman"/>
                <w:color w:val="auto"/>
                <w:sz w:val="24"/>
                <w:szCs w:val="24"/>
                <w:u w:val="single"/>
                <w:lang w:val="en-US" w:eastAsia="zh-CN"/>
              </w:rPr>
              <w:t>）</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u w:val="none"/>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1.2.2工业毛刷设备</w:t>
            </w:r>
            <w:r>
              <w:rPr>
                <w:rFonts w:hint="default" w:ascii="Times New Roman" w:hAnsi="Times New Roman" w:cs="Times New Roman"/>
                <w:color w:val="auto"/>
                <w:sz w:val="24"/>
                <w:szCs w:val="24"/>
                <w:lang w:val="en-US" w:eastAsia="zh-CN"/>
              </w:rPr>
              <w:t>生产</w:t>
            </w:r>
            <w:r>
              <w:rPr>
                <w:rFonts w:hint="default" w:ascii="Times New Roman" w:hAnsi="Times New Roman" w:cs="Times New Roman"/>
                <w:color w:val="auto"/>
                <w:sz w:val="24"/>
                <w:szCs w:val="24"/>
              </w:rPr>
              <w:t>工艺流程和产排污环节</w:t>
            </w:r>
          </w:p>
          <w:p>
            <w:pPr>
              <w:overflowPunct w:val="0"/>
              <w:autoSpaceDE w:val="0"/>
              <w:autoSpaceDN w:val="0"/>
              <w:adjustRightInd w:val="0"/>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本项目矿山皮带输送配套设备主要包含皮带输送清扫器和工业毛刷设备。</w:t>
            </w:r>
          </w:p>
          <w:p>
            <w:pPr>
              <w:overflowPunct w:val="0"/>
              <w:autoSpaceDE w:val="0"/>
              <w:autoSpaceDN w:val="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工业毛刷设备</w:t>
            </w:r>
            <w:r>
              <w:rPr>
                <w:rFonts w:hint="default" w:ascii="Times New Roman" w:hAnsi="Times New Roman" w:cs="Times New Roman"/>
                <w:color w:val="auto"/>
                <w:sz w:val="24"/>
                <w:szCs w:val="24"/>
                <w:lang w:val="en-US" w:eastAsia="zh-CN"/>
              </w:rPr>
              <w:t>生产</w:t>
            </w:r>
            <w:r>
              <w:rPr>
                <w:rFonts w:hint="default" w:ascii="Times New Roman" w:hAnsi="Times New Roman" w:cs="Times New Roman"/>
                <w:color w:val="auto"/>
                <w:sz w:val="24"/>
                <w:szCs w:val="24"/>
              </w:rPr>
              <w:t>工艺流程和产排污环节</w:t>
            </w:r>
            <w:r>
              <w:rPr>
                <w:rFonts w:hint="default" w:ascii="Times New Roman" w:hAnsi="Times New Roman" w:cs="Times New Roman"/>
                <w:color w:val="auto"/>
                <w:sz w:val="24"/>
                <w:szCs w:val="24"/>
                <w:lang w:val="en-US" w:eastAsia="zh-CN"/>
              </w:rPr>
              <w:t>见图2.</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w:t>
            </w:r>
          </w:p>
          <w:p>
            <w:pPr>
              <w:jc w:val="center"/>
              <w:rPr>
                <w:color w:val="auto"/>
              </w:rPr>
            </w:pPr>
            <w:r>
              <w:rPr>
                <w:rFonts w:hint="default" w:ascii="Times New Roman" w:hAnsi="Times New Roman" w:cs="Times New Roman"/>
                <w:b w:val="0"/>
                <w:bCs w:val="0"/>
                <w:color w:val="auto"/>
                <w:sz w:val="24"/>
                <w:szCs w:val="24"/>
                <w:lang w:val="en-US" w:eastAsia="zh-CN"/>
              </w:rPr>
              <w:object>
                <v:shape id="_x0000_i1027" o:spt="75" type="#_x0000_t75" style="height:377.9pt;width:290.2pt;" o:ole="t" filled="f" o:preferrelative="t" stroked="f" coordsize="21600,21600">
                  <v:path/>
                  <v:fill on="f" focussize="0,0"/>
                  <v:stroke on="f"/>
                  <v:imagedata r:id="rId12" o:title=""/>
                  <o:lock v:ext="edit" aspectratio="t"/>
                  <w10:wrap type="none"/>
                  <w10:anchorlock/>
                </v:shape>
                <o:OLEObject Type="Embed" ProgID="RFFlow4" ShapeID="_x0000_i1027" DrawAspect="Content" ObjectID="_1468075727" r:id="rId11">
                  <o:LockedField>false</o:LockedField>
                </o:OLEObject>
              </w:object>
            </w:r>
          </w:p>
          <w:p>
            <w:pPr>
              <w:overflowPunct w:val="0"/>
              <w:autoSpaceDE w:val="0"/>
              <w:autoSpaceDN w:val="0"/>
              <w:adjustRightInd w:val="0"/>
              <w:snapToGrid w:val="0"/>
              <w:spacing w:line="360" w:lineRule="auto"/>
              <w:jc w:val="center"/>
              <w:rPr>
                <w:rFonts w:hint="default" w:ascii="Times New Roman" w:hAnsi="Times New Roman" w:eastAsia="宋体" w:cs="Times New Roman"/>
                <w:b w:val="0"/>
                <w:bCs/>
                <w:i w:val="0"/>
                <w:iCs w:val="0"/>
                <w:color w:val="auto"/>
                <w:sz w:val="24"/>
                <w:szCs w:val="24"/>
                <w:lang w:val="en-US" w:eastAsia="zh-CN"/>
              </w:rPr>
            </w:pPr>
            <w:r>
              <w:rPr>
                <w:rFonts w:hint="default" w:ascii="Times New Roman" w:hAnsi="Times New Roman" w:eastAsia="宋体" w:cs="Times New Roman"/>
                <w:b/>
                <w:bCs w:val="0"/>
                <w:i w:val="0"/>
                <w:iCs w:val="0"/>
                <w:color w:val="auto"/>
                <w:sz w:val="24"/>
                <w:szCs w:val="24"/>
                <w:lang w:val="en-US" w:eastAsia="zh-CN"/>
              </w:rPr>
              <w:t>图2.</w:t>
            </w:r>
            <w:r>
              <w:rPr>
                <w:rFonts w:hint="eastAsia" w:ascii="Times New Roman" w:hAnsi="Times New Roman" w:eastAsia="宋体" w:cs="Times New Roman"/>
                <w:b/>
                <w:bCs w:val="0"/>
                <w:i w:val="0"/>
                <w:iCs w:val="0"/>
                <w:color w:val="auto"/>
                <w:sz w:val="24"/>
                <w:szCs w:val="24"/>
                <w:lang w:val="en-US" w:eastAsia="zh-CN"/>
              </w:rPr>
              <w:t>3</w:t>
            </w:r>
            <w:r>
              <w:rPr>
                <w:rFonts w:hint="default" w:ascii="Times New Roman" w:hAnsi="Times New Roman" w:eastAsia="宋体" w:cs="Times New Roman"/>
                <w:b/>
                <w:bCs w:val="0"/>
                <w:i w:val="0"/>
                <w:iCs w:val="0"/>
                <w:color w:val="auto"/>
                <w:sz w:val="24"/>
                <w:szCs w:val="24"/>
                <w:lang w:val="en-US" w:eastAsia="zh-CN"/>
              </w:rPr>
              <w:t xml:space="preserve">  </w:t>
            </w:r>
            <w:r>
              <w:rPr>
                <w:rFonts w:hint="eastAsia" w:ascii="Times New Roman" w:hAnsi="Times New Roman" w:cs="Times New Roman"/>
                <w:b/>
                <w:bCs/>
                <w:color w:val="auto"/>
                <w:sz w:val="24"/>
                <w:szCs w:val="24"/>
                <w:lang w:val="en-US" w:eastAsia="zh-CN"/>
              </w:rPr>
              <w:t>工业毛刷设备</w:t>
            </w:r>
            <w:r>
              <w:rPr>
                <w:rFonts w:hint="default" w:ascii="Times New Roman" w:hAnsi="Times New Roman" w:cs="Times New Roman"/>
                <w:b/>
                <w:bCs/>
                <w:color w:val="auto"/>
                <w:sz w:val="24"/>
                <w:szCs w:val="24"/>
                <w:lang w:val="en-US" w:eastAsia="zh-CN"/>
              </w:rPr>
              <w:t>生产</w:t>
            </w:r>
            <w:r>
              <w:rPr>
                <w:rFonts w:hint="default" w:ascii="Times New Roman" w:hAnsi="Times New Roman" w:cs="Times New Roman"/>
                <w:b/>
                <w:bCs/>
                <w:color w:val="auto"/>
                <w:sz w:val="24"/>
                <w:szCs w:val="24"/>
              </w:rPr>
              <w:t>工艺流程和产排污环节</w:t>
            </w:r>
          </w:p>
          <w:p>
            <w:pPr>
              <w:overflowPunct w:val="0"/>
              <w:autoSpaceDE w:val="0"/>
              <w:autoSpaceDN w:val="0"/>
              <w:adjustRightInd w:val="0"/>
              <w:snapToGrid w:val="0"/>
              <w:spacing w:line="360" w:lineRule="auto"/>
              <w:ind w:firstLine="482" w:firstLineChars="200"/>
              <w:rPr>
                <w:rFonts w:hint="default" w:ascii="Times New Roman" w:hAnsi="Times New Roman" w:eastAsia="宋体" w:cs="Times New Roman"/>
                <w:b/>
                <w:bCs/>
                <w:i w:val="0"/>
                <w:iCs w:val="0"/>
                <w:color w:val="auto"/>
                <w:sz w:val="24"/>
                <w:szCs w:val="24"/>
                <w:lang w:val="en-US" w:eastAsia="zh-CN"/>
              </w:rPr>
            </w:pPr>
            <w:r>
              <w:rPr>
                <w:rFonts w:hint="eastAsia" w:ascii="Times New Roman" w:hAnsi="Times New Roman" w:cs="Times New Roman"/>
                <w:b/>
                <w:bCs/>
                <w:color w:val="auto"/>
                <w:sz w:val="24"/>
                <w:szCs w:val="24"/>
                <w:lang w:val="en-US" w:eastAsia="zh-CN"/>
              </w:rPr>
              <w:t>工业毛刷设备</w:t>
            </w:r>
            <w:r>
              <w:rPr>
                <w:rFonts w:hint="default" w:ascii="Times New Roman" w:hAnsi="Times New Roman" w:cs="Times New Roman"/>
                <w:b/>
                <w:bCs/>
                <w:color w:val="auto"/>
                <w:sz w:val="24"/>
                <w:szCs w:val="24"/>
                <w:lang w:val="en-US" w:eastAsia="zh-CN"/>
              </w:rPr>
              <w:t>生产</w:t>
            </w:r>
            <w:r>
              <w:rPr>
                <w:rFonts w:hint="default" w:ascii="Times New Roman" w:hAnsi="Times New Roman" w:cs="Times New Roman"/>
                <w:b/>
                <w:bCs/>
                <w:color w:val="auto"/>
                <w:sz w:val="24"/>
                <w:szCs w:val="24"/>
              </w:rPr>
              <w:t>工艺流程和产排污环节</w:t>
            </w:r>
            <w:r>
              <w:rPr>
                <w:rFonts w:hint="default" w:ascii="Times New Roman" w:hAnsi="Times New Roman" w:eastAsia="宋体" w:cs="Times New Roman"/>
                <w:b/>
                <w:bCs/>
                <w:i w:val="0"/>
                <w:iCs w:val="0"/>
                <w:color w:val="auto"/>
                <w:sz w:val="24"/>
                <w:szCs w:val="24"/>
                <w:lang w:val="en-US" w:eastAsia="zh-CN"/>
              </w:rPr>
              <w:t>简述</w:t>
            </w:r>
            <w:r>
              <w:rPr>
                <w:rFonts w:hint="eastAsia" w:ascii="Times New Roman" w:hAnsi="Times New Roman" w:eastAsia="宋体" w:cs="Times New Roman"/>
                <w:b/>
                <w:bCs/>
                <w:i w:val="0"/>
                <w:iCs w:val="0"/>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注塑</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NewRomanPSMT" w:hAnsi="TimesNewRomanPSMT" w:eastAsia="宋体" w:cs="TimesNewRomanPSMT"/>
                <w:b w:val="0"/>
                <w:i w:val="0"/>
                <w:color w:val="auto"/>
                <w:sz w:val="24"/>
                <w:szCs w:val="24"/>
                <w:lang w:eastAsia="zh-CN"/>
              </w:rPr>
              <w:t>聚丙烯（</w:t>
            </w:r>
            <w:r>
              <w:rPr>
                <w:rFonts w:hint="eastAsia" w:ascii="TimesNewRomanPSMT" w:hAnsi="TimesNewRomanPSMT" w:eastAsia="宋体" w:cs="TimesNewRomanPSMT"/>
                <w:b w:val="0"/>
                <w:i w:val="0"/>
                <w:color w:val="auto"/>
                <w:sz w:val="24"/>
                <w:szCs w:val="24"/>
                <w:lang w:val="en-US" w:eastAsia="zh-CN"/>
              </w:rPr>
              <w:t>PP</w:t>
            </w:r>
            <w:r>
              <w:rPr>
                <w:rFonts w:hint="eastAsia" w:ascii="TimesNewRomanPSMT" w:hAnsi="TimesNewRomanPSMT" w:eastAsia="宋体" w:cs="TimesNewRomanPSMT"/>
                <w:b w:val="0"/>
                <w:i w:val="0"/>
                <w:color w:val="auto"/>
                <w:sz w:val="24"/>
                <w:szCs w:val="24"/>
                <w:lang w:eastAsia="zh-CN"/>
              </w:rPr>
              <w:t>）</w:t>
            </w:r>
            <w:r>
              <w:rPr>
                <w:rFonts w:ascii="宋体" w:hAnsi="宋体" w:eastAsia="宋体" w:cs="宋体"/>
                <w:b w:val="0"/>
                <w:i w:val="0"/>
                <w:color w:val="auto"/>
                <w:sz w:val="24"/>
                <w:szCs w:val="24"/>
              </w:rPr>
              <w:t>颗粒</w:t>
            </w:r>
            <w:r>
              <w:rPr>
                <w:rFonts w:hint="eastAsia" w:ascii="宋体" w:hAnsi="宋体" w:eastAsia="宋体" w:cs="宋体"/>
                <w:b w:val="0"/>
                <w:i w:val="0"/>
                <w:color w:val="auto"/>
                <w:kern w:val="0"/>
                <w:sz w:val="24"/>
                <w:szCs w:val="24"/>
                <w:lang w:val="en-US" w:eastAsia="zh-CN" w:bidi="ar"/>
              </w:rPr>
              <w:t>通过上料至注塑机的料筒内进行加热（</w:t>
            </w:r>
            <w:r>
              <w:rPr>
                <w:rFonts w:hint="eastAsia" w:ascii="宋体" w:hAnsi="宋体" w:eastAsia="宋体" w:cs="宋体"/>
                <w:b/>
                <w:bCs/>
                <w:i w:val="0"/>
                <w:color w:val="auto"/>
                <w:kern w:val="0"/>
                <w:sz w:val="24"/>
                <w:szCs w:val="24"/>
                <w:lang w:val="en-US" w:eastAsia="zh-CN" w:bidi="ar"/>
              </w:rPr>
              <w:t>电加热</w:t>
            </w:r>
            <w:r>
              <w:rPr>
                <w:rFonts w:hint="eastAsia" w:ascii="宋体" w:hAnsi="宋体" w:eastAsia="宋体" w:cs="宋体"/>
                <w:b w:val="0"/>
                <w:i w:val="0"/>
                <w:color w:val="auto"/>
                <w:kern w:val="0"/>
                <w:sz w:val="24"/>
                <w:szCs w:val="24"/>
                <w:lang w:val="en-US" w:eastAsia="zh-CN" w:bidi="ar"/>
              </w:rPr>
              <w:t>），使塑料颗粒熔化，达到流动状态并有良好的塑性，然后在柱塞(或螺杆)的推动下通过料筒前端的喷嘴注入注塑机内部温度较低的模具腔内，经脱模、冷却后即可得到工业毛刷辊体</w:t>
            </w:r>
            <w:r>
              <w:rPr>
                <w:rFonts w:hint="default" w:ascii="Times New Roman" w:hAnsi="Times New Roman" w:eastAsia="宋体" w:cs="Times New Roman"/>
                <w:color w:val="auto"/>
                <w:sz w:val="24"/>
                <w:szCs w:val="24"/>
                <w:lang w:val="en-US" w:eastAsia="zh-CN"/>
              </w:rPr>
              <w:t>。此工序产生</w:t>
            </w:r>
            <w:r>
              <w:rPr>
                <w:rFonts w:hint="eastAsia" w:ascii="Times New Roman" w:hAnsi="Times New Roman" w:eastAsia="宋体" w:cs="Times New Roman"/>
                <w:color w:val="auto"/>
                <w:sz w:val="24"/>
                <w:szCs w:val="24"/>
                <w:lang w:val="en-US" w:eastAsia="zh-CN"/>
              </w:rPr>
              <w:t>噪声（N</w:t>
            </w:r>
            <w:r>
              <w:rPr>
                <w:rFonts w:hint="eastAsia" w:ascii="Times New Roman" w:hAnsi="Times New Roman" w:eastAsia="宋体" w:cs="Times New Roman"/>
                <w:color w:val="auto"/>
                <w:sz w:val="24"/>
                <w:szCs w:val="24"/>
                <w:vertAlign w:val="subscript"/>
                <w:lang w:val="en-US" w:eastAsia="zh-CN"/>
              </w:rPr>
              <w:t>6-1</w:t>
            </w:r>
            <w:r>
              <w:rPr>
                <w:rFonts w:hint="eastAsia" w:ascii="Times New Roman" w:hAnsi="Times New Roman" w:eastAsia="宋体" w:cs="Times New Roman"/>
                <w:color w:val="auto"/>
                <w:sz w:val="24"/>
                <w:szCs w:val="24"/>
                <w:lang w:val="en-US" w:eastAsia="zh-CN"/>
              </w:rPr>
              <w:t>）、非甲烷总烃（G</w:t>
            </w:r>
            <w:r>
              <w:rPr>
                <w:rFonts w:hint="eastAsia" w:ascii="Times New Roman" w:hAnsi="Times New Roman" w:eastAsia="宋体" w:cs="Times New Roman"/>
                <w:color w:val="auto"/>
                <w:sz w:val="24"/>
                <w:szCs w:val="24"/>
                <w:vertAlign w:val="subscript"/>
                <w:lang w:val="en-US" w:eastAsia="zh-CN"/>
              </w:rPr>
              <w:t>7-1</w:t>
            </w:r>
            <w:r>
              <w:rPr>
                <w:rFonts w:hint="eastAsia" w:ascii="Times New Roman" w:hAnsi="Times New Roman" w:eastAsia="宋体" w:cs="Times New Roman"/>
                <w:color w:val="auto"/>
                <w:sz w:val="24"/>
                <w:szCs w:val="24"/>
                <w:lang w:val="en-US" w:eastAsia="zh-CN"/>
              </w:rPr>
              <w:t>）和废包装袋（S</w:t>
            </w:r>
            <w:r>
              <w:rPr>
                <w:rFonts w:hint="eastAsia" w:ascii="Times New Roman" w:hAnsi="Times New Roman" w:eastAsia="宋体" w:cs="Times New Roman"/>
                <w:color w:val="auto"/>
                <w:sz w:val="24"/>
                <w:szCs w:val="24"/>
                <w:vertAlign w:val="subscript"/>
                <w:lang w:val="en-US" w:eastAsia="zh-CN"/>
              </w:rPr>
              <w:t>7-1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t>冷却</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注塑成型后的工业毛刷辊体进入冷却水槽进行冷却定型，冷却水循环使用不外排，定期补充损耗即可。此工序产生噪声（N</w:t>
            </w:r>
            <w:r>
              <w:rPr>
                <w:rFonts w:hint="eastAsia" w:ascii="Times New Roman" w:hAnsi="Times New Roman" w:eastAsia="宋体" w:cs="Times New Roman"/>
                <w:color w:val="auto"/>
                <w:sz w:val="24"/>
                <w:szCs w:val="24"/>
                <w:vertAlign w:val="subscript"/>
                <w:lang w:val="en-US" w:eastAsia="zh-CN"/>
              </w:rPr>
              <w:t>7-2</w:t>
            </w:r>
            <w:r>
              <w:rPr>
                <w:rFonts w:hint="eastAsia" w:ascii="Times New Roman" w:hAnsi="Times New Roman" w:eastAsia="宋体" w:cs="Times New Roman"/>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③</w:t>
            </w:r>
            <w:r>
              <w:rPr>
                <w:rFonts w:hint="eastAsia" w:ascii="Times New Roman" w:hAnsi="Times New Roman" w:eastAsia="宋体" w:cs="Times New Roman"/>
                <w:color w:val="auto"/>
                <w:sz w:val="24"/>
                <w:szCs w:val="24"/>
                <w:lang w:eastAsia="zh-CN"/>
              </w:rPr>
              <w:t>钻孔</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color w:val="auto"/>
                <w:sz w:val="24"/>
              </w:rPr>
              <w:t>通过</w:t>
            </w:r>
            <w:r>
              <w:rPr>
                <w:rFonts w:hint="eastAsia"/>
                <w:color w:val="auto"/>
                <w:sz w:val="24"/>
                <w:lang w:val="en-US" w:eastAsia="zh-CN"/>
              </w:rPr>
              <w:t>钻机</w:t>
            </w:r>
            <w:r>
              <w:rPr>
                <w:rFonts w:hint="eastAsia"/>
                <w:color w:val="auto"/>
                <w:sz w:val="24"/>
              </w:rPr>
              <w:t>将注塑好的</w:t>
            </w:r>
            <w:r>
              <w:rPr>
                <w:rFonts w:hint="eastAsia"/>
                <w:color w:val="auto"/>
                <w:sz w:val="24"/>
                <w:lang w:eastAsia="zh-CN"/>
              </w:rPr>
              <w:t>辊体</w:t>
            </w:r>
            <w:r>
              <w:rPr>
                <w:rFonts w:hint="eastAsia"/>
                <w:color w:val="auto"/>
                <w:sz w:val="24"/>
              </w:rPr>
              <w:t>进行打孔</w:t>
            </w:r>
            <w:r>
              <w:rPr>
                <w:rFonts w:hint="default" w:ascii="Times New Roman" w:hAnsi="Times New Roman" w:eastAsia="宋体" w:cs="Times New Roman"/>
                <w:color w:val="auto"/>
                <w:sz w:val="24"/>
                <w:szCs w:val="24"/>
                <w:lang w:eastAsia="zh-CN"/>
              </w:rPr>
              <w:t>。此工序产生噪声</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7-3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、边角料（S</w:t>
            </w:r>
            <w:r>
              <w:rPr>
                <w:rFonts w:hint="eastAsia" w:ascii="Times New Roman" w:hAnsi="Times New Roman" w:eastAsia="宋体" w:cs="Times New Roman"/>
                <w:color w:val="auto"/>
                <w:sz w:val="24"/>
                <w:szCs w:val="24"/>
                <w:vertAlign w:val="subscript"/>
                <w:lang w:val="en-US" w:eastAsia="zh-CN"/>
              </w:rPr>
              <w:t>7-2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p>
          <w:p>
            <w:pPr>
              <w:overflowPunct w:val="0"/>
              <w:autoSpaceDE w:val="0"/>
              <w:autoSpaceDN w:val="0"/>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default" w:ascii="Times New Roman" w:hAnsi="Times New Roman" w:eastAsia="宋体" w:cs="Times New Roman"/>
                <w:bCs/>
                <w:color w:val="auto"/>
                <w:sz w:val="24"/>
                <w:szCs w:val="24"/>
              </w:rPr>
              <w:t>④</w:t>
            </w:r>
            <w:r>
              <w:rPr>
                <w:rFonts w:hint="eastAsia" w:ascii="宋体" w:hAnsi="宋体" w:eastAsia="宋体" w:cs="宋体"/>
                <w:color w:val="auto"/>
                <w:sz w:val="24"/>
                <w:szCs w:val="24"/>
                <w:lang w:eastAsia="zh-CN"/>
              </w:rPr>
              <w:t>植毛</w:t>
            </w:r>
          </w:p>
          <w:p>
            <w:pPr>
              <w:overflowPunct w:val="0"/>
              <w:autoSpaceDE w:val="0"/>
              <w:autoSpaceDN w:val="0"/>
              <w:adjustRightInd w:val="0"/>
              <w:snapToGrid w:val="0"/>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利用植毛机对钻孔后的辊体进行植毛，将刷毛植入到孔洞内</w:t>
            </w:r>
            <w:r>
              <w:rPr>
                <w:rFonts w:hint="eastAsia" w:ascii="宋体" w:hAnsi="宋体" w:eastAsia="宋体" w:cs="宋体"/>
                <w:color w:val="auto"/>
                <w:sz w:val="24"/>
                <w:szCs w:val="24"/>
                <w:lang w:val="en-US" w:eastAsia="zh-CN"/>
              </w:rPr>
              <w:t>。此工序产生噪声（</w:t>
            </w: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7-4</w:t>
            </w:r>
            <w:r>
              <w:rPr>
                <w:rFonts w:hint="eastAsia" w:ascii="宋体" w:hAnsi="宋体" w:eastAsia="宋体" w:cs="宋体"/>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⑤剪毛</w:t>
            </w:r>
          </w:p>
          <w:p>
            <w:pPr>
              <w:overflowPunct w:val="0"/>
              <w:autoSpaceDE w:val="0"/>
              <w:autoSpaceDN w:val="0"/>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利用剪毛机对植毛后的半成品进行</w:t>
            </w:r>
            <w:r>
              <w:rPr>
                <w:rFonts w:hint="eastAsia"/>
                <w:color w:val="auto"/>
                <w:sz w:val="24"/>
                <w:szCs w:val="24"/>
                <w:lang w:val="en-US" w:eastAsia="zh-CN"/>
              </w:rPr>
              <w:t>修剪平整</w:t>
            </w:r>
            <w:r>
              <w:rPr>
                <w:rFonts w:hint="eastAsia" w:ascii="宋体" w:hAnsi="宋体" w:eastAsia="宋体" w:cs="宋体"/>
                <w:color w:val="auto"/>
                <w:sz w:val="24"/>
                <w:szCs w:val="24"/>
                <w:lang w:val="en-US" w:eastAsia="zh-CN"/>
              </w:rPr>
              <w:t>。此工序产生噪声（</w:t>
            </w: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7-5</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和边角料（S</w:t>
            </w:r>
            <w:r>
              <w:rPr>
                <w:rFonts w:hint="eastAsia" w:ascii="Times New Roman" w:hAnsi="Times New Roman" w:eastAsia="宋体" w:cs="Times New Roman"/>
                <w:color w:val="auto"/>
                <w:sz w:val="24"/>
                <w:szCs w:val="24"/>
                <w:vertAlign w:val="subscript"/>
                <w:lang w:val="en-US" w:eastAsia="zh-CN"/>
              </w:rPr>
              <w:t>7-2</w:t>
            </w:r>
            <w:r>
              <w:rPr>
                <w:rFonts w:hint="eastAsia" w:ascii="Times New Roman" w:hAnsi="Times New Roman" w:eastAsia="宋体" w:cs="Times New Roman"/>
                <w:color w:val="auto"/>
                <w:sz w:val="24"/>
                <w:szCs w:val="24"/>
                <w:lang w:val="en-US" w:eastAsia="zh-CN"/>
              </w:rPr>
              <w:t>）</w:t>
            </w:r>
            <w:r>
              <w:rPr>
                <w:rFonts w:hint="eastAsia" w:ascii="宋体" w:hAnsi="宋体" w:eastAsia="宋体" w:cs="宋体"/>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eastAsia" w:ascii="Times New Roman" w:hAnsi="Times New Roman" w:eastAsia="宋体" w:cs="Times New Roman"/>
                <w:b w:val="0"/>
                <w:bCs w:val="0"/>
                <w:color w:val="auto"/>
                <w:spacing w:val="4"/>
                <w:sz w:val="24"/>
                <w:highlight w:val="none"/>
                <w:lang w:eastAsia="zh-CN"/>
              </w:rPr>
            </w:pPr>
            <w:r>
              <w:rPr>
                <w:rFonts w:hint="eastAsia" w:ascii="宋体" w:hAnsi="宋体" w:eastAsia="宋体" w:cs="宋体"/>
                <w:color w:val="auto"/>
                <w:sz w:val="24"/>
                <w:szCs w:val="24"/>
                <w:lang w:eastAsia="zh-CN"/>
              </w:rPr>
              <w:t>⑥</w:t>
            </w:r>
            <w:r>
              <w:rPr>
                <w:rFonts w:hint="eastAsia" w:ascii="Times New Roman" w:hAnsi="Times New Roman" w:cs="Times New Roman"/>
                <w:b w:val="0"/>
                <w:bCs w:val="0"/>
                <w:color w:val="auto"/>
                <w:spacing w:val="4"/>
                <w:sz w:val="24"/>
                <w:highlight w:val="none"/>
                <w:lang w:eastAsia="zh-CN"/>
              </w:rPr>
              <w:t>组装</w:t>
            </w:r>
          </w:p>
          <w:p>
            <w:pPr>
              <w:pStyle w:val="14"/>
              <w:keepNext w:val="0"/>
              <w:keepLines w:val="0"/>
              <w:pageBreakBefore w:val="0"/>
              <w:widowControl w:val="0"/>
              <w:kinsoku/>
              <w:wordWrap/>
              <w:overflowPunct/>
              <w:topLinePunct w:val="0"/>
              <w:autoSpaceDE/>
              <w:autoSpaceDN/>
              <w:bidi w:val="0"/>
              <w:adjustRightInd/>
              <w:snapToGrid/>
              <w:ind w:firstLine="496" w:firstLineChars="200"/>
              <w:textAlignment w:val="auto"/>
              <w:rPr>
                <w:rFonts w:hint="default" w:ascii="Times New Roman" w:hAnsi="Times New Roman" w:eastAsia="宋体" w:cs="Times New Roman"/>
                <w:b w:val="0"/>
                <w:bCs w:val="0"/>
                <w:color w:val="auto"/>
                <w:spacing w:val="4"/>
                <w:sz w:val="24"/>
                <w:highlight w:val="none"/>
                <w:lang w:val="en-US" w:eastAsia="zh-CN"/>
              </w:rPr>
            </w:pPr>
            <w:r>
              <w:rPr>
                <w:rFonts w:hint="eastAsia" w:ascii="Times New Roman" w:hAnsi="Times New Roman" w:cs="Times New Roman"/>
                <w:b w:val="0"/>
                <w:bCs w:val="0"/>
                <w:color w:val="auto"/>
                <w:spacing w:val="4"/>
                <w:sz w:val="24"/>
                <w:highlight w:val="none"/>
                <w:lang w:eastAsia="zh-CN"/>
              </w:rPr>
              <w:t>将加工好的工件和外购的配件按照设计图纸组装。此工序产生噪声（</w:t>
            </w:r>
            <w:r>
              <w:rPr>
                <w:rFonts w:hint="eastAsia" w:ascii="Times New Roman" w:hAnsi="Times New Roman" w:cs="Times New Roman"/>
                <w:b w:val="0"/>
                <w:bCs w:val="0"/>
                <w:color w:val="auto"/>
                <w:spacing w:val="4"/>
                <w:sz w:val="24"/>
                <w:highlight w:val="none"/>
                <w:lang w:val="en-US" w:eastAsia="zh-CN"/>
              </w:rPr>
              <w:t>N</w:t>
            </w:r>
            <w:r>
              <w:rPr>
                <w:rFonts w:hint="eastAsia" w:ascii="Times New Roman" w:hAnsi="Times New Roman" w:cs="Times New Roman"/>
                <w:b w:val="0"/>
                <w:bCs w:val="0"/>
                <w:color w:val="auto"/>
                <w:spacing w:val="4"/>
                <w:sz w:val="24"/>
                <w:highlight w:val="none"/>
                <w:vertAlign w:val="subscript"/>
                <w:lang w:val="en-US" w:eastAsia="zh-CN"/>
              </w:rPr>
              <w:t>7-6</w:t>
            </w:r>
            <w:r>
              <w:rPr>
                <w:rFonts w:hint="eastAsia" w:ascii="Times New Roman" w:hAnsi="Times New Roman" w:cs="Times New Roman"/>
                <w:b w:val="0"/>
                <w:bCs w:val="0"/>
                <w:color w:val="auto"/>
                <w:spacing w:val="4"/>
                <w:sz w:val="24"/>
                <w:highlight w:val="none"/>
                <w:lang w:eastAsia="zh-CN"/>
              </w:rPr>
              <w:t>）</w:t>
            </w:r>
            <w:r>
              <w:rPr>
                <w:rFonts w:hint="eastAsia" w:ascii="Times New Roman" w:hAnsi="Times New Roman" w:cs="Times New Roman"/>
                <w:b w:val="0"/>
                <w:bCs w:val="0"/>
                <w:color w:val="auto"/>
                <w:spacing w:val="4"/>
                <w:sz w:val="24"/>
                <w:highlight w:val="none"/>
                <w:lang w:val="en-US" w:eastAsia="zh-CN"/>
              </w:rPr>
              <w:t>。</w:t>
            </w:r>
          </w:p>
          <w:p>
            <w:pPr>
              <w:overflowPunct w:val="0"/>
              <w:autoSpaceDE w:val="0"/>
              <w:autoSpaceDN w:val="0"/>
              <w:adjustRightInd w:val="0"/>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⑦包装</w:t>
            </w:r>
          </w:p>
          <w:p>
            <w:pPr>
              <w:overflowPunct w:val="0"/>
              <w:autoSpaceDE w:val="0"/>
              <w:autoSpaceDN w:val="0"/>
              <w:adjustRightInd w:val="0"/>
              <w:snapToGrid w:val="0"/>
              <w:spacing w:line="360" w:lineRule="auto"/>
              <w:ind w:firstLine="480" w:firstLineChars="200"/>
              <w:rPr>
                <w:rFonts w:hint="eastAsia"/>
                <w:color w:val="auto"/>
                <w:lang w:val="en-US" w:eastAsia="zh-CN"/>
              </w:rPr>
            </w:pPr>
            <w:r>
              <w:rPr>
                <w:rFonts w:hint="eastAsia" w:ascii="Times New Roman" w:hAnsi="Times New Roman" w:cs="Times New Roman"/>
                <w:color w:val="auto"/>
                <w:sz w:val="24"/>
                <w:szCs w:val="24"/>
                <w:lang w:val="en-US" w:eastAsia="zh-CN"/>
              </w:rPr>
              <w:t>组装完毕的工业毛刷设备利用木质包装箱进行包装，外售。</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木质包装箱生产</w:t>
            </w:r>
            <w:r>
              <w:rPr>
                <w:rFonts w:hint="default" w:ascii="Times New Roman" w:hAnsi="Times New Roman" w:eastAsia="宋体" w:cs="Times New Roman"/>
                <w:color w:val="auto"/>
                <w:sz w:val="24"/>
                <w:szCs w:val="24"/>
                <w:lang w:eastAsia="zh-CN"/>
              </w:rPr>
              <w:t>工艺流程和产排污环节</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木质包装箱生产</w:t>
            </w:r>
            <w:r>
              <w:rPr>
                <w:rFonts w:hint="default" w:ascii="Times New Roman" w:hAnsi="Times New Roman" w:eastAsia="宋体" w:cs="Times New Roman"/>
                <w:color w:val="auto"/>
                <w:sz w:val="24"/>
                <w:szCs w:val="24"/>
                <w:lang w:eastAsia="zh-CN"/>
              </w:rPr>
              <w:t>工艺流程和产排污环节</w:t>
            </w:r>
            <w:r>
              <w:rPr>
                <w:rFonts w:hint="default" w:ascii="Times New Roman" w:hAnsi="Times New Roman" w:eastAsia="宋体" w:cs="Times New Roman"/>
                <w:color w:val="auto"/>
                <w:sz w:val="24"/>
                <w:szCs w:val="24"/>
                <w:lang w:val="en-US" w:eastAsia="zh-CN"/>
              </w:rPr>
              <w:t>见图2.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p>
            <w:pPr>
              <w:pStyle w:val="2"/>
              <w:ind w:left="0" w:leftChars="0" w:firstLine="0" w:firstLineChars="0"/>
              <w:jc w:val="center"/>
              <w:rPr>
                <w:rFonts w:hint="default"/>
                <w:color w:val="auto"/>
                <w:lang w:val="en-US" w:eastAsia="zh-CN"/>
              </w:rPr>
            </w:pPr>
            <w:r>
              <w:rPr>
                <w:rFonts w:hint="default" w:ascii="Times New Roman" w:hAnsi="Times New Roman" w:eastAsia="宋体" w:cs="Times New Roman"/>
                <w:color w:val="auto"/>
                <w:sz w:val="24"/>
                <w:szCs w:val="24"/>
                <w:lang w:val="en-US" w:eastAsia="zh-CN"/>
              </w:rPr>
              <w:object>
                <v:shape id="_x0000_i1028" o:spt="75" type="#_x0000_t75" style="height:144.7pt;width:318.45pt;" o:ole="t" filled="f" o:preferrelative="t" stroked="f" coordsize="21600,21600">
                  <v:path/>
                  <v:fill on="f" focussize="0,0"/>
                  <v:stroke on="f"/>
                  <v:imagedata r:id="rId14" o:title=""/>
                  <o:lock v:ext="edit" aspectratio="t"/>
                  <w10:wrap type="none"/>
                  <w10:anchorlock/>
                </v:shape>
                <o:OLEObject Type="Embed" ProgID="RFFlow4" ShapeID="_x0000_i1028" DrawAspect="Content" ObjectID="_1468075728" r:id="rId13">
                  <o:LockedField>false</o:LockedField>
                </o:OLEObject>
              </w:object>
            </w:r>
          </w:p>
          <w:p>
            <w:pPr>
              <w:overflowPunct w:val="0"/>
              <w:autoSpaceDE w:val="0"/>
              <w:autoSpaceDN w:val="0"/>
              <w:adjustRightInd w:val="0"/>
              <w:snapToGrid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图2.</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木质包装箱生产</w:t>
            </w:r>
            <w:r>
              <w:rPr>
                <w:rFonts w:hint="default" w:ascii="Times New Roman" w:hAnsi="Times New Roman" w:eastAsia="宋体" w:cs="Times New Roman"/>
                <w:b/>
                <w:bCs/>
                <w:color w:val="auto"/>
                <w:sz w:val="24"/>
                <w:szCs w:val="24"/>
                <w:lang w:eastAsia="zh-CN"/>
              </w:rPr>
              <w:t>工艺流程和产排污环节</w:t>
            </w:r>
          </w:p>
          <w:p>
            <w:pPr>
              <w:overflowPunct w:val="0"/>
              <w:autoSpaceDE w:val="0"/>
              <w:autoSpaceDN w:val="0"/>
              <w:adjustRightInd w:val="0"/>
              <w:snapToGrid w:val="0"/>
              <w:spacing w:line="360" w:lineRule="auto"/>
              <w:ind w:firstLine="422" w:firstLineChars="200"/>
              <w:rPr>
                <w:rFonts w:hint="eastAsia" w:ascii="宋体" w:hAnsi="宋体" w:eastAsia="宋体" w:cs="宋体"/>
                <w:color w:val="auto"/>
                <w:sz w:val="21"/>
                <w:szCs w:val="21"/>
                <w:lang w:val="en-US" w:eastAsia="zh-CN"/>
              </w:rPr>
            </w:pPr>
            <w:r>
              <w:rPr>
                <w:rFonts w:hint="default" w:ascii="Times New Roman" w:hAnsi="Times New Roman" w:eastAsia="宋体" w:cs="Times New Roman"/>
                <w:b/>
                <w:bCs/>
                <w:color w:val="auto"/>
                <w:sz w:val="21"/>
                <w:szCs w:val="21"/>
                <w:lang w:val="en-US" w:eastAsia="zh-CN"/>
              </w:rPr>
              <w:t>注：</w:t>
            </w:r>
            <w:r>
              <w:rPr>
                <w:rFonts w:hint="default" w:ascii="Times New Roman" w:hAnsi="Times New Roman" w:eastAsia="宋体" w:cs="Times New Roman"/>
                <w:color w:val="auto"/>
                <w:sz w:val="21"/>
                <w:szCs w:val="21"/>
                <w:lang w:val="en-US" w:eastAsia="zh-CN"/>
              </w:rPr>
              <w:t>木质包装箱仅用于本项目产品的包装，自产自用，不单独销售。</w:t>
            </w:r>
          </w:p>
          <w:p>
            <w:pPr>
              <w:overflowPunct w:val="0"/>
              <w:autoSpaceDE w:val="0"/>
              <w:autoSpaceDN w:val="0"/>
              <w:adjustRightInd w:val="0"/>
              <w:snapToGrid w:val="0"/>
              <w:spacing w:line="360" w:lineRule="auto"/>
              <w:ind w:firstLine="482" w:firstLineChars="200"/>
              <w:rPr>
                <w:rFonts w:hint="default" w:ascii="Times New Roman" w:hAnsi="Times New Roman" w:eastAsia="宋体" w:cs="Times New Roman"/>
                <w:b/>
                <w:bCs/>
                <w:i w:val="0"/>
                <w:iCs w:val="0"/>
                <w:color w:val="auto"/>
                <w:sz w:val="24"/>
                <w:szCs w:val="24"/>
                <w:lang w:val="en-US" w:eastAsia="zh-CN"/>
              </w:rPr>
            </w:pPr>
            <w:r>
              <w:rPr>
                <w:rFonts w:hint="eastAsia" w:ascii="Times New Roman" w:hAnsi="Times New Roman" w:cs="Times New Roman"/>
                <w:b/>
                <w:bCs/>
                <w:color w:val="auto"/>
                <w:sz w:val="24"/>
                <w:szCs w:val="24"/>
                <w:lang w:val="en-US" w:eastAsia="zh-CN"/>
              </w:rPr>
              <w:t>木质包装箱</w:t>
            </w:r>
            <w:r>
              <w:rPr>
                <w:rFonts w:hint="default" w:ascii="Times New Roman" w:hAnsi="Times New Roman" w:cs="Times New Roman"/>
                <w:b/>
                <w:bCs/>
                <w:color w:val="auto"/>
                <w:sz w:val="24"/>
                <w:szCs w:val="24"/>
                <w:lang w:val="en-US" w:eastAsia="zh-CN"/>
              </w:rPr>
              <w:t>生产</w:t>
            </w:r>
            <w:r>
              <w:rPr>
                <w:rFonts w:hint="default" w:ascii="Times New Roman" w:hAnsi="Times New Roman" w:cs="Times New Roman"/>
                <w:b/>
                <w:bCs/>
                <w:color w:val="auto"/>
                <w:sz w:val="24"/>
                <w:szCs w:val="24"/>
              </w:rPr>
              <w:t>工艺流程和产排污环节</w:t>
            </w:r>
            <w:r>
              <w:rPr>
                <w:rFonts w:hint="default" w:ascii="Times New Roman" w:hAnsi="Times New Roman" w:eastAsia="宋体" w:cs="Times New Roman"/>
                <w:b/>
                <w:bCs/>
                <w:i w:val="0"/>
                <w:iCs w:val="0"/>
                <w:color w:val="auto"/>
                <w:sz w:val="24"/>
                <w:szCs w:val="24"/>
                <w:lang w:val="en-US" w:eastAsia="zh-CN"/>
              </w:rPr>
              <w:t>简述</w:t>
            </w:r>
            <w:r>
              <w:rPr>
                <w:rFonts w:hint="eastAsia" w:ascii="Times New Roman" w:hAnsi="Times New Roman" w:eastAsia="宋体" w:cs="Times New Roman"/>
                <w:b/>
                <w:bCs/>
                <w:i w:val="0"/>
                <w:iCs w:val="0"/>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下料</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NewRomanPSMT" w:hAnsi="TimesNewRomanPSMT" w:eastAsia="宋体" w:cs="TimesNewRomanPSMT"/>
                <w:b w:val="0"/>
                <w:i w:val="0"/>
                <w:color w:val="auto"/>
                <w:sz w:val="24"/>
                <w:szCs w:val="24"/>
                <w:lang w:eastAsia="zh-CN"/>
              </w:rPr>
              <w:t>将外购的木条利用木工下料锯按照包装箱尺寸进行下料</w:t>
            </w:r>
            <w:r>
              <w:rPr>
                <w:rFonts w:hint="default" w:ascii="Times New Roman" w:hAnsi="Times New Roman" w:eastAsia="宋体" w:cs="Times New Roman"/>
                <w:color w:val="auto"/>
                <w:sz w:val="24"/>
                <w:szCs w:val="24"/>
                <w:lang w:val="en-US" w:eastAsia="zh-CN"/>
              </w:rPr>
              <w:t>。此工序产生</w:t>
            </w:r>
            <w:r>
              <w:rPr>
                <w:rFonts w:hint="eastAsia" w:ascii="Times New Roman" w:hAnsi="Times New Roman" w:eastAsia="宋体" w:cs="Times New Roman"/>
                <w:color w:val="auto"/>
                <w:sz w:val="24"/>
                <w:szCs w:val="24"/>
                <w:lang w:val="en-US" w:eastAsia="zh-CN"/>
              </w:rPr>
              <w:t>设备噪声（N</w:t>
            </w:r>
            <w:r>
              <w:rPr>
                <w:rFonts w:hint="eastAsia" w:ascii="Times New Roman" w:hAnsi="Times New Roman" w:eastAsia="宋体" w:cs="Times New Roman"/>
                <w:color w:val="auto"/>
                <w:sz w:val="24"/>
                <w:szCs w:val="24"/>
                <w:vertAlign w:val="subscript"/>
                <w:lang w:val="en-US" w:eastAsia="zh-CN"/>
              </w:rPr>
              <w:t>8-1</w:t>
            </w:r>
            <w:r>
              <w:rPr>
                <w:rFonts w:hint="eastAsia" w:ascii="Times New Roman" w:hAnsi="Times New Roman" w:eastAsia="宋体" w:cs="Times New Roman"/>
                <w:color w:val="auto"/>
                <w:sz w:val="24"/>
                <w:szCs w:val="24"/>
                <w:lang w:val="en-US" w:eastAsia="zh-CN"/>
              </w:rPr>
              <w:t>）、颗粒物（G</w:t>
            </w:r>
            <w:r>
              <w:rPr>
                <w:rFonts w:hint="eastAsia" w:ascii="Times New Roman" w:hAnsi="Times New Roman" w:eastAsia="宋体" w:cs="Times New Roman"/>
                <w:color w:val="auto"/>
                <w:sz w:val="24"/>
                <w:szCs w:val="24"/>
                <w:vertAlign w:val="subscript"/>
                <w:lang w:val="en-US" w:eastAsia="zh-CN"/>
              </w:rPr>
              <w:t>8-1</w:t>
            </w:r>
            <w:r>
              <w:rPr>
                <w:rFonts w:hint="eastAsia" w:ascii="Times New Roman" w:hAnsi="Times New Roman" w:eastAsia="宋体" w:cs="Times New Roman"/>
                <w:color w:val="auto"/>
                <w:sz w:val="24"/>
                <w:szCs w:val="24"/>
                <w:lang w:val="en-US" w:eastAsia="zh-CN"/>
              </w:rPr>
              <w:t>）和下脚料（S</w:t>
            </w:r>
            <w:r>
              <w:rPr>
                <w:rFonts w:hint="eastAsia" w:ascii="Times New Roman" w:hAnsi="Times New Roman" w:eastAsia="宋体" w:cs="Times New Roman"/>
                <w:color w:val="auto"/>
                <w:sz w:val="24"/>
                <w:szCs w:val="24"/>
                <w:vertAlign w:val="subscript"/>
                <w:lang w:val="en-US" w:eastAsia="zh-CN"/>
              </w:rPr>
              <w:t>8-1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pPr>
              <w:overflowPunct w:val="0"/>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eastAsia="zh-CN"/>
              </w:rPr>
              <w:t>钉钉</w:t>
            </w:r>
          </w:p>
          <w:p>
            <w:pPr>
              <w:overflowPunct w:val="0"/>
              <w:autoSpaceDE w:val="0"/>
              <w:autoSpaceDN w:val="0"/>
              <w:adjustRightInd w:val="0"/>
              <w:snapToGrid w:val="0"/>
              <w:spacing w:line="360" w:lineRule="auto"/>
              <w:ind w:firstLine="480" w:firstLineChars="200"/>
              <w:rPr>
                <w:rFonts w:hint="eastAsia"/>
                <w:color w:val="auto"/>
                <w:lang w:val="en-US" w:eastAsia="zh-CN"/>
              </w:rPr>
            </w:pPr>
            <w:r>
              <w:rPr>
                <w:rFonts w:hint="eastAsia" w:ascii="Times New Roman" w:hAnsi="Times New Roman" w:eastAsia="宋体" w:cs="Times New Roman"/>
                <w:color w:val="auto"/>
                <w:sz w:val="24"/>
                <w:szCs w:val="24"/>
                <w:lang w:eastAsia="zh-CN"/>
              </w:rPr>
              <w:t>人工将下料后的木条按照木质包装箱进行组装（钉钉）</w:t>
            </w:r>
            <w:r>
              <w:rPr>
                <w:rFonts w:hint="default" w:ascii="Times New Roman" w:hAnsi="Times New Roman" w:eastAsia="宋体" w:cs="Times New Roman"/>
                <w:color w:val="auto"/>
                <w:sz w:val="24"/>
                <w:szCs w:val="24"/>
                <w:lang w:eastAsia="zh-CN"/>
              </w:rPr>
              <w:t>。此工序产生噪声</w:t>
            </w:r>
            <w:r>
              <w:rPr>
                <w:rFonts w:hint="eastAsia"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vertAlign w:val="subscript"/>
                <w:lang w:val="en-US" w:eastAsia="zh-CN"/>
              </w:rPr>
              <w:t>8-2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both"/>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lang w:val="en-US" w:eastAsia="zh-CN"/>
              </w:rPr>
            </w:pPr>
            <w:r>
              <w:rPr>
                <w:rFonts w:hint="eastAsia"/>
                <w:color w:val="auto"/>
                <w:lang w:val="en-US" w:eastAsia="zh-CN"/>
              </w:rPr>
              <w:t>与项目有关的原有环境污染问题</w:t>
            </w:r>
          </w:p>
          <w:p>
            <w:pPr>
              <w:pStyle w:val="14"/>
              <w:rPr>
                <w:rFonts w:hint="eastAsia"/>
                <w:color w:val="auto"/>
                <w:sz w:val="21"/>
                <w:szCs w:val="21"/>
                <w:vertAlign w:val="baseline"/>
                <w:lang w:val="en-US" w:eastAsia="zh-CN"/>
              </w:rPr>
            </w:pPr>
          </w:p>
          <w:p>
            <w:pPr>
              <w:pStyle w:val="14"/>
              <w:rPr>
                <w:rFonts w:hint="eastAsia"/>
                <w:color w:val="auto"/>
                <w:sz w:val="21"/>
                <w:szCs w:val="21"/>
                <w:vertAlign w:val="baseline"/>
                <w:lang w:val="en-US" w:eastAsia="zh-CN"/>
              </w:rPr>
            </w:pPr>
          </w:p>
          <w:p>
            <w:pPr>
              <w:pStyle w:val="14"/>
              <w:rPr>
                <w:rFonts w:hint="eastAsia"/>
                <w:color w:val="auto"/>
                <w:sz w:val="21"/>
                <w:szCs w:val="21"/>
                <w:vertAlign w:val="baseline"/>
                <w:lang w:val="en-US" w:eastAsia="zh-CN"/>
              </w:rPr>
            </w:pPr>
          </w:p>
          <w:p>
            <w:pPr>
              <w:pStyle w:val="14"/>
              <w:rPr>
                <w:rFonts w:hint="eastAsia"/>
                <w:color w:val="auto"/>
                <w:sz w:val="21"/>
                <w:szCs w:val="21"/>
                <w:vertAlign w:val="baseline"/>
                <w:lang w:val="en-US" w:eastAsia="zh-CN"/>
              </w:rPr>
            </w:pPr>
          </w:p>
          <w:p>
            <w:pPr>
              <w:pStyle w:val="14"/>
              <w:rPr>
                <w:rFonts w:hint="eastAsia"/>
                <w:color w:val="auto"/>
                <w:sz w:val="21"/>
                <w:szCs w:val="21"/>
                <w:vertAlign w:val="baseline"/>
                <w:lang w:val="en-US" w:eastAsia="zh-CN"/>
              </w:rPr>
            </w:pPr>
          </w:p>
          <w:p>
            <w:pPr>
              <w:pStyle w:val="14"/>
              <w:rPr>
                <w:rFonts w:hint="eastAsia"/>
                <w:color w:val="auto"/>
                <w:sz w:val="21"/>
                <w:szCs w:val="21"/>
                <w:vertAlign w:val="baseline"/>
                <w:lang w:val="en-US" w:eastAsia="zh-CN"/>
              </w:rPr>
            </w:pPr>
          </w:p>
          <w:p>
            <w:pPr>
              <w:pStyle w:val="14"/>
              <w:rPr>
                <w:rFonts w:hint="eastAsia"/>
                <w:color w:val="auto"/>
                <w:sz w:val="21"/>
                <w:szCs w:val="21"/>
                <w:vertAlign w:val="baseline"/>
                <w:lang w:val="en-US" w:eastAsia="zh-CN"/>
              </w:rPr>
            </w:pPr>
          </w:p>
          <w:p>
            <w:pPr>
              <w:pStyle w:val="14"/>
              <w:rPr>
                <w:rFonts w:hint="eastAsia"/>
                <w:color w:val="auto"/>
                <w:sz w:val="21"/>
                <w:szCs w:val="21"/>
                <w:vertAlign w:val="baseline"/>
                <w:lang w:val="en-US" w:eastAsia="zh-CN"/>
              </w:rPr>
            </w:pPr>
          </w:p>
          <w:p>
            <w:pPr>
              <w:pStyle w:val="14"/>
              <w:rPr>
                <w:rFonts w:hint="eastAsia"/>
                <w:color w:val="auto"/>
                <w:sz w:val="21"/>
                <w:szCs w:val="21"/>
                <w:vertAlign w:val="baseline"/>
                <w:lang w:val="en-US" w:eastAsia="zh-CN"/>
              </w:rPr>
            </w:pPr>
          </w:p>
        </w:tc>
        <w:tc>
          <w:tcPr>
            <w:tcW w:w="9013" w:type="dxa"/>
            <w:vAlign w:val="center"/>
          </w:tcPr>
          <w:p>
            <w:pPr>
              <w:spacing w:line="360" w:lineRule="auto"/>
              <w:ind w:firstLine="482" w:firstLineChars="200"/>
              <w:rPr>
                <w:rFonts w:hint="eastAsia" w:ascii="Times New Roman" w:hAnsi="Times New Roman" w:cs="Times New Roman" w:eastAsiaTheme="minorEastAsia"/>
                <w:b/>
                <w:bCs/>
                <w:color w:val="auto"/>
                <w:sz w:val="24"/>
                <w:szCs w:val="24"/>
                <w:lang w:eastAsia="zh-CN"/>
              </w:rPr>
            </w:pP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原有项目基本情况</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安徽戈巴迪智能装备股份有限公司</w:t>
            </w:r>
            <w:r>
              <w:rPr>
                <w:rFonts w:hint="eastAsia" w:ascii="Times New Roman" w:hAnsi="Times New Roman" w:cs="Times New Roman"/>
                <w:color w:val="auto"/>
                <w:sz w:val="24"/>
                <w:szCs w:val="24"/>
                <w:lang w:val="en-US" w:eastAsia="zh-CN"/>
              </w:rPr>
              <w:t>成立于2021年07月12日，注册地址位于安徽省宿州市萧县经济开发区皇藏大道以东、智造二路2号。</w:t>
            </w:r>
            <w:r>
              <w:rPr>
                <w:rFonts w:hint="eastAsia"/>
                <w:color w:val="auto"/>
                <w:sz w:val="24"/>
                <w:szCs w:val="24"/>
                <w:lang w:eastAsia="zh-CN"/>
              </w:rPr>
              <w:t>建设单位</w:t>
            </w:r>
            <w:r>
              <w:rPr>
                <w:rFonts w:hint="default" w:ascii="Times New Roman" w:hAnsi="Times New Roman" w:cs="Times New Roman"/>
                <w:color w:val="auto"/>
                <w:sz w:val="24"/>
                <w:szCs w:val="24"/>
                <w:lang w:eastAsia="zh-CN"/>
              </w:rPr>
              <w:t>于202</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年</w:t>
            </w:r>
            <w:r>
              <w:rPr>
                <w:rFonts w:hint="default" w:ascii="Times New Roman" w:hAnsi="Times New Roman" w:cs="Times New Roman"/>
                <w:color w:val="auto"/>
                <w:sz w:val="24"/>
                <w:szCs w:val="24"/>
                <w:lang w:val="en-US" w:eastAsia="zh-CN"/>
              </w:rPr>
              <w:t>07</w:t>
            </w:r>
            <w:r>
              <w:rPr>
                <w:rFonts w:hint="default" w:ascii="Times New Roman" w:hAnsi="Times New Roman" w:cs="Times New Roman"/>
                <w:color w:val="auto"/>
                <w:sz w:val="24"/>
                <w:szCs w:val="24"/>
                <w:lang w:eastAsia="zh-CN"/>
              </w:rPr>
              <w:t>月</w:t>
            </w:r>
            <w:r>
              <w:rPr>
                <w:rFonts w:hint="default"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lang w:eastAsia="zh-CN"/>
              </w:rPr>
              <w:t>日取得了《关于同意</w:t>
            </w:r>
            <w:r>
              <w:rPr>
                <w:rFonts w:hint="default" w:ascii="Times New Roman" w:hAnsi="Times New Roman" w:cs="Times New Roman"/>
                <w:color w:val="auto"/>
                <w:sz w:val="24"/>
                <w:szCs w:val="24"/>
                <w:lang w:val="en-US" w:eastAsia="zh-CN"/>
              </w:rPr>
              <w:t>&lt;安徽戈巴迪智能装备股份有限公司</w:t>
            </w:r>
            <w:r>
              <w:rPr>
                <w:rFonts w:hint="default" w:ascii="Times New Roman" w:hAnsi="Times New Roman" w:cs="Times New Roman"/>
                <w:color w:val="auto"/>
                <w:sz w:val="24"/>
                <w:szCs w:val="24"/>
                <w:lang w:eastAsia="zh-CN"/>
              </w:rPr>
              <w:t>年产500套矿山电厂环保降尘设备6000台矿山皮带输送类配套设备项目</w:t>
            </w:r>
            <w:r>
              <w:rPr>
                <w:rFonts w:hint="default" w:ascii="Times New Roman" w:hAnsi="Times New Roman" w:cs="Times New Roman"/>
                <w:color w:val="auto"/>
                <w:sz w:val="24"/>
                <w:szCs w:val="24"/>
                <w:lang w:val="en-US" w:eastAsia="zh-CN"/>
              </w:rPr>
              <w:t>&gt;备案的函</w:t>
            </w:r>
            <w:r>
              <w:rPr>
                <w:rFonts w:hint="default" w:ascii="Times New Roman" w:hAnsi="Times New Roman" w:cs="Times New Roman"/>
                <w:color w:val="auto"/>
                <w:sz w:val="24"/>
                <w:szCs w:val="24"/>
                <w:lang w:eastAsia="zh-CN"/>
              </w:rPr>
              <w:t>》（萧发改政务【</w:t>
            </w:r>
            <w:r>
              <w:rPr>
                <w:rFonts w:hint="default" w:ascii="Times New Roman" w:hAnsi="Times New Roman" w:cs="Times New Roman"/>
                <w:color w:val="auto"/>
                <w:sz w:val="24"/>
                <w:szCs w:val="24"/>
                <w:lang w:val="en-US" w:eastAsia="zh-CN"/>
              </w:rPr>
              <w:t>2021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336号</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建设单位于2021年10月18日委托安徽绿之铃环境科技有限公司编制了《</w:t>
            </w:r>
            <w:r>
              <w:rPr>
                <w:rFonts w:hint="eastAsia" w:ascii="Times New Roman" w:hAnsi="Times New Roman" w:cs="Times New Roman"/>
                <w:color w:val="auto"/>
                <w:sz w:val="24"/>
                <w:szCs w:val="24"/>
                <w:lang w:eastAsia="zh-CN"/>
              </w:rPr>
              <w:t>安徽戈巴迪智能装备股份有限公司年产500套矿山电厂环保降尘设备6000台矿山皮带输送类配套设备项目环境影响报告表</w:t>
            </w:r>
            <w:r>
              <w:rPr>
                <w:rFonts w:hint="eastAsia" w:ascii="Times New Roman" w:hAnsi="Times New Roman" w:cs="Times New Roman"/>
                <w:color w:val="auto"/>
                <w:sz w:val="24"/>
                <w:szCs w:val="24"/>
                <w:lang w:val="en-US" w:eastAsia="zh-CN"/>
              </w:rPr>
              <w:t>》，并于2022年02月18日取得了宿州市萧县生态环境分局下达的《关于&lt;</w:t>
            </w:r>
            <w:r>
              <w:rPr>
                <w:rFonts w:hint="eastAsia" w:ascii="Times New Roman" w:hAnsi="Times New Roman" w:cs="Times New Roman"/>
                <w:color w:val="auto"/>
                <w:sz w:val="24"/>
                <w:szCs w:val="24"/>
                <w:lang w:eastAsia="zh-CN"/>
              </w:rPr>
              <w:t>安徽戈巴迪智能装备股份有限公司年产500套矿山电厂环保降尘设备6000台矿山皮带输送类配套设备项目环境影响</w:t>
            </w:r>
            <w:r>
              <w:rPr>
                <w:rFonts w:hint="eastAsia" w:ascii="Times New Roman" w:hAnsi="Times New Roman" w:cs="Times New Roman"/>
                <w:color w:val="auto"/>
                <w:sz w:val="24"/>
                <w:szCs w:val="24"/>
                <w:lang w:val="en-US" w:eastAsia="zh-CN"/>
              </w:rPr>
              <w:t>报告表&gt;审批意见的函》（萧环建【2022】7号）。2023年05月19日，</w:t>
            </w:r>
            <w:r>
              <w:rPr>
                <w:rFonts w:hint="eastAsia" w:ascii="Times New Roman" w:hAnsi="Times New Roman" w:cs="Times New Roman"/>
                <w:color w:val="auto"/>
                <w:sz w:val="24"/>
                <w:szCs w:val="24"/>
                <w:lang w:eastAsia="zh-CN"/>
              </w:rPr>
              <w:t>安徽戈巴迪智能装备股份有限公司</w:t>
            </w:r>
            <w:r>
              <w:rPr>
                <w:rFonts w:hint="eastAsia" w:ascii="Times New Roman" w:hAnsi="Times New Roman" w:cs="Times New Roman"/>
                <w:color w:val="auto"/>
                <w:sz w:val="24"/>
                <w:szCs w:val="24"/>
                <w:lang w:val="en-US" w:eastAsia="zh-CN"/>
              </w:rPr>
              <w:t>取得了固定污染源排污登记回执（登记编号：91341300MA8N08AD4X001Z）。</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2、原环评污染物产生及排放情况</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项目整体建设工程完成，生产设备及环保设备正在安装调试。由于拟建项目属于重大变动，企业应及时重新申请排污许可。原环评污染物产排情况见下表2.7。</w:t>
            </w:r>
          </w:p>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表</w:t>
            </w:r>
            <w:r>
              <w:rPr>
                <w:rFonts w:hint="default" w:ascii="Times New Roman" w:hAnsi="Times New Roman" w:cs="Times New Roman"/>
                <w:b/>
                <w:bCs/>
                <w:color w:val="auto"/>
                <w:sz w:val="24"/>
                <w:szCs w:val="24"/>
                <w:lang w:val="en-US" w:eastAsia="zh-CN"/>
              </w:rPr>
              <w:t>2.7  原环评</w:t>
            </w:r>
            <w:r>
              <w:rPr>
                <w:rFonts w:hint="default" w:ascii="Times New Roman" w:hAnsi="Times New Roman" w:cs="Times New Roman"/>
                <w:b/>
                <w:bCs/>
                <w:color w:val="auto"/>
                <w:sz w:val="24"/>
                <w:szCs w:val="24"/>
                <w:lang w:eastAsia="zh-CN"/>
              </w:rPr>
              <w:t>污染物排放统计汇总表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3447"/>
              <w:gridCol w:w="2410"/>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Align w:val="center"/>
                </w:tcPr>
                <w:p>
                  <w:pPr>
                    <w:jc w:val="center"/>
                    <w:rPr>
                      <w:rFonts w:hint="default"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类别</w:t>
                  </w:r>
                </w:p>
              </w:tc>
              <w:tc>
                <w:tcPr>
                  <w:tcW w:w="3447" w:type="dxa"/>
                  <w:vAlign w:val="center"/>
                </w:tcPr>
                <w:p>
                  <w:pPr>
                    <w:jc w:val="center"/>
                    <w:rPr>
                      <w:rFonts w:hint="default" w:ascii="Times New Roman" w:hAnsi="Times New Roman"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污染物名称</w:t>
                  </w:r>
                </w:p>
              </w:tc>
              <w:tc>
                <w:tcPr>
                  <w:tcW w:w="2410" w:type="dxa"/>
                  <w:vAlign w:val="center"/>
                </w:tcPr>
                <w:p>
                  <w:pPr>
                    <w:jc w:val="center"/>
                    <w:rPr>
                      <w:rFonts w:hint="default"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原环评核算排放量（</w:t>
                  </w:r>
                  <w:r>
                    <w:rPr>
                      <w:rFonts w:hint="eastAsia" w:ascii="Times New Roman" w:hAnsi="Times New Roman" w:cs="Times New Roman"/>
                      <w:b w:val="0"/>
                      <w:bCs w:val="0"/>
                      <w:color w:val="auto"/>
                      <w:sz w:val="21"/>
                      <w:szCs w:val="21"/>
                      <w:vertAlign w:val="baseline"/>
                      <w:lang w:val="en-US" w:eastAsia="zh-CN"/>
                    </w:rPr>
                    <w:t>t/a</w:t>
                  </w:r>
                  <w:r>
                    <w:rPr>
                      <w:rFonts w:hint="eastAsia" w:ascii="Times New Roman" w:hAnsi="Times New Roman" w:cs="Times New Roman"/>
                      <w:b w:val="0"/>
                      <w:bCs w:val="0"/>
                      <w:color w:val="auto"/>
                      <w:sz w:val="21"/>
                      <w:szCs w:val="21"/>
                      <w:vertAlign w:val="baseline"/>
                      <w:lang w:eastAsia="zh-CN"/>
                    </w:rPr>
                    <w:t>）</w:t>
                  </w:r>
                </w:p>
              </w:tc>
              <w:tc>
                <w:tcPr>
                  <w:tcW w:w="2411" w:type="dxa"/>
                  <w:vAlign w:val="center"/>
                </w:tcPr>
                <w:p>
                  <w:pPr>
                    <w:jc w:val="center"/>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批复排放量（</w:t>
                  </w:r>
                  <w:r>
                    <w:rPr>
                      <w:rFonts w:hint="eastAsia" w:ascii="Times New Roman" w:hAnsi="Times New Roman" w:cs="Times New Roman"/>
                      <w:b w:val="0"/>
                      <w:bCs w:val="0"/>
                      <w:color w:val="auto"/>
                      <w:sz w:val="21"/>
                      <w:szCs w:val="21"/>
                      <w:vertAlign w:val="baseline"/>
                      <w:lang w:val="en-US" w:eastAsia="zh-CN"/>
                    </w:rPr>
                    <w:t>t/a</w:t>
                  </w:r>
                  <w:r>
                    <w:rPr>
                      <w:rFonts w:hint="eastAsia" w:ascii="Times New Roman" w:hAnsi="Times New Roman" w:cs="Times New Roman"/>
                      <w:b w:val="0"/>
                      <w:bCs w:val="0"/>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restart"/>
                  <w:vAlign w:val="center"/>
                </w:tcPr>
                <w:p>
                  <w:pPr>
                    <w:jc w:val="center"/>
                    <w:rPr>
                      <w:rFonts w:hint="default" w:ascii="Times New Roman" w:hAnsi="Times New Roman"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废气</w:t>
                  </w:r>
                </w:p>
              </w:tc>
              <w:tc>
                <w:tcPr>
                  <w:tcW w:w="3447"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工业粉尘</w:t>
                  </w:r>
                </w:p>
              </w:tc>
              <w:tc>
                <w:tcPr>
                  <w:tcW w:w="2410"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0.4785</w:t>
                  </w:r>
                </w:p>
              </w:tc>
              <w:tc>
                <w:tcPr>
                  <w:tcW w:w="24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0.8260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非甲烷总烃</w:t>
                  </w:r>
                </w:p>
              </w:tc>
              <w:tc>
                <w:tcPr>
                  <w:tcW w:w="2410"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0.1920</w:t>
                  </w:r>
                </w:p>
              </w:tc>
              <w:tc>
                <w:tcPr>
                  <w:tcW w:w="24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restart"/>
                  <w:vAlign w:val="center"/>
                </w:tcPr>
                <w:p>
                  <w:pPr>
                    <w:jc w:val="center"/>
                    <w:rPr>
                      <w:rFonts w:hint="default" w:ascii="Times New Roman" w:hAnsi="Times New Roman"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废水</w:t>
                  </w:r>
                </w:p>
              </w:tc>
              <w:tc>
                <w:tcPr>
                  <w:tcW w:w="3447"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COD</w:t>
                  </w:r>
                </w:p>
              </w:tc>
              <w:tc>
                <w:tcPr>
                  <w:tcW w:w="2410"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0.1840</w:t>
                  </w:r>
                </w:p>
              </w:tc>
              <w:tc>
                <w:tcPr>
                  <w:tcW w:w="2411"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NH</w:t>
                  </w:r>
                  <w:r>
                    <w:rPr>
                      <w:rFonts w:hint="eastAsia" w:ascii="Times New Roman" w:hAnsi="Times New Roman" w:cs="Times New Roman"/>
                      <w:b w:val="0"/>
                      <w:bCs w:val="0"/>
                      <w:color w:val="auto"/>
                      <w:sz w:val="21"/>
                      <w:szCs w:val="21"/>
                      <w:vertAlign w:val="subscript"/>
                      <w:lang w:val="en-US" w:eastAsia="zh-CN"/>
                    </w:rPr>
                    <w:t>3</w:t>
                  </w:r>
                  <w:r>
                    <w:rPr>
                      <w:rFonts w:hint="eastAsia" w:ascii="Times New Roman" w:hAnsi="Times New Roman" w:cs="Times New Roman"/>
                      <w:b w:val="0"/>
                      <w:bCs w:val="0"/>
                      <w:color w:val="auto"/>
                      <w:sz w:val="21"/>
                      <w:szCs w:val="21"/>
                      <w:vertAlign w:val="baseline"/>
                      <w:lang w:val="en-US" w:eastAsia="zh-CN"/>
                    </w:rPr>
                    <w:t>-N</w:t>
                  </w:r>
                </w:p>
              </w:tc>
              <w:tc>
                <w:tcPr>
                  <w:tcW w:w="2410"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0.0170</w:t>
                  </w:r>
                </w:p>
              </w:tc>
              <w:tc>
                <w:tcPr>
                  <w:tcW w:w="2411"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SS</w:t>
                  </w:r>
                </w:p>
              </w:tc>
              <w:tc>
                <w:tcPr>
                  <w:tcW w:w="2410"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0.1010</w:t>
                  </w:r>
                </w:p>
              </w:tc>
              <w:tc>
                <w:tcPr>
                  <w:tcW w:w="2411"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jc w:val="center"/>
                    <w:rPr>
                      <w:rFonts w:hint="default" w:ascii="Times New Roman" w:hAnsi="Times New Roman" w:cs="Times New Roman"/>
                      <w:b w:val="0"/>
                      <w:bCs w:val="0"/>
                      <w:color w:val="auto"/>
                      <w:sz w:val="21"/>
                      <w:szCs w:val="21"/>
                      <w:vertAlign w:val="subscript"/>
                      <w:lang w:val="en-US" w:eastAsia="zh-CN"/>
                    </w:rPr>
                  </w:pPr>
                  <w:r>
                    <w:rPr>
                      <w:rFonts w:hint="eastAsia" w:ascii="Times New Roman" w:hAnsi="Times New Roman" w:cs="Times New Roman"/>
                      <w:b w:val="0"/>
                      <w:bCs w:val="0"/>
                      <w:color w:val="auto"/>
                      <w:sz w:val="21"/>
                      <w:szCs w:val="21"/>
                      <w:vertAlign w:val="baseline"/>
                      <w:lang w:val="en-US" w:eastAsia="zh-CN"/>
                    </w:rPr>
                    <w:t>BOD</w:t>
                  </w:r>
                  <w:r>
                    <w:rPr>
                      <w:rFonts w:hint="eastAsia" w:ascii="Times New Roman" w:hAnsi="Times New Roman" w:cs="Times New Roman"/>
                      <w:b w:val="0"/>
                      <w:bCs w:val="0"/>
                      <w:color w:val="auto"/>
                      <w:sz w:val="21"/>
                      <w:szCs w:val="21"/>
                      <w:vertAlign w:val="subscript"/>
                      <w:lang w:val="en-US" w:eastAsia="zh-CN"/>
                    </w:rPr>
                    <w:t>5</w:t>
                  </w:r>
                </w:p>
              </w:tc>
              <w:tc>
                <w:tcPr>
                  <w:tcW w:w="2410"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0.0860</w:t>
                  </w:r>
                </w:p>
              </w:tc>
              <w:tc>
                <w:tcPr>
                  <w:tcW w:w="2411"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restart"/>
                  <w:vAlign w:val="center"/>
                </w:tcPr>
                <w:p>
                  <w:pPr>
                    <w:jc w:val="center"/>
                    <w:rPr>
                      <w:rFonts w:hint="default" w:ascii="Times New Roman" w:hAnsi="Times New Roman"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一般工业</w:t>
                  </w:r>
                  <w:r>
                    <w:rPr>
                      <w:rFonts w:hint="default" w:ascii="Times New Roman" w:hAnsi="Times New Roman" w:cs="Times New Roman"/>
                      <w:b w:val="0"/>
                      <w:bCs w:val="0"/>
                      <w:color w:val="auto"/>
                      <w:sz w:val="21"/>
                      <w:szCs w:val="21"/>
                      <w:vertAlign w:val="baseline"/>
                      <w:lang w:eastAsia="zh-CN"/>
                    </w:rPr>
                    <w:t>固体废物</w:t>
                  </w:r>
                </w:p>
              </w:tc>
              <w:tc>
                <w:tcPr>
                  <w:tcW w:w="3447" w:type="dxa"/>
                  <w:vAlign w:val="center"/>
                </w:tcPr>
                <w:p>
                  <w:pPr>
                    <w:pStyle w:val="39"/>
                    <w:ind w:firstLine="0" w:firstLineChars="0"/>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eastAsia="zh-CN"/>
                    </w:rPr>
                    <w:t>下脚料</w:t>
                  </w:r>
                </w:p>
              </w:tc>
              <w:tc>
                <w:tcPr>
                  <w:tcW w:w="2410" w:type="dxa"/>
                  <w:vAlign w:val="center"/>
                </w:tcPr>
                <w:p>
                  <w:pPr>
                    <w:pStyle w:val="29"/>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150</w:t>
                  </w:r>
                </w:p>
              </w:tc>
              <w:tc>
                <w:tcPr>
                  <w:tcW w:w="24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pStyle w:val="39"/>
                    <w:ind w:firstLine="0" w:firstLineChars="0"/>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eastAsia="zh-CN"/>
                    </w:rPr>
                    <w:t>焊渣</w:t>
                  </w:r>
                </w:p>
              </w:tc>
              <w:tc>
                <w:tcPr>
                  <w:tcW w:w="2410" w:type="dxa"/>
                  <w:vAlign w:val="center"/>
                </w:tcPr>
                <w:p>
                  <w:pPr>
                    <w:pStyle w:val="29"/>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0.65</w:t>
                  </w:r>
                </w:p>
              </w:tc>
              <w:tc>
                <w:tcPr>
                  <w:tcW w:w="24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pStyle w:val="39"/>
                    <w:ind w:firstLine="0" w:firstLineChars="0"/>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eastAsia="zh-CN"/>
                    </w:rPr>
                    <w:t>除尘器收集的粉尘</w:t>
                  </w:r>
                  <w:r>
                    <w:rPr>
                      <w:rFonts w:hint="eastAsia" w:cs="Times New Roman"/>
                      <w:color w:val="auto"/>
                      <w:sz w:val="21"/>
                      <w:szCs w:val="21"/>
                      <w:lang w:eastAsia="zh-CN"/>
                    </w:rPr>
                    <w:t>（含喷砂、下料及焊接工序）</w:t>
                  </w:r>
                </w:p>
              </w:tc>
              <w:tc>
                <w:tcPr>
                  <w:tcW w:w="2410" w:type="dxa"/>
                  <w:vAlign w:val="center"/>
                </w:tcPr>
                <w:p>
                  <w:pPr>
                    <w:pStyle w:val="29"/>
                    <w:jc w:val="center"/>
                    <w:rPr>
                      <w:rFonts w:hint="eastAsia" w:ascii="Times New Roman" w:hAnsi="Times New Roman" w:cs="Times New Roman"/>
                      <w:b w:val="0"/>
                      <w:bCs w:val="0"/>
                      <w:color w:val="auto"/>
                      <w:sz w:val="21"/>
                      <w:szCs w:val="21"/>
                      <w:vertAlign w:val="baseline"/>
                      <w:lang w:val="en-US" w:eastAsia="zh-CN"/>
                    </w:rPr>
                  </w:pPr>
                  <w:r>
                    <w:rPr>
                      <w:rFonts w:hint="eastAsia" w:cs="Times New Roman"/>
                      <w:color w:val="auto"/>
                      <w:sz w:val="21"/>
                      <w:szCs w:val="21"/>
                      <w:lang w:val="en-US" w:eastAsia="zh-CN"/>
                    </w:rPr>
                    <w:t>9.3705</w:t>
                  </w:r>
                </w:p>
              </w:tc>
              <w:tc>
                <w:tcPr>
                  <w:tcW w:w="2411" w:type="dxa"/>
                  <w:vAlign w:val="center"/>
                </w:tcPr>
                <w:p>
                  <w:pPr>
                    <w:jc w:val="center"/>
                    <w:rPr>
                      <w:rFonts w:hint="eastAsia"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pStyle w:val="39"/>
                    <w:ind w:firstLine="0" w:firstLineChars="0"/>
                    <w:rPr>
                      <w:rFonts w:hint="eastAsia" w:cs="Times New Roman"/>
                      <w:color w:val="auto"/>
                      <w:sz w:val="21"/>
                      <w:szCs w:val="21"/>
                      <w:lang w:eastAsia="zh-CN"/>
                    </w:rPr>
                  </w:pPr>
                  <w:r>
                    <w:rPr>
                      <w:rFonts w:hint="default" w:ascii="Times New Roman" w:hAnsi="Times New Roman" w:cs="Times New Roman"/>
                      <w:color w:val="auto"/>
                      <w:sz w:val="21"/>
                      <w:szCs w:val="21"/>
                      <w:lang w:eastAsia="zh-CN"/>
                    </w:rPr>
                    <w:t>除尘器收集的塑粉</w:t>
                  </w:r>
                  <w:r>
                    <w:rPr>
                      <w:rFonts w:hint="eastAsia" w:cs="Times New Roman"/>
                      <w:color w:val="auto"/>
                      <w:sz w:val="21"/>
                      <w:szCs w:val="21"/>
                      <w:lang w:eastAsia="zh-CN"/>
                    </w:rPr>
                    <w:t>（含喷塑工序）</w:t>
                  </w:r>
                </w:p>
              </w:tc>
              <w:tc>
                <w:tcPr>
                  <w:tcW w:w="2410" w:type="dxa"/>
                  <w:vAlign w:val="center"/>
                </w:tcPr>
                <w:p>
                  <w:pPr>
                    <w:pStyle w:val="29"/>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color w:val="auto"/>
                      <w:sz w:val="21"/>
                      <w:szCs w:val="21"/>
                      <w:lang w:val="en-US" w:eastAsia="zh-CN"/>
                    </w:rPr>
                    <w:t>2.85</w:t>
                  </w:r>
                </w:p>
              </w:tc>
              <w:tc>
                <w:tcPr>
                  <w:tcW w:w="24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pStyle w:val="39"/>
                    <w:ind w:firstLine="0" w:firstLineChars="0"/>
                    <w:rPr>
                      <w:rFonts w:hint="eastAsia" w:cs="Times New Roman"/>
                      <w:color w:val="auto"/>
                      <w:sz w:val="21"/>
                      <w:szCs w:val="21"/>
                      <w:lang w:eastAsia="zh-CN"/>
                    </w:rPr>
                  </w:pPr>
                  <w:r>
                    <w:rPr>
                      <w:rFonts w:hint="default" w:ascii="Times New Roman" w:hAnsi="Times New Roman" w:cs="Times New Roman"/>
                      <w:color w:val="auto"/>
                      <w:sz w:val="21"/>
                      <w:szCs w:val="21"/>
                      <w:lang w:eastAsia="zh-CN"/>
                    </w:rPr>
                    <w:t>废石英砂</w:t>
                  </w:r>
                </w:p>
              </w:tc>
              <w:tc>
                <w:tcPr>
                  <w:tcW w:w="2410" w:type="dxa"/>
                  <w:vAlign w:val="center"/>
                </w:tcPr>
                <w:p>
                  <w:pPr>
                    <w:pStyle w:val="29"/>
                    <w:jc w:val="center"/>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5.0</w:t>
                  </w:r>
                </w:p>
              </w:tc>
              <w:tc>
                <w:tcPr>
                  <w:tcW w:w="24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pStyle w:val="39"/>
                    <w:ind w:firstLine="0" w:firstLineChars="0"/>
                    <w:rPr>
                      <w:rFonts w:hint="eastAsia" w:cs="Times New Roman"/>
                      <w:color w:val="auto"/>
                      <w:sz w:val="21"/>
                      <w:szCs w:val="21"/>
                      <w:lang w:eastAsia="zh-CN"/>
                    </w:rPr>
                  </w:pPr>
                  <w:r>
                    <w:rPr>
                      <w:rFonts w:hint="default" w:ascii="Times New Roman" w:hAnsi="Times New Roman" w:cs="Times New Roman"/>
                      <w:color w:val="auto"/>
                      <w:sz w:val="21"/>
                      <w:szCs w:val="21"/>
                      <w:lang w:eastAsia="zh-CN"/>
                    </w:rPr>
                    <w:t>边角料</w:t>
                  </w:r>
                </w:p>
              </w:tc>
              <w:tc>
                <w:tcPr>
                  <w:tcW w:w="2410" w:type="dxa"/>
                  <w:vAlign w:val="center"/>
                </w:tcPr>
                <w:p>
                  <w:pPr>
                    <w:pStyle w:val="29"/>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0.2</w:t>
                  </w:r>
                </w:p>
              </w:tc>
              <w:tc>
                <w:tcPr>
                  <w:tcW w:w="24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restart"/>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危险废物</w:t>
                  </w:r>
                </w:p>
              </w:tc>
              <w:tc>
                <w:tcPr>
                  <w:tcW w:w="3447" w:type="dxa"/>
                  <w:vAlign w:val="center"/>
                </w:tcPr>
                <w:p>
                  <w:pPr>
                    <w:pStyle w:val="29"/>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废机油</w:t>
                  </w:r>
                </w:p>
              </w:tc>
              <w:tc>
                <w:tcPr>
                  <w:tcW w:w="2410" w:type="dxa"/>
                  <w:vAlign w:val="center"/>
                </w:tcPr>
                <w:p>
                  <w:pPr>
                    <w:pStyle w:val="29"/>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0.15</w:t>
                  </w:r>
                </w:p>
              </w:tc>
              <w:tc>
                <w:tcPr>
                  <w:tcW w:w="24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pStyle w:val="29"/>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rPr>
                    <w:t>废切削液</w:t>
                  </w:r>
                </w:p>
              </w:tc>
              <w:tc>
                <w:tcPr>
                  <w:tcW w:w="2410" w:type="dxa"/>
                  <w:vAlign w:val="center"/>
                </w:tcPr>
                <w:p>
                  <w:pPr>
                    <w:pStyle w:val="29"/>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0.11</w:t>
                  </w:r>
                </w:p>
              </w:tc>
              <w:tc>
                <w:tcPr>
                  <w:tcW w:w="24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pStyle w:val="29"/>
                    <w:jc w:val="center"/>
                    <w:rPr>
                      <w:rFonts w:hint="default" w:ascii="Times New Roman" w:hAnsi="Times New Roman" w:cs="Times New Roman"/>
                      <w:b w:val="0"/>
                      <w:bCs w:val="0"/>
                      <w:color w:val="auto"/>
                      <w:sz w:val="21"/>
                      <w:szCs w:val="21"/>
                    </w:rPr>
                  </w:pPr>
                  <w:r>
                    <w:rPr>
                      <w:rFonts w:hint="default" w:ascii="Times New Roman" w:hAnsi="Times New Roman" w:cs="Times New Roman"/>
                      <w:color w:val="auto"/>
                      <w:sz w:val="21"/>
                      <w:szCs w:val="21"/>
                      <w:lang w:val="en-US" w:eastAsia="zh-CN"/>
                    </w:rPr>
                    <w:t>废活性炭</w:t>
                  </w:r>
                </w:p>
              </w:tc>
              <w:tc>
                <w:tcPr>
                  <w:tcW w:w="2410" w:type="dxa"/>
                  <w:vAlign w:val="center"/>
                </w:tcPr>
                <w:p>
                  <w:pPr>
                    <w:pStyle w:val="29"/>
                    <w:jc w:val="center"/>
                    <w:rPr>
                      <w:rFonts w:hint="eastAsia" w:ascii="Times New Roman" w:hAnsi="Times New Roman" w:cs="Times New Roman"/>
                      <w:b w:val="0"/>
                      <w:bCs w:val="0"/>
                      <w:color w:val="auto"/>
                      <w:sz w:val="21"/>
                      <w:szCs w:val="21"/>
                      <w:vertAlign w:val="baseline"/>
                      <w:lang w:val="en-US" w:eastAsia="zh-CN"/>
                    </w:rPr>
                  </w:pPr>
                  <w:r>
                    <w:rPr>
                      <w:rFonts w:hint="eastAsia" w:cs="Times New Roman"/>
                      <w:color w:val="auto"/>
                      <w:sz w:val="21"/>
                      <w:szCs w:val="21"/>
                      <w:lang w:val="en-US" w:eastAsia="zh-CN"/>
                    </w:rPr>
                    <w:t>8.665</w:t>
                  </w:r>
                </w:p>
              </w:tc>
              <w:tc>
                <w:tcPr>
                  <w:tcW w:w="2411" w:type="dxa"/>
                  <w:vAlign w:val="center"/>
                </w:tcPr>
                <w:p>
                  <w:pPr>
                    <w:jc w:val="center"/>
                    <w:rPr>
                      <w:rFonts w:hint="eastAsia"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pStyle w:val="29"/>
                    <w:jc w:val="center"/>
                    <w:rPr>
                      <w:rFonts w:hint="default" w:ascii="Times New Roman" w:hAnsi="Times New Roman" w:cs="Times New Roman"/>
                      <w:b w:val="0"/>
                      <w:bCs w:val="0"/>
                      <w:color w:val="auto"/>
                      <w:sz w:val="21"/>
                      <w:szCs w:val="21"/>
                    </w:rPr>
                  </w:pPr>
                  <w:r>
                    <w:rPr>
                      <w:rFonts w:hint="default" w:ascii="Times New Roman" w:hAnsi="Times New Roman" w:cs="Times New Roman"/>
                      <w:color w:val="auto"/>
                      <w:sz w:val="21"/>
                      <w:szCs w:val="21"/>
                      <w:lang w:val="en-US" w:eastAsia="zh-CN"/>
                    </w:rPr>
                    <w:t>废聚氨酯预聚体</w:t>
                  </w:r>
                  <w:r>
                    <w:rPr>
                      <w:rFonts w:hint="eastAsia" w:ascii="Times New Roman" w:hAnsi="Times New Roman" w:cs="Times New Roman"/>
                      <w:color w:val="auto"/>
                      <w:sz w:val="21"/>
                      <w:szCs w:val="21"/>
                      <w:lang w:val="en-US" w:eastAsia="zh-CN"/>
                    </w:rPr>
                    <w:t>桶</w:t>
                  </w:r>
                  <w:r>
                    <w:rPr>
                      <w:rFonts w:hint="default" w:ascii="Times New Roman" w:hAnsi="Times New Roman" w:cs="Times New Roman"/>
                      <w:color w:val="auto"/>
                      <w:sz w:val="21"/>
                      <w:szCs w:val="21"/>
                      <w:lang w:val="en-US" w:eastAsia="zh-CN"/>
                    </w:rPr>
                    <w:t>和固化剂桶</w:t>
                  </w:r>
                </w:p>
              </w:tc>
              <w:tc>
                <w:tcPr>
                  <w:tcW w:w="2410" w:type="dxa"/>
                  <w:vAlign w:val="center"/>
                </w:tcPr>
                <w:p>
                  <w:pPr>
                    <w:pStyle w:val="29"/>
                    <w:jc w:val="center"/>
                    <w:rPr>
                      <w:rFonts w:hint="default" w:ascii="Times New Roman" w:hAnsi="Times New Roman" w:cs="Times New Roman"/>
                      <w:b w:val="0"/>
                      <w:bCs w:val="0"/>
                      <w:color w:val="auto"/>
                      <w:sz w:val="21"/>
                      <w:szCs w:val="21"/>
                      <w:vertAlign w:val="baseline"/>
                      <w:lang w:val="en-US" w:eastAsia="zh-CN"/>
                    </w:rPr>
                  </w:pPr>
                  <w:r>
                    <w:rPr>
                      <w:rFonts w:hint="eastAsia" w:cs="Times New Roman"/>
                      <w:color w:val="auto"/>
                      <w:sz w:val="21"/>
                      <w:szCs w:val="21"/>
                      <w:lang w:val="en-US" w:eastAsia="zh-CN"/>
                    </w:rPr>
                    <w:t>12.5</w:t>
                  </w:r>
                </w:p>
              </w:tc>
              <w:tc>
                <w:tcPr>
                  <w:tcW w:w="2411" w:type="dxa"/>
                  <w:vAlign w:val="center"/>
                </w:tcPr>
                <w:p>
                  <w:pPr>
                    <w:jc w:val="center"/>
                    <w:rPr>
                      <w:rFonts w:hint="eastAsia"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pStyle w:val="29"/>
                    <w:jc w:val="center"/>
                    <w:rPr>
                      <w:rFonts w:hint="default" w:ascii="Times New Roman" w:hAnsi="Times New Roman" w:cs="Times New Roman"/>
                      <w:b w:val="0"/>
                      <w:bCs w:val="0"/>
                      <w:color w:val="auto"/>
                      <w:sz w:val="21"/>
                      <w:szCs w:val="21"/>
                    </w:rPr>
                  </w:pPr>
                  <w:r>
                    <w:rPr>
                      <w:rFonts w:hint="default" w:ascii="Times New Roman" w:hAnsi="Times New Roman" w:cs="Times New Roman"/>
                      <w:color w:val="auto"/>
                      <w:sz w:val="21"/>
                      <w:szCs w:val="21"/>
                      <w:lang w:eastAsia="zh-CN"/>
                    </w:rPr>
                    <w:t>废机油桶</w:t>
                  </w:r>
                </w:p>
              </w:tc>
              <w:tc>
                <w:tcPr>
                  <w:tcW w:w="2410" w:type="dxa"/>
                  <w:vAlign w:val="center"/>
                </w:tcPr>
                <w:p>
                  <w:pPr>
                    <w:pStyle w:val="29"/>
                    <w:jc w:val="center"/>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0.05</w:t>
                  </w:r>
                </w:p>
              </w:tc>
              <w:tc>
                <w:tcPr>
                  <w:tcW w:w="24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pStyle w:val="29"/>
                    <w:jc w:val="center"/>
                    <w:rPr>
                      <w:rFonts w:hint="default" w:ascii="Times New Roman" w:hAnsi="Times New Roman" w:cs="Times New Roman"/>
                      <w:b w:val="0"/>
                      <w:bCs w:val="0"/>
                      <w:color w:val="auto"/>
                      <w:sz w:val="21"/>
                      <w:szCs w:val="21"/>
                    </w:rPr>
                  </w:pPr>
                  <w:r>
                    <w:rPr>
                      <w:rFonts w:hint="default" w:ascii="Times New Roman" w:hAnsi="Times New Roman" w:cs="Times New Roman"/>
                      <w:color w:val="auto"/>
                      <w:sz w:val="21"/>
                      <w:szCs w:val="21"/>
                      <w:lang w:eastAsia="zh-CN"/>
                    </w:rPr>
                    <w:t>废切削液桶</w:t>
                  </w:r>
                </w:p>
              </w:tc>
              <w:tc>
                <w:tcPr>
                  <w:tcW w:w="2410" w:type="dxa"/>
                  <w:vAlign w:val="center"/>
                </w:tcPr>
                <w:p>
                  <w:pPr>
                    <w:pStyle w:val="29"/>
                    <w:jc w:val="center"/>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0.05</w:t>
                  </w:r>
                </w:p>
              </w:tc>
              <w:tc>
                <w:tcPr>
                  <w:tcW w:w="24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0" w:type="dxa"/>
                  <w:vMerge w:val="continue"/>
                  <w:vAlign w:val="center"/>
                </w:tcPr>
                <w:p>
                  <w:pPr>
                    <w:jc w:val="center"/>
                    <w:rPr>
                      <w:rFonts w:hint="default" w:ascii="Times New Roman" w:hAnsi="Times New Roman" w:cs="Times New Roman"/>
                      <w:b w:val="0"/>
                      <w:bCs w:val="0"/>
                      <w:color w:val="auto"/>
                      <w:sz w:val="21"/>
                      <w:szCs w:val="21"/>
                      <w:vertAlign w:val="baseline"/>
                      <w:lang w:eastAsia="zh-CN"/>
                    </w:rPr>
                  </w:pPr>
                </w:p>
              </w:tc>
              <w:tc>
                <w:tcPr>
                  <w:tcW w:w="3447" w:type="dxa"/>
                  <w:vAlign w:val="center"/>
                </w:tcPr>
                <w:p>
                  <w:pPr>
                    <w:pStyle w:val="29"/>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废清洗剂桶</w:t>
                  </w:r>
                </w:p>
              </w:tc>
              <w:tc>
                <w:tcPr>
                  <w:tcW w:w="2410" w:type="dxa"/>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0.01</w:t>
                  </w:r>
                </w:p>
              </w:tc>
              <w:tc>
                <w:tcPr>
                  <w:tcW w:w="2411" w:type="dxa"/>
                  <w:vAlign w:val="center"/>
                </w:tcPr>
                <w:p>
                  <w:pPr>
                    <w:jc w:val="center"/>
                    <w:rPr>
                      <w:rFonts w:hint="eastAsia"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4"/>
                  <w:vAlign w:val="center"/>
                </w:tcPr>
                <w:p>
                  <w:pPr>
                    <w:pStyle w:val="29"/>
                    <w:keepNext w:val="0"/>
                    <w:keepLines w:val="0"/>
                    <w:pageBreakBefore w:val="0"/>
                    <w:widowControl w:val="0"/>
                    <w:kinsoku/>
                    <w:wordWrap/>
                    <w:overflowPunct/>
                    <w:topLinePunct w:val="0"/>
                    <w:autoSpaceDE w:val="0"/>
                    <w:autoSpaceDN w:val="0"/>
                    <w:bidi w:val="0"/>
                    <w:adjustRightInd w:val="0"/>
                    <w:snapToGrid/>
                    <w:ind w:firstLine="422" w:firstLineChars="200"/>
                    <w:jc w:val="both"/>
                    <w:textAlignment w:val="auto"/>
                    <w:rPr>
                      <w:rFonts w:hint="eastAsia" w:cs="Times New Roman"/>
                      <w:color w:val="auto"/>
                      <w:sz w:val="21"/>
                      <w:szCs w:val="21"/>
                      <w:lang w:val="en-US" w:eastAsia="zh-CN"/>
                    </w:rPr>
                  </w:pPr>
                  <w:r>
                    <w:rPr>
                      <w:rFonts w:hint="eastAsia" w:cs="Times New Roman"/>
                      <w:b/>
                      <w:bCs/>
                      <w:color w:val="auto"/>
                      <w:sz w:val="21"/>
                      <w:szCs w:val="21"/>
                      <w:lang w:val="en-US" w:eastAsia="zh-CN"/>
                    </w:rPr>
                    <w:t>注：</w:t>
                  </w:r>
                  <w:r>
                    <w:rPr>
                      <w:rFonts w:hint="eastAsia" w:cs="Times New Roman"/>
                      <w:color w:val="auto"/>
                      <w:sz w:val="21"/>
                      <w:szCs w:val="21"/>
                      <w:lang w:val="en-US" w:eastAsia="zh-CN"/>
                    </w:rPr>
                    <w:t>数据引自原环评。</w:t>
                  </w:r>
                </w:p>
              </w:tc>
            </w:tr>
          </w:tbl>
          <w:p>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现有项目存在的环境问题</w:t>
            </w:r>
            <w:r>
              <w:rPr>
                <w:rFonts w:hint="default" w:ascii="Times New Roman" w:hAnsi="Times New Roman" w:cs="Times New Roman"/>
                <w:b/>
                <w:bCs/>
                <w:color w:val="auto"/>
                <w:sz w:val="24"/>
                <w:szCs w:val="24"/>
                <w:lang w:val="en-US" w:eastAsia="zh-CN"/>
              </w:rPr>
              <w:t>及</w:t>
            </w:r>
            <w:r>
              <w:rPr>
                <w:rFonts w:hint="default" w:ascii="Times New Roman" w:hAnsi="Times New Roman" w:cs="Times New Roman"/>
                <w:b/>
                <w:bCs/>
                <w:color w:val="auto"/>
                <w:sz w:val="24"/>
                <w:szCs w:val="24"/>
                <w:lang w:eastAsia="zh-CN"/>
              </w:rPr>
              <w:t>整改措施</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（1）现有项目存在的环境问题</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①</w:t>
            </w:r>
            <w:r>
              <w:rPr>
                <w:rFonts w:hint="default" w:ascii="Times New Roman" w:hAnsi="Times New Roman" w:cs="Times New Roman"/>
                <w:color w:val="auto"/>
                <w:sz w:val="24"/>
                <w:szCs w:val="24"/>
                <w:lang w:val="en-US" w:eastAsia="zh-CN"/>
              </w:rPr>
              <w:t>抛丸工序</w:t>
            </w:r>
            <w:r>
              <w:rPr>
                <w:rFonts w:hint="eastAsia" w:ascii="Times New Roman" w:hAnsi="Times New Roman" w:cs="Times New Roman"/>
                <w:color w:val="auto"/>
                <w:sz w:val="24"/>
                <w:szCs w:val="24"/>
                <w:lang w:val="en-US" w:eastAsia="zh-CN"/>
              </w:rPr>
              <w:t>除尘设备</w:t>
            </w:r>
            <w:r>
              <w:rPr>
                <w:rFonts w:hint="default" w:ascii="Times New Roman" w:hAnsi="Times New Roman" w:cs="Times New Roman"/>
                <w:color w:val="auto"/>
                <w:sz w:val="24"/>
                <w:szCs w:val="24"/>
                <w:lang w:val="en-US" w:eastAsia="zh-CN"/>
              </w:rPr>
              <w:t>配套的排气筒高度不满足</w:t>
            </w:r>
            <w:r>
              <w:rPr>
                <w:rFonts w:hint="eastAsia" w:ascii="Times New Roman" w:hAnsi="Times New Roman" w:cs="Times New Roman"/>
                <w:color w:val="auto"/>
                <w:sz w:val="24"/>
                <w:szCs w:val="24"/>
                <w:lang w:val="en-US" w:eastAsia="zh-CN"/>
              </w:rPr>
              <w:t>最低</w:t>
            </w:r>
            <w:r>
              <w:rPr>
                <w:rFonts w:hint="default" w:ascii="Times New Roman" w:hAnsi="Times New Roman" w:cs="Times New Roman"/>
                <w:color w:val="auto"/>
                <w:sz w:val="24"/>
                <w:szCs w:val="24"/>
                <w:lang w:val="en-US" w:eastAsia="zh-CN"/>
              </w:rPr>
              <w:t>15m高度要求</w:t>
            </w:r>
            <w:r>
              <w:rPr>
                <w:rFonts w:hint="eastAsia"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②</w:t>
            </w:r>
            <w:r>
              <w:rPr>
                <w:rFonts w:hint="default" w:ascii="Times New Roman" w:hAnsi="Times New Roman" w:cs="Times New Roman"/>
                <w:color w:val="auto"/>
                <w:sz w:val="24"/>
                <w:szCs w:val="24"/>
                <w:lang w:val="en-US" w:eastAsia="zh-CN"/>
              </w:rPr>
              <w:t>焊接工序产生的颗粒物未做处理直接排放</w:t>
            </w:r>
            <w:r>
              <w:rPr>
                <w:rFonts w:hint="eastAsia"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③</w:t>
            </w:r>
            <w:r>
              <w:rPr>
                <w:rFonts w:hint="default" w:ascii="Times New Roman" w:hAnsi="Times New Roman" w:cs="Times New Roman"/>
                <w:color w:val="auto"/>
                <w:sz w:val="24"/>
                <w:szCs w:val="24"/>
                <w:lang w:val="en-US" w:eastAsia="zh-CN"/>
              </w:rPr>
              <w:t>喷粉工序（小构件）配套的烘箱</w:t>
            </w:r>
            <w:r>
              <w:rPr>
                <w:rFonts w:hint="eastAsia" w:ascii="Times New Roman" w:hAnsi="Times New Roman" w:cs="Times New Roman"/>
                <w:color w:val="auto"/>
                <w:sz w:val="24"/>
                <w:szCs w:val="24"/>
                <w:lang w:val="en-US" w:eastAsia="zh-CN"/>
              </w:rPr>
              <w:t>产生的挥发性有机物未做收集及处理。</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④</w:t>
            </w:r>
            <w:r>
              <w:rPr>
                <w:rFonts w:hint="eastAsia" w:ascii="Times New Roman" w:hAnsi="Times New Roman" w:cs="Times New Roman"/>
                <w:color w:val="auto"/>
                <w:sz w:val="24"/>
                <w:szCs w:val="24"/>
                <w:lang w:val="en-US" w:eastAsia="zh-CN"/>
              </w:rPr>
              <w:t>喷粉工序（小构件）配套的喷粉柜产生的颗粒物未做有效处理。</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整改措施</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①</w:t>
            </w:r>
            <w:r>
              <w:rPr>
                <w:rFonts w:hint="default" w:ascii="Times New Roman" w:hAnsi="Times New Roman" w:cs="Times New Roman"/>
                <w:color w:val="auto"/>
                <w:sz w:val="24"/>
                <w:szCs w:val="24"/>
                <w:lang w:val="en-US" w:eastAsia="zh-CN"/>
              </w:rPr>
              <w:t>抛丸工序</w:t>
            </w:r>
            <w:r>
              <w:rPr>
                <w:rFonts w:hint="eastAsia" w:ascii="Times New Roman" w:hAnsi="Times New Roman" w:cs="Times New Roman"/>
                <w:color w:val="auto"/>
                <w:sz w:val="24"/>
                <w:szCs w:val="24"/>
                <w:lang w:val="en-US" w:eastAsia="zh-CN"/>
              </w:rPr>
              <w:t>除尘设备</w:t>
            </w:r>
            <w:r>
              <w:rPr>
                <w:rFonts w:hint="default" w:ascii="Times New Roman" w:hAnsi="Times New Roman" w:cs="Times New Roman"/>
                <w:color w:val="auto"/>
                <w:sz w:val="24"/>
                <w:szCs w:val="24"/>
                <w:lang w:val="en-US" w:eastAsia="zh-CN"/>
              </w:rPr>
              <w:t>配套的排气筒高度</w:t>
            </w:r>
            <w:r>
              <w:rPr>
                <w:rFonts w:hint="eastAsia" w:ascii="Times New Roman" w:hAnsi="Times New Roman" w:cs="Times New Roman"/>
                <w:color w:val="auto"/>
                <w:sz w:val="24"/>
                <w:szCs w:val="24"/>
                <w:lang w:val="en-US" w:eastAsia="zh-CN"/>
              </w:rPr>
              <w:t>调整为</w:t>
            </w:r>
            <w:r>
              <w:rPr>
                <w:rFonts w:hint="default" w:ascii="Times New Roman" w:hAnsi="Times New Roman" w:cs="Times New Roman"/>
                <w:color w:val="auto"/>
                <w:sz w:val="24"/>
                <w:szCs w:val="24"/>
                <w:lang w:val="en-US" w:eastAsia="zh-CN"/>
              </w:rPr>
              <w:t>15m高度</w:t>
            </w:r>
            <w:r>
              <w:rPr>
                <w:rFonts w:hint="eastAsia" w:ascii="Times New Roman" w:hAnsi="Times New Roman" w:cs="Times New Roman"/>
                <w:color w:val="auto"/>
                <w:sz w:val="24"/>
                <w:szCs w:val="24"/>
                <w:lang w:val="en-US" w:eastAsia="zh-CN"/>
              </w:rPr>
              <w:t>要求。</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②</w:t>
            </w:r>
            <w:r>
              <w:rPr>
                <w:rFonts w:hint="default" w:ascii="Times New Roman" w:hAnsi="Times New Roman" w:cs="Times New Roman"/>
                <w:color w:val="auto"/>
                <w:sz w:val="24"/>
                <w:szCs w:val="24"/>
                <w:lang w:val="en-US" w:eastAsia="zh-CN"/>
              </w:rPr>
              <w:t>焊接工序产生的颗粒物</w:t>
            </w:r>
            <w:r>
              <w:rPr>
                <w:rFonts w:hint="eastAsia" w:ascii="Times New Roman" w:hAnsi="Times New Roman" w:cs="Times New Roman"/>
                <w:color w:val="auto"/>
                <w:sz w:val="24"/>
                <w:szCs w:val="24"/>
                <w:lang w:val="en-US" w:eastAsia="zh-CN"/>
              </w:rPr>
              <w:t>设置“集气罩+滤筒除尘器+15m高排气筒”。</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③</w:t>
            </w:r>
            <w:r>
              <w:rPr>
                <w:rFonts w:hint="default" w:ascii="Times New Roman" w:hAnsi="Times New Roman" w:cs="Times New Roman"/>
                <w:color w:val="auto"/>
                <w:sz w:val="24"/>
                <w:szCs w:val="24"/>
                <w:lang w:val="en-US" w:eastAsia="zh-CN"/>
              </w:rPr>
              <w:t>喷粉工序（小构件）配套的烘箱</w:t>
            </w:r>
            <w:r>
              <w:rPr>
                <w:rFonts w:hint="eastAsia" w:ascii="Times New Roman" w:hAnsi="Times New Roman" w:cs="Times New Roman"/>
                <w:color w:val="auto"/>
                <w:sz w:val="24"/>
                <w:szCs w:val="24"/>
                <w:lang w:val="en-US" w:eastAsia="zh-CN"/>
              </w:rPr>
              <w:t>产生的挥发性有机物设置“集气系统+风冷+两级活性炭吸附箱+15m高排气筒”（并入大构件喷粉线处理设施）。</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④</w:t>
            </w:r>
            <w:r>
              <w:rPr>
                <w:rFonts w:hint="eastAsia" w:ascii="Times New Roman" w:hAnsi="Times New Roman" w:cs="Times New Roman"/>
                <w:color w:val="auto"/>
                <w:sz w:val="24"/>
                <w:szCs w:val="24"/>
                <w:lang w:val="en-US" w:eastAsia="zh-CN"/>
              </w:rPr>
              <w:t>喷粉工序（小构件）配套的喷粉柜产生的颗粒物设置“集气系统+袋式除尘器+15m高排气筒”（并入大构件喷粉线处理设施）。</w:t>
            </w:r>
          </w:p>
          <w:p>
            <w:pPr>
              <w:jc w:val="center"/>
              <w:rPr>
                <w:color w:val="auto"/>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p>
            <w:pPr>
              <w:pStyle w:val="32"/>
              <w:ind w:left="0" w:leftChars="0" w:firstLine="0" w:firstLineChars="0"/>
              <w:rPr>
                <w:color w:val="auto"/>
                <w:sz w:val="21"/>
                <w:szCs w:val="21"/>
                <w:vertAlign w:val="baseline"/>
              </w:rPr>
            </w:pPr>
          </w:p>
        </w:tc>
      </w:tr>
    </w:tbl>
    <w:p>
      <w:pPr>
        <w:spacing w:line="240" w:lineRule="auto"/>
        <w:jc w:val="left"/>
        <w:rPr>
          <w:rFonts w:hint="default"/>
          <w:b/>
          <w:bCs/>
          <w:color w:val="auto"/>
          <w:sz w:val="28"/>
          <w:szCs w:val="28"/>
          <w:lang w:val="en-US" w:eastAsia="zh-CN"/>
        </w:rPr>
      </w:pPr>
      <w:r>
        <w:rPr>
          <w:rFonts w:hint="eastAsia"/>
          <w:b/>
          <w:bCs/>
          <w:color w:val="auto"/>
          <w:sz w:val="28"/>
          <w:szCs w:val="28"/>
          <w:lang w:val="en-US" w:eastAsia="zh-CN"/>
        </w:rPr>
        <w:t>三</w:t>
      </w:r>
      <w:r>
        <w:rPr>
          <w:rFonts w:hint="eastAsia"/>
          <w:b/>
          <w:bCs/>
          <w:color w:val="auto"/>
          <w:sz w:val="28"/>
          <w:szCs w:val="28"/>
          <w:lang w:eastAsia="zh-CN"/>
        </w:rPr>
        <w:t>、</w:t>
      </w:r>
      <w:r>
        <w:rPr>
          <w:rFonts w:hint="eastAsia"/>
          <w:b/>
          <w:bCs/>
          <w:color w:val="auto"/>
          <w:sz w:val="28"/>
          <w:szCs w:val="28"/>
          <w:lang w:val="en-US" w:eastAsia="zh-CN"/>
        </w:rPr>
        <w:t>区域环境质量现状、环境保护目标及评价标准</w:t>
      </w:r>
    </w:p>
    <w:tbl>
      <w:tblPr>
        <w:tblStyle w:val="25"/>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9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17" w:type="dxa"/>
            <w:vAlign w:val="center"/>
          </w:tcPr>
          <w:p>
            <w:pPr>
              <w:jc w:val="center"/>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区域环境质量现状</w:t>
            </w:r>
          </w:p>
        </w:tc>
        <w:tc>
          <w:tcPr>
            <w:tcW w:w="8637" w:type="dxa"/>
            <w:vAlign w:val="center"/>
          </w:tcPr>
          <w:p>
            <w:pPr>
              <w:widowControl/>
              <w:spacing w:line="360" w:lineRule="auto"/>
              <w:ind w:firstLine="482" w:firstLineChars="200"/>
              <w:jc w:val="left"/>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rPr>
              <w:t>1、</w:t>
            </w:r>
            <w:r>
              <w:rPr>
                <w:rFonts w:hint="default" w:ascii="Times New Roman" w:hAnsi="Times New Roman" w:cs="Times New Roman"/>
                <w:b/>
                <w:bCs/>
                <w:color w:val="auto"/>
                <w:sz w:val="24"/>
                <w:szCs w:val="24"/>
                <w:lang w:val="en-US" w:eastAsia="zh-CN"/>
              </w:rPr>
              <w:t>大气环境</w:t>
            </w:r>
          </w:p>
          <w:p>
            <w:pPr>
              <w:widowControl/>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（1）项目所在区域达标判断</w:t>
            </w:r>
          </w:p>
          <w:p>
            <w:pPr>
              <w:spacing w:line="360" w:lineRule="auto"/>
              <w:ind w:firstLine="480" w:firstLineChars="200"/>
              <w:rPr>
                <w:rFonts w:hint="eastAsia" w:ascii="宋体" w:hAnsi="宋体" w:eastAsia="宋体" w:cs="宋体"/>
                <w:color w:val="auto"/>
                <w:sz w:val="24"/>
                <w:szCs w:val="24"/>
              </w:rPr>
            </w:pPr>
            <w:r>
              <w:rPr>
                <w:rFonts w:hint="default" w:ascii="Times New Roman" w:hAnsi="Times New Roman" w:cs="Times New Roman"/>
                <w:color w:val="auto"/>
                <w:sz w:val="24"/>
                <w:szCs w:val="24"/>
              </w:rPr>
              <w:t>根据《环境影响评价技术导则-大气环境》（HJ2.2-2018）：</w:t>
            </w:r>
            <w:r>
              <w:rPr>
                <w:rFonts w:hint="eastAsia" w:ascii="宋体" w:hAnsi="宋体" w:eastAsia="宋体" w:cs="宋体"/>
                <w:color w:val="auto"/>
                <w:sz w:val="24"/>
                <w:szCs w:val="24"/>
              </w:rPr>
              <w:t>“</w:t>
            </w:r>
            <w:r>
              <w:rPr>
                <w:rFonts w:hint="default" w:ascii="Times New Roman" w:hAnsi="Times New Roman" w:cs="Times New Roman"/>
                <w:color w:val="auto"/>
                <w:sz w:val="24"/>
                <w:szCs w:val="24"/>
              </w:rPr>
              <w:t>6.2.1.1项目所在区域达标判定，优先采用国家或地方生态环境主管部门公开发布的评价基准年环境质量公告或环境质量报告中的数据或结论</w:t>
            </w:r>
            <w:r>
              <w:rPr>
                <w:rFonts w:hint="eastAsia" w:ascii="宋体" w:hAnsi="宋体" w:eastAsia="宋体" w:cs="宋体"/>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本次评价为202</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年，评价基准年</w:t>
            </w:r>
            <w:r>
              <w:rPr>
                <w:rFonts w:hint="default" w:ascii="Times New Roman" w:hAnsi="Times New Roman" w:cs="Times New Roman"/>
                <w:color w:val="auto"/>
                <w:sz w:val="24"/>
                <w:szCs w:val="24"/>
                <w:lang w:eastAsia="zh-CN"/>
              </w:rPr>
              <w:t>取</w:t>
            </w:r>
            <w:r>
              <w:rPr>
                <w:rFonts w:hint="default" w:ascii="Times New Roman" w:hAnsi="Times New Roman" w:cs="Times New Roman"/>
                <w:color w:val="auto"/>
                <w:sz w:val="24"/>
                <w:szCs w:val="24"/>
              </w:rPr>
              <w:t>20</w:t>
            </w:r>
            <w:r>
              <w:rPr>
                <w:rFonts w:hint="eastAsia"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年，城市环境空气质量达标情况评价指标中SO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、CO和O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引用</w:t>
            </w:r>
            <w:r>
              <w:rPr>
                <w:rFonts w:hint="eastAsia" w:ascii="Times New Roman" w:hAnsi="Times New Roman" w:cs="Times New Roman"/>
                <w:color w:val="auto"/>
                <w:sz w:val="24"/>
                <w:szCs w:val="24"/>
                <w:lang w:eastAsia="zh-CN"/>
              </w:rPr>
              <w:t>《宿州市</w:t>
            </w:r>
            <w:r>
              <w:rPr>
                <w:rFonts w:hint="eastAsia" w:ascii="Times New Roman" w:hAnsi="Times New Roman" w:cs="Times New Roman"/>
                <w:color w:val="auto"/>
                <w:sz w:val="24"/>
                <w:szCs w:val="24"/>
                <w:lang w:val="en-US" w:eastAsia="zh-CN"/>
              </w:rPr>
              <w:t>2022年环境质量状况报告</w:t>
            </w:r>
            <w:r>
              <w:rPr>
                <w:rFonts w:hint="eastAsia" w:ascii="Times New Roman" w:hAnsi="Times New Roman" w:cs="Times New Roman"/>
                <w:color w:val="auto"/>
                <w:sz w:val="24"/>
                <w:szCs w:val="24"/>
                <w:lang w:eastAsia="zh-CN"/>
              </w:rPr>
              <w:t>》（宿州市生态环境局，</w:t>
            </w:r>
            <w:r>
              <w:rPr>
                <w:rFonts w:hint="eastAsia" w:ascii="Times New Roman" w:hAnsi="Times New Roman" w:cs="Times New Roman"/>
                <w:color w:val="auto"/>
                <w:sz w:val="24"/>
                <w:szCs w:val="24"/>
                <w:lang w:val="en-US" w:eastAsia="zh-CN"/>
              </w:rPr>
              <w:t>2023年06月09日</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中数据</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2022年宿州市空气综合指数为3.95，同比改善1.7%；PM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年平均浓度为40微克/立方米，同比改善2.4%；全市空气优良天数比例为76.7%，优良天数比例改善率全省排名第5，全面完成年度考核任务。</w:t>
            </w:r>
            <w:r>
              <w:rPr>
                <w:rFonts w:hint="eastAsia" w:ascii="Times New Roman" w:hAnsi="Times New Roman" w:cs="Times New Roman"/>
                <w:color w:val="auto"/>
                <w:sz w:val="24"/>
                <w:szCs w:val="24"/>
                <w:lang w:eastAsia="zh-CN"/>
              </w:rPr>
              <w:t>”</w:t>
            </w:r>
          </w:p>
          <w:p>
            <w:pPr>
              <w:pStyle w:val="41"/>
              <w:autoSpaceDE w:val="0"/>
              <w:autoSpaceDN w:val="0"/>
              <w:adjustRightInd w:val="0"/>
              <w:snapToGrid w:val="0"/>
              <w:ind w:firstLine="0" w:firstLineChars="0"/>
              <w:jc w:val="center"/>
              <w:rPr>
                <w:rFonts w:hint="default" w:ascii="Times New Roman" w:hAnsi="Times New Roman" w:cs="Times New Roman"/>
                <w:b/>
                <w:bCs/>
                <w:color w:val="auto"/>
                <w:sz w:val="24"/>
                <w:szCs w:val="24"/>
                <w:lang w:val="zh-CN"/>
              </w:rPr>
            </w:pPr>
            <w:r>
              <w:rPr>
                <w:rFonts w:hint="default" w:ascii="Times New Roman" w:hAnsi="Times New Roman" w:cs="Times New Roman"/>
                <w:b/>
                <w:bCs/>
                <w:color w:val="auto"/>
                <w:sz w:val="24"/>
                <w:szCs w:val="24"/>
                <w:lang w:val="zh-CN"/>
              </w:rPr>
              <w:t>表</w:t>
            </w:r>
            <w:r>
              <w:rPr>
                <w:rFonts w:hint="default" w:ascii="Times New Roman" w:hAnsi="Times New Roman" w:cs="Times New Roman"/>
                <w:b/>
                <w:bCs/>
                <w:color w:val="auto"/>
                <w:sz w:val="24"/>
                <w:szCs w:val="24"/>
              </w:rPr>
              <w:t>3.1  区域空气质量现状评价表</w:t>
            </w:r>
          </w:p>
          <w:tbl>
            <w:tblPr>
              <w:tblStyle w:val="2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3810"/>
              <w:gridCol w:w="1335"/>
              <w:gridCol w:w="1095"/>
              <w:gridCol w:w="108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tcBorders>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3810" w:type="dxa"/>
                  <w:tcBorders>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评价指标</w:t>
                  </w:r>
                </w:p>
              </w:tc>
              <w:tc>
                <w:tcPr>
                  <w:tcW w:w="1335" w:type="dxa"/>
                  <w:tcBorders>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年均浓度</w:t>
                  </w:r>
                </w:p>
              </w:tc>
              <w:tc>
                <w:tcPr>
                  <w:tcW w:w="1095" w:type="dxa"/>
                  <w:tcBorders>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1080" w:type="dxa"/>
                  <w:tcBorders>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占标率/%</w:t>
                  </w:r>
                </w:p>
              </w:tc>
              <w:tc>
                <w:tcPr>
                  <w:tcW w:w="1129" w:type="dxa"/>
                  <w:tcBorders>
                    <w:left w:val="single" w:color="auto" w:sz="4" w:space="0"/>
                    <w:bottom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5" w:type="dxa"/>
                  <w:tcBorders>
                    <w:top w:val="single" w:color="auto" w:sz="4" w:space="0"/>
                    <w:bottom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3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eastAsia" w:cs="Times New Roman"/>
                      <w:color w:val="auto"/>
                      <w:sz w:val="21"/>
                      <w:szCs w:val="21"/>
                      <w:lang w:val="en-US" w:eastAsia="zh-CN"/>
                    </w:rPr>
                    <w:t>70</w:t>
                  </w:r>
                  <w:r>
                    <w:rPr>
                      <w:rFonts w:hint="default" w:ascii="Times New Roman" w:hAnsi="Times New Roman" w:cs="Times New Roman"/>
                      <w:color w:val="auto"/>
                      <w:sz w:val="21"/>
                      <w:szCs w:val="21"/>
                    </w:rPr>
                    <w:t>μg/m³</w:t>
                  </w:r>
                </w:p>
              </w:tc>
              <w:tc>
                <w:tcPr>
                  <w:tcW w:w="109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70μg/m³</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w:t>
                  </w:r>
                </w:p>
              </w:tc>
              <w:tc>
                <w:tcPr>
                  <w:tcW w:w="1129" w:type="dxa"/>
                  <w:tcBorders>
                    <w:top w:val="single" w:color="auto" w:sz="4" w:space="0"/>
                    <w:left w:val="single" w:color="auto" w:sz="4" w:space="0"/>
                    <w:bottom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5" w:type="dxa"/>
                  <w:tcBorders>
                    <w:top w:val="single" w:color="auto" w:sz="4" w:space="0"/>
                    <w:bottom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38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eastAsia" w:cs="Times New Roman"/>
                      <w:color w:val="auto"/>
                      <w:sz w:val="21"/>
                      <w:szCs w:val="21"/>
                      <w:lang w:val="en-US" w:eastAsia="zh-CN"/>
                    </w:rPr>
                    <w:t>40</w:t>
                  </w:r>
                  <w:r>
                    <w:rPr>
                      <w:rFonts w:hint="default" w:ascii="Times New Roman" w:hAnsi="Times New Roman" w:cs="Times New Roman"/>
                      <w:color w:val="auto"/>
                      <w:sz w:val="21"/>
                      <w:szCs w:val="21"/>
                    </w:rPr>
                    <w:t>μg/m³</w:t>
                  </w:r>
                </w:p>
              </w:tc>
              <w:tc>
                <w:tcPr>
                  <w:tcW w:w="109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35μg/m³</w:t>
                  </w:r>
                </w:p>
              </w:tc>
              <w:tc>
                <w:tcPr>
                  <w:tcW w:w="1080" w:type="dxa"/>
                  <w:tcBorders>
                    <w:top w:val="single" w:color="auto" w:sz="4" w:space="0"/>
                    <w:left w:val="single" w:color="auto" w:sz="4" w:space="0"/>
                    <w:bottom w:val="single" w:color="auto" w:sz="4" w:space="0"/>
                    <w:right w:val="single" w:color="auto" w:sz="4" w:space="0"/>
                  </w:tcBorders>
                  <w:shd w:val="clear" w:color="auto" w:fill="7E7E7E"/>
                  <w:noWrap w:val="0"/>
                  <w:vAlign w:val="center"/>
                </w:tcPr>
                <w:p>
                  <w:pPr>
                    <w:pStyle w:val="3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114.3</w:t>
                  </w:r>
                </w:p>
              </w:tc>
              <w:tc>
                <w:tcPr>
                  <w:tcW w:w="1129" w:type="dxa"/>
                  <w:tcBorders>
                    <w:top w:val="single" w:color="auto" w:sz="4" w:space="0"/>
                    <w:left w:val="single" w:color="auto" w:sz="4" w:space="0"/>
                    <w:bottom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5" w:type="dxa"/>
                  <w:tcBorders>
                    <w:top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3810"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335"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eastAsia" w:cs="Times New Roman"/>
                      <w:color w:val="auto"/>
                      <w:sz w:val="21"/>
                      <w:szCs w:val="21"/>
                      <w:lang w:val="en-US" w:eastAsia="zh-CN"/>
                    </w:rPr>
                    <w:t>4</w:t>
                  </w:r>
                  <w:r>
                    <w:rPr>
                      <w:rFonts w:hint="default" w:ascii="Times New Roman" w:hAnsi="Times New Roman" w:cs="Times New Roman"/>
                      <w:color w:val="auto"/>
                      <w:sz w:val="21"/>
                      <w:szCs w:val="21"/>
                    </w:rPr>
                    <w:t>μg/m³</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60μg/m³</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6.7</w:t>
                  </w:r>
                </w:p>
              </w:tc>
              <w:tc>
                <w:tcPr>
                  <w:tcW w:w="1129" w:type="dxa"/>
                  <w:tcBorders>
                    <w:top w:val="single" w:color="auto" w:sz="4" w:space="0"/>
                    <w:left w:val="single" w:color="auto" w:sz="4" w:space="0"/>
                    <w:bottom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5" w:type="dxa"/>
                  <w:tcBorders>
                    <w:top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3810"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335"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eastAsia" w:cs="Times New Roman"/>
                      <w:color w:val="auto"/>
                      <w:sz w:val="21"/>
                      <w:szCs w:val="21"/>
                      <w:lang w:val="en-US" w:eastAsia="zh-CN"/>
                    </w:rPr>
                    <w:t>20</w:t>
                  </w:r>
                  <w:r>
                    <w:rPr>
                      <w:rFonts w:hint="default" w:ascii="Times New Roman" w:hAnsi="Times New Roman" w:cs="Times New Roman"/>
                      <w:color w:val="auto"/>
                      <w:sz w:val="21"/>
                      <w:szCs w:val="21"/>
                    </w:rPr>
                    <w:t>μg/m³</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40μg/m³</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50.0</w:t>
                  </w:r>
                </w:p>
              </w:tc>
              <w:tc>
                <w:tcPr>
                  <w:tcW w:w="1129" w:type="dxa"/>
                  <w:tcBorders>
                    <w:top w:val="single" w:color="auto" w:sz="4" w:space="0"/>
                    <w:left w:val="single" w:color="auto" w:sz="4" w:space="0"/>
                    <w:bottom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5" w:type="dxa"/>
                  <w:tcBorders>
                    <w:top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3810"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日平均第95百分位质量浓度</w:t>
                  </w:r>
                </w:p>
              </w:tc>
              <w:tc>
                <w:tcPr>
                  <w:tcW w:w="1335"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eastAsia" w:cs="Times New Roman"/>
                      <w:color w:val="auto"/>
                      <w:sz w:val="21"/>
                      <w:szCs w:val="21"/>
                      <w:lang w:val="en-US" w:eastAsia="zh-CN"/>
                    </w:rPr>
                    <w:t>0.9</w:t>
                  </w:r>
                  <w:r>
                    <w:rPr>
                      <w:rFonts w:hint="default" w:ascii="Times New Roman" w:hAnsi="Times New Roman" w:cs="Times New Roman"/>
                      <w:color w:val="auto"/>
                      <w:sz w:val="21"/>
                      <w:szCs w:val="21"/>
                    </w:rPr>
                    <w:t>mg/m³</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4mg/m³</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pStyle w:val="3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22.5</w:t>
                  </w:r>
                </w:p>
              </w:tc>
              <w:tc>
                <w:tcPr>
                  <w:tcW w:w="1129" w:type="dxa"/>
                  <w:tcBorders>
                    <w:top w:val="single" w:color="auto" w:sz="4" w:space="0"/>
                    <w:left w:val="single" w:color="auto" w:sz="4" w:space="0"/>
                    <w:bottom w:val="single" w:color="auto" w:sz="4" w:space="0"/>
                  </w:tcBorders>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5" w:type="dxa"/>
                  <w:tcBorders>
                    <w:top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3810" w:type="dxa"/>
                  <w:tcBorders>
                    <w:top w:val="single" w:color="auto" w:sz="4" w:space="0"/>
                    <w:left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日8小时最大平均第90百分位质量浓度</w:t>
                  </w:r>
                </w:p>
              </w:tc>
              <w:tc>
                <w:tcPr>
                  <w:tcW w:w="1335" w:type="dxa"/>
                  <w:tcBorders>
                    <w:top w:val="single" w:color="auto" w:sz="4" w:space="0"/>
                    <w:left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eastAsia" w:cs="Times New Roman"/>
                      <w:color w:val="auto"/>
                      <w:sz w:val="21"/>
                      <w:szCs w:val="21"/>
                      <w:lang w:val="en-US" w:eastAsia="zh-CN"/>
                    </w:rPr>
                    <w:t>63</w:t>
                  </w:r>
                  <w:r>
                    <w:rPr>
                      <w:rFonts w:hint="default" w:ascii="Times New Roman" w:hAnsi="Times New Roman" w:cs="Times New Roman"/>
                      <w:color w:val="auto"/>
                      <w:sz w:val="21"/>
                      <w:szCs w:val="21"/>
                    </w:rPr>
                    <w:t>μg/m³</w:t>
                  </w:r>
                </w:p>
              </w:tc>
              <w:tc>
                <w:tcPr>
                  <w:tcW w:w="1095" w:type="dxa"/>
                  <w:tcBorders>
                    <w:top w:val="single" w:color="auto" w:sz="4" w:space="0"/>
                    <w:left w:val="single" w:color="auto" w:sz="4" w:space="0"/>
                    <w:right w:val="single" w:color="auto" w:sz="4" w:space="0"/>
                  </w:tcBorders>
                  <w:shd w:val="clear" w:color="auto" w:fill="auto"/>
                  <w:noWrap w:val="0"/>
                  <w:vAlign w:val="center"/>
                </w:tcPr>
                <w:p>
                  <w:pPr>
                    <w:pStyle w:val="3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160μg/m³</w:t>
                  </w:r>
                </w:p>
              </w:tc>
              <w:tc>
                <w:tcPr>
                  <w:tcW w:w="1080" w:type="dxa"/>
                  <w:tcBorders>
                    <w:top w:val="single" w:color="auto" w:sz="4" w:space="0"/>
                    <w:left w:val="single" w:color="auto" w:sz="4" w:space="0"/>
                    <w:right w:val="single" w:color="auto" w:sz="4" w:space="0"/>
                  </w:tcBorders>
                  <w:shd w:val="clear" w:color="auto" w:fill="7E7E7E" w:themeFill="background1" w:themeFillShade="7F"/>
                  <w:noWrap w:val="0"/>
                  <w:vAlign w:val="center"/>
                </w:tcPr>
                <w:p>
                  <w:pPr>
                    <w:pStyle w:val="3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101.9</w:t>
                  </w:r>
                </w:p>
              </w:tc>
              <w:tc>
                <w:tcPr>
                  <w:tcW w:w="1129" w:type="dxa"/>
                  <w:tcBorders>
                    <w:top w:val="single" w:color="auto" w:sz="4" w:space="0"/>
                    <w:left w:val="single" w:color="auto" w:sz="4" w:space="0"/>
                  </w:tcBorders>
                  <w:noWrap w:val="0"/>
                  <w:vAlign w:val="center"/>
                </w:tcPr>
                <w:p>
                  <w:pPr>
                    <w:pStyle w:val="39"/>
                    <w:rPr>
                      <w:rFonts w:hint="default" w:ascii="Times New Roman" w:hAnsi="Times New Roman" w:cs="Times New Roman"/>
                      <w:color w:val="auto"/>
                      <w:sz w:val="21"/>
                      <w:szCs w:val="21"/>
                    </w:rPr>
                  </w:pPr>
                  <w:r>
                    <w:rPr>
                      <w:rFonts w:hint="eastAsia" w:cs="Times New Roman"/>
                      <w:color w:val="auto"/>
                      <w:sz w:val="21"/>
                      <w:szCs w:val="21"/>
                      <w:lang w:eastAsia="zh-CN"/>
                    </w:rPr>
                    <w:t>不</w:t>
                  </w:r>
                  <w:r>
                    <w:rPr>
                      <w:rFonts w:hint="default" w:ascii="Times New Roman" w:hAnsi="Times New Roman" w:cs="Times New Roman"/>
                      <w:color w:val="auto"/>
                      <w:sz w:val="21"/>
                      <w:szCs w:val="21"/>
                    </w:rPr>
                    <w:t>达标</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由上表3.1可知，该项目区六项污染中PM</w:t>
            </w:r>
            <w:r>
              <w:rPr>
                <w:rFonts w:hint="eastAsia" w:ascii="Times New Roman" w:hAnsi="Times New Roman" w:cs="Times New Roman"/>
                <w:color w:val="auto"/>
                <w:sz w:val="24"/>
                <w:szCs w:val="24"/>
                <w:vertAlign w:val="subscript"/>
                <w:lang w:val="en-US" w:eastAsia="zh-CN"/>
              </w:rPr>
              <w:t>2.5</w:t>
            </w:r>
            <w:r>
              <w:rPr>
                <w:rFonts w:hint="eastAsia" w:ascii="Times New Roman" w:hAnsi="Times New Roman" w:cs="Times New Roman"/>
                <w:color w:val="auto"/>
                <w:sz w:val="24"/>
                <w:szCs w:val="24"/>
                <w:lang w:eastAsia="zh-CN"/>
              </w:rPr>
              <w:t>和</w:t>
            </w:r>
            <w:r>
              <w:rPr>
                <w:rFonts w:hint="eastAsia" w:ascii="Times New Roman" w:hAnsi="Times New Roman" w:cs="Times New Roman"/>
                <w:color w:val="auto"/>
                <w:sz w:val="24"/>
                <w:szCs w:val="24"/>
                <w:lang w:val="en-US" w:eastAsia="zh-CN"/>
              </w:rPr>
              <w:t>O</w:t>
            </w:r>
            <w:r>
              <w:rPr>
                <w:rFonts w:hint="eastAsia"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rPr>
              <w:t>不达标，则该项目区为城市环境质量不达标区。</w:t>
            </w:r>
          </w:p>
          <w:p>
            <w:pPr>
              <w:pStyle w:val="29"/>
              <w:spacing w:line="360" w:lineRule="auto"/>
              <w:ind w:firstLine="480" w:firstLineChars="200"/>
              <w:jc w:val="both"/>
              <w:rPr>
                <w:rFonts w:hint="default" w:ascii="Times New Roman" w:hAnsi="Times New Roman" w:cs="Times New Roman"/>
                <w:color w:val="auto"/>
                <w:kern w:val="1"/>
                <w:sz w:val="24"/>
              </w:rPr>
            </w:pP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2</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color w:val="auto"/>
                <w:kern w:val="1"/>
                <w:sz w:val="24"/>
              </w:rPr>
              <w:t>其他污染物环境质量现状</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b w:val="0"/>
                <w:bCs w:val="0"/>
                <w:color w:val="auto"/>
                <w:sz w:val="24"/>
                <w:szCs w:val="24"/>
                <w:lang w:val="en-US" w:eastAsia="zh-CN"/>
              </w:rPr>
              <w:t>本项目运营期排放的主要特征污染物为非甲烷总烃（NMHC）和总悬浮颗粒物（TSP）。非甲烷总烃（NMHC）现状检测值引用《</w:t>
            </w:r>
            <w:r>
              <w:rPr>
                <w:rFonts w:hint="eastAsia"/>
                <w:color w:val="auto"/>
                <w:sz w:val="24"/>
                <w:szCs w:val="24"/>
                <w:lang w:val="en-US" w:eastAsia="zh-CN"/>
              </w:rPr>
              <w:t>白土镇智能制造产业园控制性详细规划环境影响报告书</w:t>
            </w:r>
            <w:r>
              <w:rPr>
                <w:rFonts w:hint="eastAsia" w:ascii="Times New Roman" w:hAnsi="Times New Roman" w:cs="Times New Roman"/>
                <w:b w:val="0"/>
                <w:bCs w:val="0"/>
                <w:color w:val="auto"/>
                <w:sz w:val="24"/>
                <w:szCs w:val="24"/>
                <w:lang w:val="en-US" w:eastAsia="zh-CN"/>
              </w:rPr>
              <w:t>》中的检测数据，监测时间为2022年02月21日～2022年02月27日，其中引用的点位（瓦房）位于本项目东北约1050米处，满足</w:t>
            </w:r>
            <w:r>
              <w:rPr>
                <w:rFonts w:hint="eastAsia" w:ascii="Times New Roman" w:hAnsi="Times New Roman" w:cs="Times New Roman"/>
                <w:color w:val="auto"/>
                <w:sz w:val="24"/>
                <w:szCs w:val="24"/>
                <w:lang w:val="en-US" w:eastAsia="zh-CN"/>
              </w:rPr>
              <w:t>《建设项目环境影响报告表编制技术指南（污染影响类）》：“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km范围内近3年的现有监测数据，无相关数据的选择当季主导风向下风向1个点位补充不少于3天的监测数据。”</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b w:val="0"/>
                <w:bCs w:val="0"/>
                <w:color w:val="auto"/>
                <w:sz w:val="24"/>
                <w:szCs w:val="24"/>
                <w:lang w:val="en-US" w:eastAsia="zh-CN"/>
              </w:rPr>
              <w:t>总悬浮颗粒物（TSP）现状监测值引用《安徽玖泰工程机械有限公司年产工程机械结构件12000吨项目》中的检测数据，检测时间为2022年07月30日～2022年08月01日，其中引用的点位（前圩子村）位于本项目西北侧约1420米处，满足</w:t>
            </w:r>
            <w:r>
              <w:rPr>
                <w:rFonts w:hint="eastAsia" w:ascii="Times New Roman" w:hAnsi="Times New Roman" w:cs="Times New Roman"/>
                <w:color w:val="auto"/>
                <w:sz w:val="24"/>
                <w:szCs w:val="24"/>
                <w:lang w:val="en-US" w:eastAsia="zh-CN"/>
              </w:rPr>
              <w:t>《建设项目环境影响报告表编制技术指南（污染影响类）》：“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km范围内近3年的现有监测数据，无相关数据的选择当季主导风向下风向1个点位补充不少于3天的监测数据。”</w:t>
            </w:r>
          </w:p>
          <w:p>
            <w:pPr>
              <w:spacing w:line="360" w:lineRule="auto"/>
              <w:ind w:firstLine="480" w:firstLineChars="200"/>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①监测点位</w:t>
            </w:r>
          </w:p>
          <w:p>
            <w:pPr>
              <w:spacing w:line="360" w:lineRule="auto"/>
              <w:ind w:firstLine="480" w:firstLineChars="200"/>
              <w:rPr>
                <w:rFonts w:hint="default" w:ascii="Times New Roman" w:hAnsi="Times New Roman" w:cs="Times New Roman"/>
                <w:b w:val="0"/>
                <w:bCs w:val="0"/>
                <w:color w:val="auto"/>
                <w:sz w:val="24"/>
                <w:szCs w:val="24"/>
              </w:rPr>
            </w:pPr>
            <w:r>
              <w:rPr>
                <w:rFonts w:hint="eastAsia" w:ascii="Times New Roman" w:hAnsi="Times New Roman" w:cs="Times New Roman"/>
                <w:b w:val="0"/>
                <w:bCs w:val="0"/>
                <w:color w:val="auto"/>
                <w:sz w:val="24"/>
                <w:szCs w:val="24"/>
                <w:lang w:eastAsia="zh-CN"/>
              </w:rPr>
              <w:t>引用的监测点位</w:t>
            </w:r>
            <w:r>
              <w:rPr>
                <w:rFonts w:hint="default" w:ascii="Times New Roman" w:hAnsi="Times New Roman" w:cs="Times New Roman"/>
                <w:b w:val="0"/>
                <w:bCs w:val="0"/>
                <w:color w:val="auto"/>
                <w:sz w:val="24"/>
                <w:szCs w:val="24"/>
              </w:rPr>
              <w:t>具体位置表</w:t>
            </w:r>
            <w:r>
              <w:rPr>
                <w:rFonts w:hint="eastAsia" w:ascii="Times New Roman" w:hAnsi="Times New Roman" w:cs="Times New Roman"/>
                <w:b w:val="0"/>
                <w:bCs w:val="0"/>
                <w:color w:val="auto"/>
                <w:sz w:val="24"/>
                <w:szCs w:val="24"/>
                <w:lang w:val="en-US" w:eastAsia="zh-CN"/>
              </w:rPr>
              <w:t>3.2</w:t>
            </w:r>
            <w:r>
              <w:rPr>
                <w:rFonts w:hint="default" w:ascii="Times New Roman" w:hAnsi="Times New Roman" w:cs="Times New Roman"/>
                <w:b w:val="0"/>
                <w:bCs w:val="0"/>
                <w:color w:val="auto"/>
                <w:sz w:val="24"/>
                <w:szCs w:val="24"/>
              </w:rPr>
              <w:t>所示。</w:t>
            </w:r>
          </w:p>
          <w:p>
            <w:pPr>
              <w:pStyle w:val="41"/>
              <w:autoSpaceDE w:val="0"/>
              <w:autoSpaceDN w:val="0"/>
              <w:adjustRightInd w:val="0"/>
              <w:snapToGrid w:val="0"/>
              <w:ind w:firstLine="0" w:firstLineChars="0"/>
              <w:jc w:val="center"/>
              <w:rPr>
                <w:rFonts w:hint="eastAsia" w:eastAsia="宋体"/>
                <w:b/>
                <w:bCs/>
                <w:color w:val="auto"/>
                <w:sz w:val="24"/>
                <w:szCs w:val="24"/>
                <w:lang w:val="zh-CN" w:eastAsia="zh-CN"/>
              </w:rPr>
            </w:pPr>
            <w:r>
              <w:rPr>
                <w:rFonts w:hint="default" w:ascii="Times New Roman" w:hAnsi="Times New Roman" w:cs="Times New Roman"/>
                <w:b/>
                <w:bCs/>
                <w:color w:val="auto"/>
                <w:sz w:val="24"/>
                <w:szCs w:val="24"/>
                <w:lang w:val="zh-CN"/>
              </w:rPr>
              <w:t>表</w:t>
            </w:r>
            <w:r>
              <w:rPr>
                <w:rFonts w:hint="default" w:ascii="Times New Roman" w:hAnsi="Times New Roman" w:cs="Times New Roman"/>
                <w:b/>
                <w:bCs/>
                <w:color w:val="auto"/>
                <w:sz w:val="24"/>
                <w:szCs w:val="24"/>
              </w:rPr>
              <w:t>3.</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eastAsia="zh-CN"/>
              </w:rPr>
              <w:t>环境空气质量现状监测点布设一览表</w:t>
            </w:r>
          </w:p>
          <w:tbl>
            <w:tblPr>
              <w:tblStyle w:val="2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3118"/>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8" w:type="dxa"/>
                  <w:tcBorders>
                    <w:left w:val="single" w:color="auto" w:sz="4" w:space="0"/>
                    <w:bottom w:val="single" w:color="auto" w:sz="4" w:space="0"/>
                    <w:right w:val="single" w:color="auto" w:sz="4" w:space="0"/>
                  </w:tcBorders>
                  <w:noWrap w:val="0"/>
                  <w:vAlign w:val="center"/>
                </w:tcPr>
                <w:p>
                  <w:pPr>
                    <w:pStyle w:val="39"/>
                    <w:rPr>
                      <w:rFonts w:hint="eastAsia" w:eastAsia="宋体"/>
                      <w:color w:val="auto"/>
                      <w:lang w:eastAsia="zh-CN"/>
                    </w:rPr>
                  </w:pPr>
                  <w:r>
                    <w:rPr>
                      <w:rFonts w:hint="eastAsia"/>
                      <w:color w:val="auto"/>
                      <w:lang w:eastAsia="zh-CN"/>
                    </w:rPr>
                    <w:t>名称</w:t>
                  </w:r>
                </w:p>
              </w:tc>
              <w:tc>
                <w:tcPr>
                  <w:tcW w:w="2778" w:type="dxa"/>
                  <w:tcBorders>
                    <w:left w:val="single" w:color="auto" w:sz="4" w:space="0"/>
                    <w:bottom w:val="single" w:color="auto" w:sz="4" w:space="0"/>
                    <w:right w:val="single" w:color="auto" w:sz="4" w:space="0"/>
                  </w:tcBorders>
                  <w:noWrap w:val="0"/>
                  <w:vAlign w:val="center"/>
                </w:tcPr>
                <w:p>
                  <w:pPr>
                    <w:pStyle w:val="39"/>
                    <w:rPr>
                      <w:rFonts w:hint="eastAsia"/>
                      <w:color w:val="auto"/>
                      <w:lang w:eastAsia="zh-CN"/>
                    </w:rPr>
                  </w:pPr>
                  <w:r>
                    <w:rPr>
                      <w:rFonts w:hint="eastAsia"/>
                      <w:color w:val="auto"/>
                      <w:lang w:eastAsia="zh-CN"/>
                    </w:rPr>
                    <w:t>方位</w:t>
                  </w:r>
                </w:p>
              </w:tc>
              <w:tc>
                <w:tcPr>
                  <w:tcW w:w="2778" w:type="dxa"/>
                  <w:tcBorders>
                    <w:left w:val="single" w:color="auto" w:sz="4" w:space="0"/>
                    <w:bottom w:val="single" w:color="auto" w:sz="4" w:space="0"/>
                    <w:right w:val="single" w:color="auto" w:sz="4" w:space="0"/>
                  </w:tcBorders>
                  <w:noWrap w:val="0"/>
                  <w:vAlign w:val="center"/>
                </w:tcPr>
                <w:p>
                  <w:pPr>
                    <w:pStyle w:val="39"/>
                    <w:rPr>
                      <w:rFonts w:hint="eastAsia"/>
                      <w:color w:val="auto"/>
                      <w:lang w:eastAsia="zh-CN"/>
                    </w:rPr>
                  </w:pPr>
                  <w:r>
                    <w:rPr>
                      <w:rFonts w:hint="eastAsia"/>
                      <w:color w:val="auto"/>
                      <w:lang w:eastAsia="zh-CN"/>
                    </w:rPr>
                    <w:t>距离本项目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8" w:type="dxa"/>
                  <w:tcBorders>
                    <w:left w:val="single" w:color="auto" w:sz="4" w:space="0"/>
                    <w:right w:val="single" w:color="auto" w:sz="4" w:space="0"/>
                  </w:tcBorders>
                  <w:noWrap w:val="0"/>
                  <w:vAlign w:val="center"/>
                </w:tcPr>
                <w:p>
                  <w:pPr>
                    <w:pStyle w:val="39"/>
                    <w:rPr>
                      <w:rFonts w:hint="eastAsia"/>
                      <w:color w:val="auto"/>
                      <w:lang w:eastAsia="zh-CN"/>
                    </w:rPr>
                  </w:pPr>
                  <w:r>
                    <w:rPr>
                      <w:rFonts w:hint="eastAsia"/>
                      <w:color w:val="auto"/>
                      <w:lang w:eastAsia="zh-CN"/>
                    </w:rPr>
                    <w:t>瓦房</w:t>
                  </w:r>
                </w:p>
              </w:tc>
              <w:tc>
                <w:tcPr>
                  <w:tcW w:w="2778" w:type="dxa"/>
                  <w:tcBorders>
                    <w:left w:val="single" w:color="auto" w:sz="4" w:space="0"/>
                    <w:right w:val="single" w:color="auto" w:sz="4" w:space="0"/>
                  </w:tcBorders>
                  <w:noWrap w:val="0"/>
                  <w:vAlign w:val="center"/>
                </w:tcPr>
                <w:p>
                  <w:pPr>
                    <w:pStyle w:val="39"/>
                    <w:rPr>
                      <w:rFonts w:hint="default"/>
                      <w:color w:val="auto"/>
                      <w:lang w:val="en-US" w:eastAsia="zh-CN"/>
                    </w:rPr>
                  </w:pPr>
                  <w:r>
                    <w:rPr>
                      <w:rFonts w:hint="eastAsia"/>
                      <w:color w:val="auto"/>
                      <w:lang w:val="en-US" w:eastAsia="zh-CN"/>
                    </w:rPr>
                    <w:t>NE</w:t>
                  </w:r>
                </w:p>
              </w:tc>
              <w:tc>
                <w:tcPr>
                  <w:tcW w:w="2778" w:type="dxa"/>
                  <w:tcBorders>
                    <w:left w:val="single" w:color="auto" w:sz="4" w:space="0"/>
                    <w:right w:val="single" w:color="auto" w:sz="4" w:space="0"/>
                  </w:tcBorders>
                  <w:noWrap w:val="0"/>
                  <w:vAlign w:val="center"/>
                </w:tcPr>
                <w:p>
                  <w:pPr>
                    <w:pStyle w:val="39"/>
                    <w:rPr>
                      <w:rFonts w:hint="default"/>
                      <w:color w:val="auto"/>
                      <w:lang w:val="en-US" w:eastAsia="zh-CN"/>
                    </w:rPr>
                  </w:pPr>
                  <w:r>
                    <w:rPr>
                      <w:rFonts w:hint="eastAsia"/>
                      <w:color w:val="auto"/>
                      <w:lang w:val="en-US" w:eastAsia="zh-CN"/>
                    </w:rPr>
                    <w:t>约1050米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8" w:type="dxa"/>
                  <w:tcBorders>
                    <w:left w:val="single" w:color="auto" w:sz="4" w:space="0"/>
                    <w:bottom w:val="single" w:color="auto" w:sz="4" w:space="0"/>
                    <w:right w:val="single" w:color="auto" w:sz="4" w:space="0"/>
                  </w:tcBorders>
                  <w:noWrap w:val="0"/>
                  <w:vAlign w:val="center"/>
                </w:tcPr>
                <w:p>
                  <w:pPr>
                    <w:pStyle w:val="39"/>
                    <w:rPr>
                      <w:rFonts w:hint="eastAsia"/>
                      <w:color w:val="auto"/>
                      <w:lang w:eastAsia="zh-CN"/>
                    </w:rPr>
                  </w:pPr>
                  <w:r>
                    <w:rPr>
                      <w:rFonts w:hint="eastAsia"/>
                      <w:color w:val="auto"/>
                      <w:lang w:eastAsia="zh-CN"/>
                    </w:rPr>
                    <w:t>前圩子村</w:t>
                  </w:r>
                </w:p>
              </w:tc>
              <w:tc>
                <w:tcPr>
                  <w:tcW w:w="2778" w:type="dxa"/>
                  <w:tcBorders>
                    <w:left w:val="single" w:color="auto" w:sz="4" w:space="0"/>
                    <w:bottom w:val="single" w:color="auto" w:sz="4" w:space="0"/>
                    <w:right w:val="single" w:color="auto" w:sz="4" w:space="0"/>
                  </w:tcBorders>
                  <w:noWrap w:val="0"/>
                  <w:vAlign w:val="center"/>
                </w:tcPr>
                <w:p>
                  <w:pPr>
                    <w:pStyle w:val="39"/>
                    <w:rPr>
                      <w:rFonts w:hint="default"/>
                      <w:color w:val="auto"/>
                      <w:lang w:val="en-US" w:eastAsia="zh-CN"/>
                    </w:rPr>
                  </w:pPr>
                  <w:r>
                    <w:rPr>
                      <w:rFonts w:hint="eastAsia"/>
                      <w:color w:val="auto"/>
                      <w:lang w:val="en-US" w:eastAsia="zh-CN"/>
                    </w:rPr>
                    <w:t>NW</w:t>
                  </w:r>
                </w:p>
              </w:tc>
              <w:tc>
                <w:tcPr>
                  <w:tcW w:w="2778" w:type="dxa"/>
                  <w:tcBorders>
                    <w:left w:val="single" w:color="auto" w:sz="4" w:space="0"/>
                    <w:bottom w:val="single" w:color="auto" w:sz="4" w:space="0"/>
                    <w:right w:val="single" w:color="auto" w:sz="4" w:space="0"/>
                  </w:tcBorders>
                  <w:noWrap w:val="0"/>
                  <w:vAlign w:val="center"/>
                </w:tcPr>
                <w:p>
                  <w:pPr>
                    <w:pStyle w:val="39"/>
                    <w:rPr>
                      <w:rFonts w:hint="default"/>
                      <w:color w:val="auto"/>
                      <w:lang w:val="en-US" w:eastAsia="zh-CN"/>
                    </w:rPr>
                  </w:pPr>
                  <w:r>
                    <w:rPr>
                      <w:rFonts w:hint="eastAsia"/>
                      <w:color w:val="auto"/>
                      <w:lang w:val="en-US" w:eastAsia="zh-CN"/>
                    </w:rPr>
                    <w:t>约1420米</w:t>
                  </w:r>
                </w:p>
              </w:tc>
            </w:tr>
          </w:tbl>
          <w:p>
            <w:pPr>
              <w:spacing w:line="360" w:lineRule="auto"/>
              <w:ind w:firstLine="480" w:firstLineChars="200"/>
              <w:rPr>
                <w:rFonts w:hint="eastAsia" w:ascii="Times New Roman" w:hAnsi="Times New Roman" w:cs="Times New Roman" w:eastAsiaTheme="minorEastAsia"/>
                <w:b w:val="0"/>
                <w:bCs w:val="0"/>
                <w:color w:val="auto"/>
                <w:sz w:val="24"/>
                <w:szCs w:val="24"/>
                <w:lang w:eastAsia="zh-CN"/>
              </w:rPr>
            </w:pPr>
            <w:r>
              <w:rPr>
                <w:rFonts w:hint="default" w:ascii="Times New Roman" w:hAnsi="Times New Roman" w:cs="Times New Roman"/>
                <w:b w:val="0"/>
                <w:bCs w:val="0"/>
                <w:color w:val="auto"/>
                <w:sz w:val="24"/>
                <w:szCs w:val="24"/>
              </w:rPr>
              <w:t>②</w:t>
            </w:r>
            <w:r>
              <w:rPr>
                <w:rFonts w:hint="eastAsia" w:ascii="Times New Roman" w:hAnsi="Times New Roman" w:cs="Times New Roman"/>
                <w:b w:val="0"/>
                <w:bCs w:val="0"/>
                <w:color w:val="auto"/>
                <w:sz w:val="24"/>
                <w:szCs w:val="24"/>
                <w:lang w:eastAsia="zh-CN"/>
              </w:rPr>
              <w:t>监测结果及评价结果</w:t>
            </w:r>
          </w:p>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eastAsia="zh-CN"/>
              </w:rPr>
              <w:t>非甲烷总烃（</w:t>
            </w:r>
            <w:r>
              <w:rPr>
                <w:rFonts w:hint="eastAsia" w:ascii="Times New Roman" w:hAnsi="Times New Roman" w:cs="Times New Roman"/>
                <w:b w:val="0"/>
                <w:bCs w:val="0"/>
                <w:color w:val="auto"/>
                <w:sz w:val="24"/>
                <w:szCs w:val="24"/>
                <w:lang w:val="en-US" w:eastAsia="zh-CN"/>
              </w:rPr>
              <w:t>NMHC</w:t>
            </w:r>
            <w:r>
              <w:rPr>
                <w:rFonts w:hint="eastAsia" w:ascii="Times New Roman" w:hAnsi="Times New Roman" w:cs="Times New Roman"/>
                <w:b w:val="0"/>
                <w:bCs w:val="0"/>
                <w:color w:val="auto"/>
                <w:sz w:val="24"/>
                <w:szCs w:val="24"/>
                <w:lang w:eastAsia="zh-CN"/>
              </w:rPr>
              <w:t>）现状检测结果见表</w:t>
            </w:r>
            <w:r>
              <w:rPr>
                <w:rFonts w:hint="eastAsia" w:ascii="Times New Roman" w:hAnsi="Times New Roman" w:cs="Times New Roman"/>
                <w:b w:val="0"/>
                <w:bCs w:val="0"/>
                <w:color w:val="auto"/>
                <w:sz w:val="24"/>
                <w:szCs w:val="24"/>
                <w:lang w:val="en-US" w:eastAsia="zh-CN"/>
              </w:rPr>
              <w:t>3.3。</w:t>
            </w:r>
          </w:p>
          <w:p>
            <w:pPr>
              <w:spacing w:line="240" w:lineRule="auto"/>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表3.3  非甲烷总烃现状检测结果</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1559"/>
              <w:gridCol w:w="4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vMerge w:val="restart"/>
                  <w:vAlign w:val="center"/>
                </w:tcPr>
                <w:p>
                  <w:pPr>
                    <w:pStyle w:val="39"/>
                    <w:jc w:val="center"/>
                    <w:rPr>
                      <w:rFonts w:hint="eastAsia" w:ascii="Times New Roman" w:hAnsi="Times New Roman" w:eastAsia="宋体"/>
                      <w:color w:val="auto"/>
                      <w:lang w:eastAsia="zh-CN"/>
                    </w:rPr>
                  </w:pPr>
                  <w:r>
                    <w:rPr>
                      <w:rFonts w:hint="eastAsia"/>
                      <w:color w:val="auto"/>
                      <w:lang w:eastAsia="zh-CN"/>
                    </w:rPr>
                    <w:t>检测因子</w:t>
                  </w:r>
                </w:p>
              </w:tc>
              <w:tc>
                <w:tcPr>
                  <w:tcW w:w="1559" w:type="dxa"/>
                  <w:vMerge w:val="restart"/>
                  <w:vAlign w:val="center"/>
                </w:tcPr>
                <w:p>
                  <w:pPr>
                    <w:pStyle w:val="39"/>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t>单位</w:t>
                  </w:r>
                </w:p>
              </w:tc>
              <w:tc>
                <w:tcPr>
                  <w:tcW w:w="4679" w:type="dxa"/>
                  <w:vAlign w:val="center"/>
                </w:tcPr>
                <w:p>
                  <w:pPr>
                    <w:pStyle w:val="39"/>
                    <w:jc w:val="center"/>
                    <w:rPr>
                      <w:rFonts w:hint="default" w:ascii="Times New Roman" w:hAnsi="Times New Roman" w:eastAsia="宋体"/>
                      <w:color w:val="auto"/>
                      <w:lang w:val="en-US" w:eastAsia="zh-CN"/>
                    </w:rPr>
                  </w:pPr>
                  <w:r>
                    <w:rPr>
                      <w:rFonts w:hint="eastAsia"/>
                      <w:color w:val="auto"/>
                      <w:lang w:val="en-US" w:eastAsia="zh-CN"/>
                    </w:rPr>
                    <w:t>检测点位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vMerge w:val="continue"/>
                  <w:vAlign w:val="center"/>
                </w:tcPr>
                <w:p>
                  <w:pPr>
                    <w:pStyle w:val="39"/>
                    <w:jc w:val="center"/>
                    <w:rPr>
                      <w:rFonts w:hint="eastAsia" w:ascii="Times New Roman" w:hAnsi="Times New Roman" w:eastAsia="宋体"/>
                      <w:color w:val="auto"/>
                      <w:lang w:eastAsia="zh-CN"/>
                    </w:rPr>
                  </w:pPr>
                </w:p>
              </w:tc>
              <w:tc>
                <w:tcPr>
                  <w:tcW w:w="1559" w:type="dxa"/>
                  <w:vMerge w:val="continue"/>
                  <w:vAlign w:val="center"/>
                </w:tcPr>
                <w:p>
                  <w:pPr>
                    <w:pStyle w:val="39"/>
                    <w:jc w:val="center"/>
                    <w:rPr>
                      <w:rFonts w:hint="eastAsia" w:ascii="Times New Roman" w:hAnsi="Times New Roman" w:eastAsia="宋体"/>
                      <w:color w:val="auto"/>
                      <w:lang w:eastAsia="zh-CN"/>
                    </w:rPr>
                  </w:pPr>
                </w:p>
              </w:tc>
              <w:tc>
                <w:tcPr>
                  <w:tcW w:w="4679" w:type="dxa"/>
                  <w:vAlign w:val="center"/>
                </w:tcPr>
                <w:p>
                  <w:pPr>
                    <w:pStyle w:val="39"/>
                    <w:jc w:val="center"/>
                    <w:rPr>
                      <w:rFonts w:hint="eastAsia" w:ascii="Times New Roman" w:hAnsi="Times New Roman" w:eastAsia="宋体"/>
                      <w:color w:val="auto"/>
                      <w:lang w:eastAsia="zh-CN"/>
                    </w:rPr>
                  </w:pPr>
                  <w:r>
                    <w:rPr>
                      <w:rFonts w:hint="eastAsia"/>
                      <w:color w:val="auto"/>
                      <w:lang w:eastAsia="zh-CN"/>
                    </w:rPr>
                    <w:t>瓦房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vAlign w:val="center"/>
                </w:tcPr>
                <w:p>
                  <w:pPr>
                    <w:pStyle w:val="39"/>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t>非甲烷总烃</w:t>
                  </w:r>
                </w:p>
              </w:tc>
              <w:tc>
                <w:tcPr>
                  <w:tcW w:w="1559" w:type="dxa"/>
                  <w:vAlign w:val="center"/>
                </w:tcPr>
                <w:p>
                  <w:pPr>
                    <w:pStyle w:val="39"/>
                    <w:jc w:val="center"/>
                    <w:rPr>
                      <w:rFonts w:hint="eastAsia" w:ascii="Times New Roman" w:hAnsi="Times New Roman" w:eastAsia="宋体"/>
                      <w:color w:val="auto"/>
                      <w:lang w:eastAsia="zh-CN"/>
                    </w:rPr>
                  </w:pPr>
                  <w:r>
                    <w:rPr>
                      <w:rFonts w:hint="eastAsia" w:cs="Times New Roman"/>
                      <w:color w:val="auto"/>
                      <w:lang w:val="en-US" w:eastAsia="zh-CN"/>
                    </w:rPr>
                    <w:t>m</w:t>
                  </w:r>
                  <w:r>
                    <w:rPr>
                      <w:rFonts w:hint="default" w:ascii="Times New Roman" w:hAnsi="Times New Roman" w:cs="Times New Roman"/>
                      <w:color w:val="auto"/>
                      <w:lang w:val="en-US" w:eastAsia="zh-CN"/>
                    </w:rPr>
                    <w:t>g/m</w:t>
                  </w:r>
                  <w:r>
                    <w:rPr>
                      <w:rFonts w:hint="default" w:ascii="Times New Roman" w:hAnsi="Times New Roman" w:cs="Times New Roman"/>
                      <w:color w:val="auto"/>
                      <w:vertAlign w:val="superscript"/>
                      <w:lang w:val="en-US" w:eastAsia="zh-CN"/>
                    </w:rPr>
                    <w:t>3</w:t>
                  </w:r>
                </w:p>
              </w:tc>
              <w:tc>
                <w:tcPr>
                  <w:tcW w:w="4679" w:type="dxa"/>
                  <w:vAlign w:val="center"/>
                </w:tcPr>
                <w:p>
                  <w:pPr>
                    <w:pStyle w:val="39"/>
                    <w:jc w:val="center"/>
                    <w:rPr>
                      <w:rFonts w:hint="default" w:ascii="Times New Roman" w:hAnsi="Times New Roman" w:eastAsia="宋体"/>
                      <w:color w:val="auto"/>
                      <w:lang w:val="en-US" w:eastAsia="zh-CN"/>
                    </w:rPr>
                  </w:pPr>
                  <w:r>
                    <w:rPr>
                      <w:rFonts w:hint="eastAsia"/>
                      <w:color w:val="auto"/>
                      <w:lang w:val="en-US" w:eastAsia="zh-CN"/>
                    </w:rPr>
                    <w:t>0.90～1.62</w:t>
                  </w:r>
                </w:p>
              </w:tc>
            </w:tr>
          </w:tbl>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总悬浮颗粒物（TSP）</w:t>
            </w:r>
            <w:r>
              <w:rPr>
                <w:rFonts w:hint="eastAsia" w:ascii="Times New Roman" w:hAnsi="Times New Roman" w:cs="Times New Roman"/>
                <w:b w:val="0"/>
                <w:bCs w:val="0"/>
                <w:color w:val="auto"/>
                <w:sz w:val="24"/>
                <w:szCs w:val="24"/>
                <w:lang w:eastAsia="zh-CN"/>
              </w:rPr>
              <w:t>现状检测结果见表</w:t>
            </w:r>
            <w:r>
              <w:rPr>
                <w:rFonts w:hint="eastAsia" w:ascii="Times New Roman" w:hAnsi="Times New Roman" w:cs="Times New Roman"/>
                <w:b w:val="0"/>
                <w:bCs w:val="0"/>
                <w:color w:val="auto"/>
                <w:sz w:val="24"/>
                <w:szCs w:val="24"/>
                <w:lang w:val="en-US" w:eastAsia="zh-CN"/>
              </w:rPr>
              <w:t>3.4。</w:t>
            </w:r>
          </w:p>
          <w:p>
            <w:pPr>
              <w:spacing w:line="240" w:lineRule="auto"/>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表3.4  总悬浮颗粒物现状检测结果</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1559"/>
              <w:gridCol w:w="4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vMerge w:val="restart"/>
                  <w:vAlign w:val="center"/>
                </w:tcPr>
                <w:p>
                  <w:pPr>
                    <w:pStyle w:val="39"/>
                    <w:jc w:val="center"/>
                    <w:rPr>
                      <w:rFonts w:hint="eastAsia" w:ascii="Times New Roman" w:hAnsi="Times New Roman" w:eastAsia="宋体"/>
                      <w:color w:val="auto"/>
                      <w:lang w:eastAsia="zh-CN"/>
                    </w:rPr>
                  </w:pPr>
                  <w:r>
                    <w:rPr>
                      <w:rFonts w:hint="eastAsia"/>
                      <w:color w:val="auto"/>
                      <w:lang w:eastAsia="zh-CN"/>
                    </w:rPr>
                    <w:t>检测因子</w:t>
                  </w:r>
                </w:p>
              </w:tc>
              <w:tc>
                <w:tcPr>
                  <w:tcW w:w="1559" w:type="dxa"/>
                  <w:vMerge w:val="restart"/>
                  <w:vAlign w:val="center"/>
                </w:tcPr>
                <w:p>
                  <w:pPr>
                    <w:pStyle w:val="39"/>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t>单位</w:t>
                  </w:r>
                </w:p>
              </w:tc>
              <w:tc>
                <w:tcPr>
                  <w:tcW w:w="4679" w:type="dxa"/>
                  <w:vAlign w:val="center"/>
                </w:tcPr>
                <w:p>
                  <w:pPr>
                    <w:pStyle w:val="39"/>
                    <w:jc w:val="center"/>
                    <w:rPr>
                      <w:rFonts w:hint="default" w:ascii="Times New Roman" w:hAnsi="Times New Roman" w:eastAsia="宋体"/>
                      <w:color w:val="auto"/>
                      <w:lang w:val="en-US" w:eastAsia="zh-CN"/>
                    </w:rPr>
                  </w:pPr>
                  <w:r>
                    <w:rPr>
                      <w:rFonts w:hint="eastAsia"/>
                      <w:color w:val="auto"/>
                      <w:lang w:val="en-US" w:eastAsia="zh-CN"/>
                    </w:rPr>
                    <w:t>检测点位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vMerge w:val="continue"/>
                  <w:vAlign w:val="center"/>
                </w:tcPr>
                <w:p>
                  <w:pPr>
                    <w:pStyle w:val="39"/>
                    <w:jc w:val="center"/>
                    <w:rPr>
                      <w:rFonts w:hint="eastAsia" w:ascii="Times New Roman" w:hAnsi="Times New Roman" w:eastAsia="宋体"/>
                      <w:color w:val="auto"/>
                      <w:lang w:eastAsia="zh-CN"/>
                    </w:rPr>
                  </w:pPr>
                </w:p>
              </w:tc>
              <w:tc>
                <w:tcPr>
                  <w:tcW w:w="1559" w:type="dxa"/>
                  <w:vMerge w:val="continue"/>
                  <w:vAlign w:val="center"/>
                </w:tcPr>
                <w:p>
                  <w:pPr>
                    <w:pStyle w:val="39"/>
                    <w:jc w:val="center"/>
                    <w:rPr>
                      <w:rFonts w:hint="eastAsia" w:ascii="Times New Roman" w:hAnsi="Times New Roman" w:eastAsia="宋体"/>
                      <w:color w:val="auto"/>
                      <w:lang w:eastAsia="zh-CN"/>
                    </w:rPr>
                  </w:pPr>
                </w:p>
              </w:tc>
              <w:tc>
                <w:tcPr>
                  <w:tcW w:w="4679" w:type="dxa"/>
                  <w:vAlign w:val="center"/>
                </w:tcPr>
                <w:p>
                  <w:pPr>
                    <w:pStyle w:val="39"/>
                    <w:jc w:val="center"/>
                    <w:rPr>
                      <w:rFonts w:hint="eastAsia" w:ascii="Times New Roman" w:hAnsi="Times New Roman" w:eastAsia="宋体"/>
                      <w:color w:val="auto"/>
                      <w:lang w:eastAsia="zh-CN"/>
                    </w:rPr>
                  </w:pPr>
                  <w:r>
                    <w:rPr>
                      <w:rFonts w:hint="eastAsia"/>
                      <w:color w:val="auto"/>
                      <w:lang w:eastAsia="zh-CN"/>
                    </w:rPr>
                    <w:t>前圩子村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vAlign w:val="center"/>
                </w:tcPr>
                <w:p>
                  <w:pPr>
                    <w:pStyle w:val="39"/>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t>总悬浮颗粒物</w:t>
                  </w:r>
                </w:p>
              </w:tc>
              <w:tc>
                <w:tcPr>
                  <w:tcW w:w="1559" w:type="dxa"/>
                  <w:vAlign w:val="center"/>
                </w:tcPr>
                <w:p>
                  <w:pPr>
                    <w:pStyle w:val="39"/>
                    <w:jc w:val="center"/>
                    <w:rPr>
                      <w:rFonts w:hint="eastAsia" w:ascii="Times New Roman" w:hAnsi="Times New Roman" w:eastAsia="宋体"/>
                      <w:color w:val="auto"/>
                      <w:lang w:eastAsia="zh-CN"/>
                    </w:rPr>
                  </w:pPr>
                  <w:r>
                    <w:rPr>
                      <w:rFonts w:hint="eastAsia" w:cs="Times New Roman"/>
                      <w:color w:val="auto"/>
                      <w:lang w:val="en-US" w:eastAsia="zh-CN"/>
                    </w:rPr>
                    <w:t>m</w:t>
                  </w:r>
                  <w:r>
                    <w:rPr>
                      <w:rFonts w:hint="default" w:ascii="Times New Roman" w:hAnsi="Times New Roman" w:cs="Times New Roman"/>
                      <w:color w:val="auto"/>
                      <w:lang w:val="en-US" w:eastAsia="zh-CN"/>
                    </w:rPr>
                    <w:t>g/m</w:t>
                  </w:r>
                  <w:r>
                    <w:rPr>
                      <w:rFonts w:hint="default" w:ascii="Times New Roman" w:hAnsi="Times New Roman" w:cs="Times New Roman"/>
                      <w:color w:val="auto"/>
                      <w:vertAlign w:val="superscript"/>
                      <w:lang w:val="en-US" w:eastAsia="zh-CN"/>
                    </w:rPr>
                    <w:t>3</w:t>
                  </w:r>
                </w:p>
              </w:tc>
              <w:tc>
                <w:tcPr>
                  <w:tcW w:w="4679" w:type="dxa"/>
                  <w:vAlign w:val="center"/>
                </w:tcPr>
                <w:p>
                  <w:pPr>
                    <w:pStyle w:val="39"/>
                    <w:jc w:val="center"/>
                    <w:rPr>
                      <w:rFonts w:hint="default" w:ascii="Times New Roman" w:hAnsi="Times New Roman" w:eastAsia="宋体"/>
                      <w:color w:val="auto"/>
                      <w:lang w:val="en-US" w:eastAsia="zh-CN"/>
                    </w:rPr>
                  </w:pPr>
                  <w:r>
                    <w:rPr>
                      <w:rFonts w:hint="eastAsia"/>
                      <w:color w:val="auto"/>
                      <w:lang w:val="en-US" w:eastAsia="zh-CN"/>
                    </w:rPr>
                    <w:t>0.127～0.139</w:t>
                  </w:r>
                </w:p>
              </w:tc>
            </w:tr>
          </w:tbl>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eastAsia="zh-CN"/>
              </w:rPr>
              <w:t>非甲烷总烃（</w:t>
            </w:r>
            <w:r>
              <w:rPr>
                <w:rFonts w:hint="eastAsia" w:ascii="Times New Roman" w:hAnsi="Times New Roman" w:cs="Times New Roman"/>
                <w:b w:val="0"/>
                <w:bCs w:val="0"/>
                <w:color w:val="auto"/>
                <w:sz w:val="24"/>
                <w:szCs w:val="24"/>
                <w:lang w:val="en-US" w:eastAsia="zh-CN"/>
              </w:rPr>
              <w:t>NMHC</w:t>
            </w:r>
            <w:r>
              <w:rPr>
                <w:rFonts w:hint="eastAsia" w:ascii="Times New Roman" w:hAnsi="Times New Roman" w:cs="Times New Roman"/>
                <w:b w:val="0"/>
                <w:bCs w:val="0"/>
                <w:color w:val="auto"/>
                <w:sz w:val="24"/>
                <w:szCs w:val="24"/>
                <w:lang w:eastAsia="zh-CN"/>
              </w:rPr>
              <w:t>）和</w:t>
            </w:r>
            <w:r>
              <w:rPr>
                <w:rFonts w:hint="eastAsia" w:ascii="Times New Roman" w:hAnsi="Times New Roman" w:cs="Times New Roman"/>
                <w:b w:val="0"/>
                <w:bCs w:val="0"/>
                <w:color w:val="auto"/>
                <w:sz w:val="24"/>
                <w:szCs w:val="24"/>
                <w:lang w:val="en-US" w:eastAsia="zh-CN"/>
              </w:rPr>
              <w:t>总悬浮颗粒物（TSP）</w:t>
            </w:r>
            <w:r>
              <w:rPr>
                <w:rFonts w:hint="eastAsia" w:ascii="Times New Roman" w:hAnsi="Times New Roman" w:cs="Times New Roman"/>
                <w:b w:val="0"/>
                <w:bCs w:val="0"/>
                <w:color w:val="auto"/>
                <w:sz w:val="24"/>
                <w:szCs w:val="24"/>
                <w:lang w:eastAsia="zh-CN"/>
              </w:rPr>
              <w:t>现状检测评价结果见</w:t>
            </w:r>
            <w:r>
              <w:rPr>
                <w:rFonts w:hint="eastAsia" w:ascii="Times New Roman" w:hAnsi="Times New Roman" w:cs="Times New Roman"/>
                <w:b w:val="0"/>
                <w:bCs w:val="0"/>
                <w:color w:val="auto"/>
                <w:sz w:val="24"/>
                <w:szCs w:val="24"/>
                <w:lang w:val="en-US" w:eastAsia="zh-CN"/>
              </w:rPr>
              <w:t>表3.5。</w:t>
            </w:r>
          </w:p>
          <w:p>
            <w:pPr>
              <w:spacing w:line="240" w:lineRule="auto"/>
              <w:jc w:val="center"/>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 xml:space="preserve">表3.5  </w:t>
            </w:r>
            <w:r>
              <w:rPr>
                <w:rFonts w:hint="eastAsia" w:ascii="Times New Roman" w:hAnsi="Times New Roman" w:cs="Times New Roman"/>
                <w:b/>
                <w:bCs/>
                <w:color w:val="auto"/>
                <w:sz w:val="24"/>
                <w:szCs w:val="24"/>
                <w:lang w:eastAsia="zh-CN"/>
              </w:rPr>
              <w:t>非甲烷总烃（</w:t>
            </w:r>
            <w:r>
              <w:rPr>
                <w:rFonts w:hint="eastAsia" w:ascii="Times New Roman" w:hAnsi="Times New Roman" w:cs="Times New Roman"/>
                <w:b/>
                <w:bCs/>
                <w:color w:val="auto"/>
                <w:sz w:val="24"/>
                <w:szCs w:val="24"/>
                <w:lang w:val="en-US" w:eastAsia="zh-CN"/>
              </w:rPr>
              <w:t>NMHC</w:t>
            </w:r>
            <w:r>
              <w:rPr>
                <w:rFonts w:hint="eastAsia" w:ascii="Times New Roman" w:hAnsi="Times New Roman" w:cs="Times New Roman"/>
                <w:b/>
                <w:bCs/>
                <w:color w:val="auto"/>
                <w:sz w:val="24"/>
                <w:szCs w:val="24"/>
                <w:lang w:eastAsia="zh-CN"/>
              </w:rPr>
              <w:t>）和</w:t>
            </w:r>
            <w:r>
              <w:rPr>
                <w:rFonts w:hint="eastAsia" w:ascii="Times New Roman" w:hAnsi="Times New Roman" w:cs="Times New Roman"/>
                <w:b/>
                <w:bCs/>
                <w:color w:val="auto"/>
                <w:sz w:val="24"/>
                <w:szCs w:val="24"/>
                <w:lang w:val="en-US" w:eastAsia="zh-CN"/>
              </w:rPr>
              <w:t>总悬浮颗粒物（TSP）现状评价结果一览表</w:t>
            </w:r>
          </w:p>
          <w:tbl>
            <w:tblPr>
              <w:tblStyle w:val="2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5"/>
              <w:gridCol w:w="6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5" w:type="dxa"/>
                  <w:tcBorders>
                    <w:left w:val="single" w:color="auto" w:sz="4" w:space="0"/>
                    <w:bottom w:val="single" w:color="auto" w:sz="4" w:space="0"/>
                    <w:right w:val="single" w:color="auto" w:sz="4" w:space="0"/>
                  </w:tcBorders>
                  <w:noWrap w:val="0"/>
                  <w:vAlign w:val="center"/>
                </w:tcPr>
                <w:p>
                  <w:pPr>
                    <w:pStyle w:val="39"/>
                    <w:rPr>
                      <w:rFonts w:hint="eastAsia" w:eastAsia="宋体"/>
                      <w:color w:val="auto"/>
                      <w:sz w:val="21"/>
                      <w:szCs w:val="21"/>
                      <w:lang w:eastAsia="zh-CN"/>
                    </w:rPr>
                  </w:pPr>
                  <w:r>
                    <w:rPr>
                      <w:rFonts w:hint="eastAsia"/>
                      <w:color w:val="auto"/>
                      <w:sz w:val="21"/>
                      <w:szCs w:val="21"/>
                      <w:lang w:eastAsia="zh-CN"/>
                    </w:rPr>
                    <w:t>监测因子</w:t>
                  </w:r>
                </w:p>
              </w:tc>
              <w:tc>
                <w:tcPr>
                  <w:tcW w:w="6559" w:type="dxa"/>
                  <w:tcBorders>
                    <w:left w:val="single" w:color="auto" w:sz="4" w:space="0"/>
                    <w:bottom w:val="single" w:color="auto" w:sz="4" w:space="0"/>
                    <w:right w:val="single" w:color="auto" w:sz="4" w:space="0"/>
                  </w:tcBorders>
                  <w:noWrap w:val="0"/>
                  <w:vAlign w:val="center"/>
                </w:tcPr>
                <w:p>
                  <w:pPr>
                    <w:pStyle w:val="39"/>
                    <w:rPr>
                      <w:rFonts w:hint="eastAsia"/>
                      <w:color w:val="auto"/>
                      <w:sz w:val="21"/>
                      <w:szCs w:val="21"/>
                      <w:lang w:eastAsia="zh-CN"/>
                    </w:rPr>
                  </w:pPr>
                  <w:r>
                    <w:rPr>
                      <w:rFonts w:hint="eastAsia"/>
                      <w:color w:val="auto"/>
                      <w:sz w:val="21"/>
                      <w:szCs w:val="21"/>
                      <w:lang w:eastAsia="zh-CN"/>
                    </w:rPr>
                    <w:t>小时（一次）</w:t>
                  </w:r>
                  <w:r>
                    <w:rPr>
                      <w:rFonts w:hint="eastAsia"/>
                      <w:color w:val="auto"/>
                      <w:sz w:val="21"/>
                      <w:szCs w:val="21"/>
                      <w:lang w:val="en-US" w:eastAsia="zh-CN"/>
                    </w:rPr>
                    <w:t>/日均</w:t>
                  </w:r>
                  <w:r>
                    <w:rPr>
                      <w:rFonts w:hint="eastAsia"/>
                      <w:color w:val="auto"/>
                      <w:sz w:val="21"/>
                      <w:szCs w:val="21"/>
                      <w:lang w:eastAsia="zh-CN"/>
                    </w:rPr>
                    <w:t>浓度单因子指数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5" w:type="dxa"/>
                  <w:tcBorders>
                    <w:left w:val="single" w:color="auto" w:sz="4" w:space="0"/>
                    <w:right w:val="single" w:color="auto" w:sz="4" w:space="0"/>
                  </w:tcBorders>
                  <w:noWrap w:val="0"/>
                  <w:vAlign w:val="center"/>
                </w:tcPr>
                <w:p>
                  <w:pPr>
                    <w:pStyle w:val="39"/>
                    <w:rPr>
                      <w:rFonts w:hint="default"/>
                      <w:color w:val="auto"/>
                      <w:sz w:val="21"/>
                      <w:szCs w:val="21"/>
                      <w:lang w:val="en-US" w:eastAsia="zh-CN"/>
                    </w:rPr>
                  </w:pPr>
                  <w:r>
                    <w:rPr>
                      <w:rFonts w:hint="eastAsia"/>
                      <w:color w:val="auto"/>
                      <w:sz w:val="21"/>
                      <w:szCs w:val="21"/>
                      <w:lang w:val="en-US" w:eastAsia="zh-CN"/>
                    </w:rPr>
                    <w:t>非甲烷总烃</w:t>
                  </w:r>
                </w:p>
              </w:tc>
              <w:tc>
                <w:tcPr>
                  <w:tcW w:w="6559" w:type="dxa"/>
                  <w:tcBorders>
                    <w:left w:val="single" w:color="auto" w:sz="4" w:space="0"/>
                    <w:right w:val="single" w:color="auto" w:sz="4" w:space="0"/>
                  </w:tcBorders>
                  <w:noWrap w:val="0"/>
                  <w:vAlign w:val="center"/>
                </w:tcPr>
                <w:p>
                  <w:pPr>
                    <w:pStyle w:val="39"/>
                    <w:rPr>
                      <w:rFonts w:hint="default"/>
                      <w:color w:val="auto"/>
                      <w:sz w:val="21"/>
                      <w:szCs w:val="21"/>
                      <w:lang w:val="en-US" w:eastAsia="zh-CN"/>
                    </w:rPr>
                  </w:pPr>
                  <w:r>
                    <w:rPr>
                      <w:rFonts w:hint="eastAsia"/>
                      <w:color w:val="auto"/>
                      <w:sz w:val="21"/>
                      <w:szCs w:val="21"/>
                      <w:lang w:val="en-US" w:eastAsia="zh-CN"/>
                    </w:rPr>
                    <w:t>0.45</w:t>
                  </w:r>
                  <w:r>
                    <w:rPr>
                      <w:rFonts w:hint="eastAsia"/>
                      <w:color w:val="auto"/>
                      <w:lang w:val="en-US" w:eastAsia="zh-CN"/>
                    </w:rPr>
                    <w:t>～</w:t>
                  </w:r>
                  <w:r>
                    <w:rPr>
                      <w:rFonts w:hint="eastAsia"/>
                      <w:color w:val="auto"/>
                      <w:sz w:val="21"/>
                      <w:szCs w:val="21"/>
                      <w:lang w:val="en-US" w:eastAsia="zh-CN"/>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5" w:type="dxa"/>
                  <w:tcBorders>
                    <w:left w:val="single" w:color="auto" w:sz="4" w:space="0"/>
                    <w:right w:val="single" w:color="auto" w:sz="4" w:space="0"/>
                  </w:tcBorders>
                  <w:noWrap w:val="0"/>
                  <w:vAlign w:val="center"/>
                </w:tcPr>
                <w:p>
                  <w:pPr>
                    <w:pStyle w:val="39"/>
                    <w:rPr>
                      <w:rFonts w:hint="eastAsia"/>
                      <w:color w:val="auto"/>
                      <w:sz w:val="21"/>
                      <w:szCs w:val="21"/>
                      <w:lang w:val="en-US" w:eastAsia="zh-CN"/>
                    </w:rPr>
                  </w:pPr>
                  <w:r>
                    <w:rPr>
                      <w:rFonts w:hint="eastAsia" w:ascii="Times New Roman" w:hAnsi="Times New Roman" w:cs="Times New Roman"/>
                      <w:b w:val="0"/>
                      <w:bCs w:val="0"/>
                      <w:color w:val="auto"/>
                      <w:sz w:val="21"/>
                      <w:szCs w:val="21"/>
                      <w:lang w:val="en-US" w:eastAsia="zh-CN"/>
                    </w:rPr>
                    <w:t>总悬浮颗粒物（TSP）</w:t>
                  </w:r>
                </w:p>
              </w:tc>
              <w:tc>
                <w:tcPr>
                  <w:tcW w:w="6559" w:type="dxa"/>
                  <w:tcBorders>
                    <w:left w:val="single" w:color="auto" w:sz="4" w:space="0"/>
                    <w:right w:val="single" w:color="auto" w:sz="4" w:space="0"/>
                  </w:tcBorders>
                  <w:noWrap w:val="0"/>
                  <w:vAlign w:val="center"/>
                </w:tcPr>
                <w:p>
                  <w:pPr>
                    <w:pStyle w:val="39"/>
                    <w:rPr>
                      <w:rFonts w:hint="default"/>
                      <w:color w:val="auto"/>
                      <w:sz w:val="21"/>
                      <w:szCs w:val="21"/>
                      <w:lang w:val="en-US" w:eastAsia="zh-CN"/>
                    </w:rPr>
                  </w:pPr>
                  <w:r>
                    <w:rPr>
                      <w:rFonts w:hint="eastAsia"/>
                      <w:color w:val="auto"/>
                      <w:sz w:val="21"/>
                      <w:szCs w:val="21"/>
                      <w:lang w:val="en-US" w:eastAsia="zh-CN"/>
                    </w:rPr>
                    <w:t>0.423</w:t>
                  </w:r>
                  <w:r>
                    <w:rPr>
                      <w:rFonts w:hint="eastAsia"/>
                      <w:color w:val="auto"/>
                      <w:lang w:val="en-US" w:eastAsia="zh-CN"/>
                    </w:rPr>
                    <w:t>～</w:t>
                  </w:r>
                  <w:r>
                    <w:rPr>
                      <w:rFonts w:hint="eastAsia"/>
                      <w:color w:val="auto"/>
                      <w:sz w:val="21"/>
                      <w:szCs w:val="21"/>
                      <w:lang w:val="en-US" w:eastAsia="zh-CN"/>
                    </w:rPr>
                    <w:t>0.463</w:t>
                  </w:r>
                </w:p>
              </w:tc>
            </w:tr>
          </w:tbl>
          <w:p>
            <w:pPr>
              <w:pStyle w:val="35"/>
              <w:spacing w:line="360" w:lineRule="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监测期间项目所在区域特征污染因子非甲烷总烃</w:t>
            </w:r>
            <w:r>
              <w:rPr>
                <w:rFonts w:hint="eastAsia" w:ascii="Times New Roman" w:hAnsi="Times New Roman" w:cs="Times New Roman"/>
                <w:color w:val="auto"/>
                <w:sz w:val="24"/>
                <w:szCs w:val="24"/>
                <w:lang w:val="en-US" w:eastAsia="zh-CN"/>
              </w:rPr>
              <w:t>（NMHC）一次值</w:t>
            </w:r>
            <w:r>
              <w:rPr>
                <w:rFonts w:hint="default" w:ascii="Times New Roman" w:hAnsi="Times New Roman" w:cs="Times New Roman"/>
                <w:color w:val="auto"/>
                <w:sz w:val="24"/>
                <w:szCs w:val="24"/>
                <w:lang w:val="en-US" w:eastAsia="zh-CN"/>
              </w:rPr>
              <w:t>满足《大气污染物综合排放标准详解》中的标准限值</w:t>
            </w:r>
            <w:r>
              <w:rPr>
                <w:rFonts w:hint="eastAsia" w:ascii="Times New Roman" w:hAnsi="Times New Roman" w:cs="Times New Roman"/>
                <w:color w:val="auto"/>
                <w:sz w:val="24"/>
                <w:szCs w:val="24"/>
                <w:lang w:val="en-US" w:eastAsia="zh-CN"/>
              </w:rPr>
              <w:t>；</w:t>
            </w:r>
            <w:r>
              <w:rPr>
                <w:rFonts w:hint="eastAsia" w:ascii="Times New Roman" w:hAnsi="Times New Roman" w:cs="Times New Roman"/>
                <w:b w:val="0"/>
                <w:bCs w:val="0"/>
                <w:color w:val="auto"/>
                <w:sz w:val="24"/>
                <w:szCs w:val="24"/>
                <w:lang w:val="en-US" w:eastAsia="zh-CN"/>
              </w:rPr>
              <w:t>总悬浮颗粒物（TSP）</w:t>
            </w:r>
            <w:r>
              <w:rPr>
                <w:rFonts w:hint="eastAsia" w:ascii="Times New Roman" w:hAnsi="Times New Roman" w:cs="Times New Roman"/>
                <w:color w:val="auto"/>
                <w:sz w:val="24"/>
                <w:szCs w:val="24"/>
                <w:lang w:val="en-US" w:eastAsia="zh-CN"/>
              </w:rPr>
              <w:t>满足《环境空气质量标准》（GB3095-2012）中二级标准及修改单中的标准限值要求。</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rPr>
              <w:t>2、</w:t>
            </w:r>
            <w:r>
              <w:rPr>
                <w:rFonts w:hint="default" w:ascii="Times New Roman" w:hAnsi="Times New Roman" w:cs="Times New Roman"/>
                <w:b/>
                <w:bCs/>
                <w:color w:val="auto"/>
                <w:sz w:val="24"/>
                <w:szCs w:val="24"/>
                <w:lang w:val="en-US" w:eastAsia="zh-CN"/>
              </w:rPr>
              <w:t>地表水环境</w:t>
            </w:r>
          </w:p>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eastAsia="宋体" w:cs="Times New Roman"/>
                <w:b w:val="0"/>
                <w:bCs w:val="0"/>
                <w:color w:val="auto"/>
                <w:kern w:val="2"/>
                <w:sz w:val="24"/>
                <w:szCs w:val="24"/>
                <w:lang w:val="en-US" w:eastAsia="zh-CN" w:bidi="ar-SA"/>
              </w:rPr>
              <w:t>本项目的纳污水体为倒流河，倒流河地表水环境质量数据</w:t>
            </w:r>
            <w:r>
              <w:rPr>
                <w:rFonts w:hint="eastAsia" w:ascii="Times New Roman" w:hAnsi="Times New Roman" w:eastAsia="宋体" w:cs="Times New Roman"/>
                <w:color w:val="auto"/>
                <w:sz w:val="24"/>
                <w:szCs w:val="24"/>
                <w:lang w:val="en-US" w:eastAsia="zh-CN"/>
              </w:rPr>
              <w:t>引用</w:t>
            </w:r>
            <w:r>
              <w:rPr>
                <w:rFonts w:hint="eastAsia" w:ascii="Times New Roman" w:hAnsi="Times New Roman" w:cs="Times New Roman"/>
                <w:b w:val="0"/>
                <w:bCs w:val="0"/>
                <w:color w:val="auto"/>
                <w:sz w:val="24"/>
                <w:szCs w:val="24"/>
                <w:lang w:val="en-US" w:eastAsia="zh-CN"/>
              </w:rPr>
              <w:t>《</w:t>
            </w:r>
            <w:r>
              <w:rPr>
                <w:rFonts w:hint="eastAsia"/>
                <w:color w:val="auto"/>
                <w:sz w:val="24"/>
                <w:szCs w:val="24"/>
                <w:lang w:val="en-US" w:eastAsia="zh-CN"/>
              </w:rPr>
              <w:t>白土镇智能制造产业园控制性详细规划环境影响报告书</w:t>
            </w:r>
            <w:r>
              <w:rPr>
                <w:rFonts w:hint="eastAsia" w:ascii="Times New Roman" w:hAnsi="Times New Roman" w:cs="Times New Roman"/>
                <w:b w:val="0"/>
                <w:bCs w:val="0"/>
                <w:color w:val="auto"/>
                <w:sz w:val="24"/>
                <w:szCs w:val="24"/>
                <w:lang w:val="en-US" w:eastAsia="zh-CN"/>
              </w:rPr>
              <w:t>》（监测时间2022年02月23日至2022年02月25日）中的检测数据，满足</w:t>
            </w:r>
            <w:r>
              <w:rPr>
                <w:rFonts w:hint="eastAsia" w:ascii="Times New Roman" w:hAnsi="Times New Roman" w:cs="Times New Roman"/>
                <w:color w:val="auto"/>
                <w:sz w:val="24"/>
                <w:szCs w:val="24"/>
                <w:lang w:val="en-US" w:eastAsia="zh-CN"/>
              </w:rPr>
              <w:t>《建设项目环境影响报告表编制技术指南（污染影响类）》：“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cs="Times New Roman"/>
                <w:b w:val="0"/>
                <w:bCs w:val="0"/>
                <w:color w:val="auto"/>
                <w:sz w:val="24"/>
                <w:szCs w:val="24"/>
                <w:lang w:val="en-US" w:eastAsia="zh-CN"/>
              </w:rPr>
              <w:t>。”</w:t>
            </w:r>
          </w:p>
          <w:p>
            <w:pPr>
              <w:spacing w:line="360" w:lineRule="auto"/>
              <w:ind w:firstLine="480" w:firstLineChars="200"/>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1</w:t>
            </w:r>
            <w:r>
              <w:rPr>
                <w:rFonts w:hint="eastAsia" w:ascii="Times New Roman" w:hAnsi="Times New Roman" w:cs="Times New Roman"/>
                <w:b w:val="0"/>
                <w:bCs w:val="0"/>
                <w:color w:val="auto"/>
                <w:sz w:val="24"/>
                <w:szCs w:val="24"/>
                <w:lang w:eastAsia="zh-CN"/>
              </w:rPr>
              <w:t>）监测点位</w:t>
            </w:r>
          </w:p>
          <w:p>
            <w:pPr>
              <w:spacing w:line="360" w:lineRule="auto"/>
              <w:ind w:firstLine="480" w:firstLineChars="200"/>
              <w:rPr>
                <w:rFonts w:hint="default" w:ascii="Times New Roman" w:hAnsi="Times New Roman" w:cs="Times New Roman"/>
                <w:b w:val="0"/>
                <w:bCs w:val="0"/>
                <w:color w:val="auto"/>
                <w:sz w:val="24"/>
                <w:szCs w:val="24"/>
              </w:rPr>
            </w:pPr>
            <w:r>
              <w:rPr>
                <w:rFonts w:hint="eastAsia" w:ascii="Times New Roman" w:hAnsi="Times New Roman" w:cs="Times New Roman"/>
                <w:b w:val="0"/>
                <w:bCs w:val="0"/>
                <w:color w:val="auto"/>
                <w:sz w:val="24"/>
                <w:szCs w:val="24"/>
                <w:lang w:eastAsia="zh-CN"/>
              </w:rPr>
              <w:t>监测点位见</w:t>
            </w:r>
            <w:r>
              <w:rPr>
                <w:rFonts w:hint="default" w:ascii="Times New Roman" w:hAnsi="Times New Roman" w:cs="Times New Roman"/>
                <w:b w:val="0"/>
                <w:bCs w:val="0"/>
                <w:color w:val="auto"/>
                <w:sz w:val="24"/>
                <w:szCs w:val="24"/>
              </w:rPr>
              <w:t>表</w:t>
            </w:r>
            <w:r>
              <w:rPr>
                <w:rFonts w:hint="eastAsia" w:ascii="Times New Roman" w:hAnsi="Times New Roman" w:cs="Times New Roman"/>
                <w:b w:val="0"/>
                <w:bCs w:val="0"/>
                <w:color w:val="auto"/>
                <w:sz w:val="24"/>
                <w:szCs w:val="24"/>
                <w:lang w:val="en-US" w:eastAsia="zh-CN"/>
              </w:rPr>
              <w:t>3.6</w:t>
            </w:r>
            <w:r>
              <w:rPr>
                <w:rFonts w:hint="default" w:ascii="Times New Roman" w:hAnsi="Times New Roman" w:cs="Times New Roman"/>
                <w:b w:val="0"/>
                <w:bCs w:val="0"/>
                <w:color w:val="auto"/>
                <w:sz w:val="24"/>
                <w:szCs w:val="24"/>
              </w:rPr>
              <w:t>所示。</w:t>
            </w:r>
          </w:p>
          <w:p>
            <w:pPr>
              <w:spacing w:line="240" w:lineRule="auto"/>
              <w:jc w:val="center"/>
              <w:rPr>
                <w:rFonts w:hint="eastAsia"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w:t>
            </w:r>
            <w:r>
              <w:rPr>
                <w:rFonts w:hint="eastAsia" w:ascii="Times New Roman" w:hAnsi="Times New Roman" w:cs="Times New Roman"/>
                <w:b/>
                <w:bCs/>
                <w:color w:val="auto"/>
                <w:sz w:val="24"/>
                <w:szCs w:val="24"/>
                <w:lang w:val="en-US" w:eastAsia="zh-CN"/>
              </w:rPr>
              <w:t>3.6  枯水期地表水监测断面一览表</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780"/>
              <w:gridCol w:w="5296"/>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9" w:type="dxa"/>
                  <w:gridSpan w:val="2"/>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断面编号</w:t>
                  </w:r>
                </w:p>
              </w:tc>
              <w:tc>
                <w:tcPr>
                  <w:tcW w:w="5296"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断面位置</w:t>
                  </w:r>
                </w:p>
              </w:tc>
              <w:tc>
                <w:tcPr>
                  <w:tcW w:w="2339"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河流</w:t>
                  </w:r>
                </w:p>
              </w:tc>
              <w:tc>
                <w:tcPr>
                  <w:tcW w:w="78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编号</w:t>
                  </w:r>
                </w:p>
              </w:tc>
              <w:tc>
                <w:tcPr>
                  <w:tcW w:w="5296"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2339"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倒流河</w:t>
                  </w:r>
                </w:p>
              </w:tc>
              <w:tc>
                <w:tcPr>
                  <w:tcW w:w="78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W1</w:t>
                  </w:r>
                </w:p>
              </w:tc>
              <w:tc>
                <w:tcPr>
                  <w:tcW w:w="5296"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污水处理厂排污口上游500m处</w:t>
                  </w:r>
                </w:p>
              </w:tc>
              <w:tc>
                <w:tcPr>
                  <w:tcW w:w="233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对照断面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78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W2</w:t>
                  </w:r>
                </w:p>
              </w:tc>
              <w:tc>
                <w:tcPr>
                  <w:tcW w:w="5296"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污水处理厂排污口下游500m处</w:t>
                  </w:r>
                </w:p>
              </w:tc>
              <w:tc>
                <w:tcPr>
                  <w:tcW w:w="233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混合断面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78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W3</w:t>
                  </w:r>
                </w:p>
              </w:tc>
              <w:tc>
                <w:tcPr>
                  <w:tcW w:w="5296"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污水处理厂排污口下游1500m处</w:t>
                  </w:r>
                </w:p>
              </w:tc>
              <w:tc>
                <w:tcPr>
                  <w:tcW w:w="233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削减断面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78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W4</w:t>
                  </w:r>
                </w:p>
              </w:tc>
              <w:tc>
                <w:tcPr>
                  <w:tcW w:w="5296"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污水处理厂排污口下游2500m处</w:t>
                  </w:r>
                </w:p>
              </w:tc>
              <w:tc>
                <w:tcPr>
                  <w:tcW w:w="233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削减断面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78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W5</w:t>
                  </w:r>
                </w:p>
              </w:tc>
              <w:tc>
                <w:tcPr>
                  <w:tcW w:w="5296"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花甲寺村上游500m处</w:t>
                  </w:r>
                </w:p>
              </w:tc>
              <w:tc>
                <w:tcPr>
                  <w:tcW w:w="233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对照断面</w:t>
                  </w:r>
                </w:p>
              </w:tc>
            </w:tr>
          </w:tbl>
          <w:p>
            <w:pPr>
              <w:spacing w:line="360" w:lineRule="auto"/>
              <w:ind w:firstLine="480" w:firstLineChars="200"/>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2</w:t>
            </w:r>
            <w:r>
              <w:rPr>
                <w:rFonts w:hint="eastAsia" w:ascii="Times New Roman" w:hAnsi="Times New Roman" w:cs="Times New Roman"/>
                <w:b w:val="0"/>
                <w:bCs w:val="0"/>
                <w:color w:val="auto"/>
                <w:sz w:val="24"/>
                <w:szCs w:val="24"/>
                <w:lang w:eastAsia="zh-CN"/>
              </w:rPr>
              <w:t>）监测结果</w:t>
            </w:r>
          </w:p>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eastAsia="zh-CN"/>
              </w:rPr>
              <w:t>枯水期地表水环境现状监测及统计结果一览表见表</w:t>
            </w:r>
            <w:r>
              <w:rPr>
                <w:rFonts w:hint="eastAsia" w:ascii="Times New Roman" w:hAnsi="Times New Roman" w:cs="Times New Roman"/>
                <w:b w:val="0"/>
                <w:bCs w:val="0"/>
                <w:color w:val="auto"/>
                <w:sz w:val="24"/>
                <w:szCs w:val="24"/>
                <w:lang w:val="en-US" w:eastAsia="zh-CN"/>
              </w:rPr>
              <w:t>3.7。</w:t>
            </w:r>
          </w:p>
          <w:p>
            <w:pPr>
              <w:jc w:val="center"/>
              <w:rPr>
                <w:rFonts w:hint="default" w:ascii="Times New Roman" w:hAnsi="Times New Roman" w:cs="Times New Roman"/>
                <w:b/>
                <w:color w:val="auto"/>
                <w:sz w:val="24"/>
                <w:szCs w:val="24"/>
                <w:highlight w:val="none"/>
                <w:lang w:val="en-US"/>
              </w:rPr>
            </w:pPr>
            <w:r>
              <w:rPr>
                <w:rFonts w:hint="default" w:ascii="Times New Roman" w:hAnsi="Times New Roman" w:cs="Times New Roman"/>
                <w:b/>
                <w:color w:val="auto"/>
                <w:sz w:val="24"/>
                <w:szCs w:val="24"/>
                <w:highlight w:val="none"/>
              </w:rPr>
              <w:t>表</w:t>
            </w:r>
            <w:r>
              <w:rPr>
                <w:rFonts w:hint="eastAsia" w:ascii="Times New Roman" w:hAnsi="Times New Roman" w:cs="Times New Roman"/>
                <w:b/>
                <w:color w:val="auto"/>
                <w:sz w:val="24"/>
                <w:szCs w:val="24"/>
                <w:highlight w:val="none"/>
                <w:lang w:val="en-US" w:eastAsia="zh-CN"/>
              </w:rPr>
              <w:t>3.7</w:t>
            </w:r>
            <w:r>
              <w:rPr>
                <w:rFonts w:hint="default" w:ascii="Times New Roman" w:hAnsi="Times New Roman" w:cs="Times New Roman"/>
                <w:b/>
                <w:color w:val="auto"/>
                <w:sz w:val="24"/>
                <w:szCs w:val="24"/>
                <w:highlight w:val="none"/>
              </w:rPr>
              <w:t xml:space="preserve">  </w:t>
            </w:r>
            <w:r>
              <w:rPr>
                <w:rFonts w:hint="eastAsia" w:ascii="Times New Roman" w:hAnsi="Times New Roman" w:cs="Times New Roman"/>
                <w:b/>
                <w:bCs/>
                <w:color w:val="auto"/>
                <w:sz w:val="24"/>
                <w:szCs w:val="24"/>
                <w:lang w:eastAsia="zh-CN"/>
              </w:rPr>
              <w:t>枯水期地表水环境现状监测及统计结果一览表</w:t>
            </w:r>
            <w:r>
              <w:rPr>
                <w:rFonts w:hint="eastAsia" w:ascii="Times New Roman" w:hAnsi="Times New Roman" w:cs="Times New Roman"/>
                <w:b/>
                <w:bCs/>
                <w:color w:val="auto"/>
                <w:sz w:val="24"/>
                <w:szCs w:val="24"/>
                <w:lang w:val="en-US" w:eastAsia="zh-CN"/>
              </w:rPr>
              <w:t xml:space="preserve">  单位：mg/L，pH无量纲</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168"/>
              <w:gridCol w:w="1169"/>
              <w:gridCol w:w="1169"/>
              <w:gridCol w:w="1170"/>
              <w:gridCol w:w="1170"/>
              <w:gridCol w:w="117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检测项目</w:t>
                  </w:r>
                </w:p>
              </w:tc>
              <w:tc>
                <w:tcPr>
                  <w:tcW w:w="1168" w:type="dxa"/>
                  <w:vMerge w:val="restart"/>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采样日期</w:t>
                  </w:r>
                </w:p>
              </w:tc>
              <w:tc>
                <w:tcPr>
                  <w:tcW w:w="5848" w:type="dxa"/>
                  <w:gridSpan w:val="5"/>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检测结果</w:t>
                  </w:r>
                </w:p>
              </w:tc>
              <w:tc>
                <w:tcPr>
                  <w:tcW w:w="1170" w:type="dxa"/>
                  <w:vMerge w:val="restart"/>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W1</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W4</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W5</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pH值</w:t>
                  </w:r>
                </w:p>
              </w:tc>
              <w:tc>
                <w:tcPr>
                  <w:tcW w:w="1168"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8.16</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8.09</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8.22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8.13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8.05</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2022.02.24</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8.10</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8.14</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8.27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8.20</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8.12</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2022.02.25</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8.16</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8.15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8.25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8.17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8.09</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COD</w:t>
                  </w: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16</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19</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19</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2022.02.24</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17</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18</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2022.02.25</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16</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DO</w:t>
                  </w: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12.2</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12.4</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11.1</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2022.02.24</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12.4</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11.4</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2022.02.25</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12.4</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11.6</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vertAlign w:val="subscript"/>
                      <w:lang w:val="en-US" w:eastAsia="zh-CN"/>
                    </w:rPr>
                  </w:pPr>
                  <w:r>
                    <w:rPr>
                      <w:rFonts w:hint="eastAsia" w:ascii="Times New Roman" w:hAnsi="Times New Roman" w:eastAsia="宋体" w:cs="Times New Roman"/>
                      <w:b w:val="0"/>
                      <w:bCs w:val="0"/>
                      <w:color w:val="auto"/>
                      <w:sz w:val="21"/>
                      <w:szCs w:val="21"/>
                      <w:highlight w:val="none"/>
                      <w:lang w:val="en-US" w:eastAsia="zh-CN"/>
                    </w:rPr>
                    <w:t>BOD</w:t>
                  </w:r>
                  <w:r>
                    <w:rPr>
                      <w:rFonts w:hint="eastAsia" w:ascii="Times New Roman" w:hAnsi="Times New Roman" w:eastAsia="宋体" w:cs="Times New Roman"/>
                      <w:b w:val="0"/>
                      <w:bCs w:val="0"/>
                      <w:color w:val="auto"/>
                      <w:sz w:val="21"/>
                      <w:szCs w:val="21"/>
                      <w:highlight w:val="none"/>
                      <w:vertAlign w:val="subscript"/>
                      <w:lang w:val="en-US" w:eastAsia="zh-CN"/>
                    </w:rPr>
                    <w:t>5</w:t>
                  </w: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2022.02.24</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1.8</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2.3</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2022.02.25</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2.5</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2.4</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2.2</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NH</w:t>
                  </w:r>
                  <w:r>
                    <w:rPr>
                      <w:rFonts w:hint="eastAsia" w:ascii="Times New Roman" w:hAnsi="Times New Roman" w:eastAsia="宋体" w:cs="Times New Roman"/>
                      <w:b w:val="0"/>
                      <w:bCs w:val="0"/>
                      <w:color w:val="auto"/>
                      <w:sz w:val="21"/>
                      <w:szCs w:val="21"/>
                      <w:highlight w:val="none"/>
                      <w:vertAlign w:val="subscript"/>
                      <w:lang w:val="en-US" w:eastAsia="zh-CN"/>
                    </w:rPr>
                    <w:t>3</w:t>
                  </w:r>
                  <w:r>
                    <w:rPr>
                      <w:rFonts w:hint="eastAsia" w:ascii="Times New Roman" w:hAnsi="Times New Roman" w:eastAsia="宋体" w:cs="Times New Roman"/>
                      <w:b w:val="0"/>
                      <w:bCs w:val="0"/>
                      <w:color w:val="auto"/>
                      <w:sz w:val="21"/>
                      <w:szCs w:val="21"/>
                      <w:highlight w:val="none"/>
                      <w:lang w:val="en-US" w:eastAsia="zh-CN"/>
                    </w:rPr>
                    <w:t>-N</w:t>
                  </w: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0.202</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3.21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0.151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0.189</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0.215</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2022.02.24</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0.190</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3.25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0.159</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0.183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0.227</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2022.02.25</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0.211</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3.16</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0.171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0.198</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0.215</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TP</w:t>
                  </w: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0.02</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0.04</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2022.02.24</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0.02</w:t>
                  </w:r>
                </w:p>
              </w:tc>
              <w:tc>
                <w:tcPr>
                  <w:tcW w:w="1169" w:type="dxa"/>
                  <w:vAlign w:val="center"/>
                </w:tcPr>
                <w:p>
                  <w:pPr>
                    <w:tabs>
                      <w:tab w:val="left" w:pos="266"/>
                    </w:tabs>
                    <w:jc w:val="left"/>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b/>
                  </w:r>
                  <w:r>
                    <w:rPr>
                      <w:rFonts w:hint="eastAsia" w:ascii="Times New Roman" w:hAnsi="Times New Roman" w:eastAsia="宋体" w:cs="Times New Roman"/>
                      <w:b w:val="0"/>
                      <w:bCs w:val="0"/>
                      <w:color w:val="auto"/>
                      <w:sz w:val="21"/>
                      <w:szCs w:val="21"/>
                      <w:highlight w:val="none"/>
                      <w:lang w:val="en-US" w:eastAsia="zh-CN"/>
                    </w:rPr>
                    <w:t>0.21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0.04</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2022.02.25</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0.02</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0.04</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石油类</w:t>
                  </w: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69"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2022.02.24</w:t>
                  </w:r>
                </w:p>
              </w:tc>
              <w:tc>
                <w:tcPr>
                  <w:tcW w:w="1169"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69"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2022.02.25</w:t>
                  </w:r>
                </w:p>
              </w:tc>
              <w:tc>
                <w:tcPr>
                  <w:tcW w:w="1169"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69"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阴离子表面活性剂</w:t>
                  </w: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2022.02.23</w:t>
                  </w:r>
                </w:p>
              </w:tc>
              <w:tc>
                <w:tcPr>
                  <w:tcW w:w="1169"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69"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2022.02.24</w:t>
                  </w:r>
                </w:p>
              </w:tc>
              <w:tc>
                <w:tcPr>
                  <w:tcW w:w="1169"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69"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c>
                <w:tcPr>
                  <w:tcW w:w="1168"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2022.02.25</w:t>
                  </w:r>
                </w:p>
              </w:tc>
              <w:tc>
                <w:tcPr>
                  <w:tcW w:w="1169"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69"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Align w:val="center"/>
                </w:tcPr>
                <w:p>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ND</w:t>
                  </w:r>
                </w:p>
              </w:tc>
              <w:tc>
                <w:tcPr>
                  <w:tcW w:w="1170" w:type="dxa"/>
                  <w:vMerge w:val="continue"/>
                  <w:vAlign w:val="center"/>
                </w:tcPr>
                <w:p>
                  <w:pPr>
                    <w:jc w:val="center"/>
                    <w:rPr>
                      <w:rFonts w:hint="eastAsia" w:ascii="Times New Roman" w:hAnsi="Times New Roman" w:eastAsia="宋体" w:cs="Times New Roman"/>
                      <w:b w:val="0"/>
                      <w:bCs w:val="0"/>
                      <w:color w:val="auto"/>
                      <w:sz w:val="21"/>
                      <w:szCs w:val="21"/>
                      <w:highlight w:val="none"/>
                      <w:lang w:val="en-US" w:eastAsia="zh-CN"/>
                    </w:rPr>
                  </w:pPr>
                </w:p>
              </w:tc>
            </w:tr>
          </w:tbl>
          <w:p>
            <w:pPr>
              <w:spacing w:line="360" w:lineRule="auto"/>
              <w:ind w:firstLine="480" w:firstLineChars="200"/>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3</w:t>
            </w:r>
            <w:r>
              <w:rPr>
                <w:rFonts w:hint="eastAsia" w:ascii="Times New Roman" w:hAnsi="Times New Roman" w:cs="Times New Roman"/>
                <w:b w:val="0"/>
                <w:bCs w:val="0"/>
                <w:color w:val="auto"/>
                <w:sz w:val="24"/>
                <w:szCs w:val="24"/>
                <w:lang w:eastAsia="zh-CN"/>
              </w:rPr>
              <w:t>）评价结果</w:t>
            </w:r>
          </w:p>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eastAsia="zh-CN"/>
              </w:rPr>
              <w:t>枯水期地表水水质现状评价结果一览表见表</w:t>
            </w:r>
            <w:r>
              <w:rPr>
                <w:rFonts w:hint="eastAsia" w:ascii="Times New Roman" w:hAnsi="Times New Roman" w:cs="Times New Roman"/>
                <w:b w:val="0"/>
                <w:bCs w:val="0"/>
                <w:color w:val="auto"/>
                <w:sz w:val="24"/>
                <w:szCs w:val="24"/>
                <w:lang w:val="en-US" w:eastAsia="zh-CN"/>
              </w:rPr>
              <w:t>3.8。</w:t>
            </w:r>
          </w:p>
          <w:p>
            <w:pPr>
              <w:spacing w:line="276" w:lineRule="auto"/>
              <w:jc w:val="center"/>
              <w:rPr>
                <w:rFonts w:hint="eastAsia" w:ascii="Times New Roman" w:hAnsi="Times New Roman" w:cs="Times New Roman" w:eastAsiaTheme="minorEastAsia"/>
                <w:b/>
                <w:color w:val="auto"/>
                <w:sz w:val="24"/>
                <w:szCs w:val="24"/>
                <w:highlight w:val="none"/>
                <w:lang w:eastAsia="zh-CN"/>
              </w:rPr>
            </w:pPr>
            <w:r>
              <w:rPr>
                <w:rFonts w:hint="default" w:ascii="Times New Roman" w:hAnsi="Times New Roman" w:cs="Times New Roman"/>
                <w:b/>
                <w:color w:val="auto"/>
                <w:sz w:val="24"/>
                <w:szCs w:val="24"/>
                <w:highlight w:val="none"/>
              </w:rPr>
              <w:t>表</w:t>
            </w:r>
            <w:r>
              <w:rPr>
                <w:rFonts w:hint="eastAsia" w:ascii="Times New Roman" w:hAnsi="Times New Roman" w:cs="Times New Roman"/>
                <w:b/>
                <w:color w:val="auto"/>
                <w:sz w:val="24"/>
                <w:szCs w:val="24"/>
                <w:highlight w:val="none"/>
                <w:lang w:val="en-US" w:eastAsia="zh-CN"/>
              </w:rPr>
              <w:t>3.8  枯水期地表水水质现状评价结果一览表</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168"/>
              <w:gridCol w:w="1169"/>
              <w:gridCol w:w="1169"/>
              <w:gridCol w:w="1170"/>
              <w:gridCol w:w="1170"/>
              <w:gridCol w:w="117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检测项目</w:t>
                  </w:r>
                </w:p>
              </w:tc>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5848" w:type="dxa"/>
                  <w:gridSpan w:val="5"/>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检测结果</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Ⅳ</w:t>
                  </w:r>
                  <w:r>
                    <w:rPr>
                      <w:rFonts w:hint="eastAsia" w:ascii="Times New Roman" w:hAnsi="Times New Roman" w:eastAsia="宋体" w:cs="Times New Roman"/>
                      <w:b w:val="0"/>
                      <w:bCs w:val="0"/>
                      <w:color w:val="auto"/>
                      <w:sz w:val="21"/>
                      <w:szCs w:val="21"/>
                      <w:highlight w:val="none"/>
                      <w:lang w:val="en-US" w:eastAsia="zh-CN"/>
                    </w:rPr>
                    <w:t>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W1</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W4</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W5</w:t>
                  </w:r>
                </w:p>
              </w:tc>
              <w:tc>
                <w:tcPr>
                  <w:tcW w:w="1170"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pH值</w:t>
                  </w:r>
                </w:p>
              </w:tc>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单因子评价指数</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0.28</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0.185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0.135</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0.15</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0.28</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0.18</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0.165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0.17</w:t>
                  </w:r>
                </w:p>
              </w:tc>
              <w:tc>
                <w:tcPr>
                  <w:tcW w:w="1170"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0.19</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0.185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0.16</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0.15</w:t>
                  </w:r>
                </w:p>
              </w:tc>
              <w:tc>
                <w:tcPr>
                  <w:tcW w:w="1170"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COD</w:t>
                  </w:r>
                </w:p>
              </w:tc>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单因子评价指数</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0.53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0.40</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0.57</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0.60</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0.57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0.43</w:t>
                  </w:r>
                </w:p>
              </w:tc>
              <w:tc>
                <w:tcPr>
                  <w:tcW w:w="1170"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0.47</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0.53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0.50</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0.47</w:t>
                  </w:r>
                </w:p>
              </w:tc>
              <w:tc>
                <w:tcPr>
                  <w:tcW w:w="1170"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BOD</w:t>
                  </w:r>
                  <w:r>
                    <w:rPr>
                      <w:rFonts w:hint="eastAsia" w:ascii="Times New Roman" w:hAnsi="Times New Roman" w:eastAsia="宋体" w:cs="Times New Roman"/>
                      <w:b w:val="0"/>
                      <w:bCs w:val="0"/>
                      <w:color w:val="auto"/>
                      <w:sz w:val="21"/>
                      <w:szCs w:val="21"/>
                      <w:highlight w:val="none"/>
                      <w:vertAlign w:val="subscript"/>
                      <w:lang w:val="en-US" w:eastAsia="zh-CN"/>
                    </w:rPr>
                    <w:t>5</w:t>
                  </w:r>
                </w:p>
              </w:tc>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单因子评价指数</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0.35</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0.30</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0.38</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0.38</w:t>
                  </w:r>
                </w:p>
              </w:tc>
              <w:tc>
                <w:tcPr>
                  <w:tcW w:w="1170"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0.42</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0.40</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0.35</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0.37</w:t>
                  </w:r>
                </w:p>
              </w:tc>
              <w:tc>
                <w:tcPr>
                  <w:tcW w:w="1170"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NH</w:t>
                  </w:r>
                  <w:r>
                    <w:rPr>
                      <w:rFonts w:hint="eastAsia" w:ascii="Times New Roman" w:hAnsi="Times New Roman" w:eastAsia="宋体" w:cs="Times New Roman"/>
                      <w:b w:val="0"/>
                      <w:bCs w:val="0"/>
                      <w:color w:val="auto"/>
                      <w:sz w:val="21"/>
                      <w:szCs w:val="21"/>
                      <w:highlight w:val="none"/>
                      <w:vertAlign w:val="subscript"/>
                      <w:lang w:val="en-US" w:eastAsia="zh-CN"/>
                    </w:rPr>
                    <w:t>3</w:t>
                  </w:r>
                  <w:r>
                    <w:rPr>
                      <w:rFonts w:hint="eastAsia" w:ascii="Times New Roman" w:hAnsi="Times New Roman" w:eastAsia="宋体" w:cs="Times New Roman"/>
                      <w:b w:val="0"/>
                      <w:bCs w:val="0"/>
                      <w:color w:val="auto"/>
                      <w:sz w:val="21"/>
                      <w:szCs w:val="21"/>
                      <w:highlight w:val="none"/>
                      <w:lang w:val="en-US" w:eastAsia="zh-CN"/>
                    </w:rPr>
                    <w:t>-N</w:t>
                  </w:r>
                </w:p>
              </w:tc>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单因子评价指数</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2.14</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0.10</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0.14</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0.13</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0.12</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0.15</w:t>
                  </w:r>
                </w:p>
              </w:tc>
              <w:tc>
                <w:tcPr>
                  <w:tcW w:w="1170"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0.14</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0.11</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0.14</w:t>
                  </w:r>
                </w:p>
              </w:tc>
              <w:tc>
                <w:tcPr>
                  <w:tcW w:w="1170"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TP</w:t>
                  </w:r>
                </w:p>
              </w:tc>
              <w:tc>
                <w:tcPr>
                  <w:tcW w:w="1168"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单因子评价指数</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0.07</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0.70</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0.03</w:t>
                  </w:r>
                </w:p>
              </w:tc>
              <w:tc>
                <w:tcPr>
                  <w:tcW w:w="1170" w:type="dxa"/>
                  <w:vMerge w:val="restart"/>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0.07</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0.73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1170"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8"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0.07</w:t>
                  </w:r>
                </w:p>
              </w:tc>
              <w:tc>
                <w:tcPr>
                  <w:tcW w:w="1169"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0.70</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0.13</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0.07</w:t>
                  </w:r>
                </w:p>
              </w:tc>
              <w:tc>
                <w:tcPr>
                  <w:tcW w:w="1170" w:type="dxa"/>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0.03</w:t>
                  </w:r>
                </w:p>
              </w:tc>
              <w:tc>
                <w:tcPr>
                  <w:tcW w:w="1170" w:type="dxa"/>
                  <w:vMerge w:val="continue"/>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r>
          </w:tbl>
          <w:p>
            <w:pPr>
              <w:keepNext w:val="0"/>
              <w:keepLines w:val="0"/>
              <w:pageBreakBefore w:val="0"/>
              <w:widowControl w:val="0"/>
              <w:tabs>
                <w:tab w:val="left" w:pos="1318"/>
              </w:tabs>
              <w:kinsoku/>
              <w:wordWrap/>
              <w:overflowPunct/>
              <w:topLinePunct w:val="0"/>
              <w:autoSpaceDE/>
              <w:autoSpaceDN/>
              <w:bidi w:val="0"/>
              <w:adjustRightInd/>
              <w:snapToGrid/>
              <w:spacing w:line="360" w:lineRule="auto"/>
              <w:ind w:firstLine="480"/>
              <w:textAlignment w:val="auto"/>
              <w:rPr>
                <w:rFonts w:hint="eastAsia" w:ascii="Times New Roman" w:hAnsi="Times New Roman" w:cs="Times New Roman" w:eastAsiaTheme="minorEastAsia"/>
                <w:color w:val="auto"/>
                <w:sz w:val="24"/>
                <w:szCs w:val="24"/>
                <w:highlight w:val="none"/>
                <w:lang w:eastAsia="zh-CN"/>
              </w:rPr>
            </w:pPr>
            <w:r>
              <w:rPr>
                <w:rFonts w:hint="default" w:ascii="Times New Roman" w:hAnsi="Times New Roman" w:cs="Times New Roman"/>
                <w:color w:val="auto"/>
                <w:sz w:val="24"/>
                <w:szCs w:val="24"/>
                <w:highlight w:val="none"/>
              </w:rPr>
              <w:t>现状监测结果表明，在监测期间区域水体因子均能满足《地表水环境质量标准》（GB3838-2002）中</w:t>
            </w:r>
            <w:r>
              <w:rPr>
                <w:rFonts w:hint="default" w:ascii="Times New Roman" w:hAnsi="Times New Roman" w:eastAsia="宋体" w:cs="Times New Roman"/>
                <w:b w:val="0"/>
                <w:bCs w:val="0"/>
                <w:color w:val="auto"/>
                <w:sz w:val="24"/>
                <w:szCs w:val="24"/>
                <w:highlight w:val="none"/>
                <w:lang w:val="en-US" w:eastAsia="zh-CN"/>
              </w:rPr>
              <w:t>Ⅳ</w:t>
            </w:r>
            <w:r>
              <w:rPr>
                <w:rFonts w:hint="eastAsia" w:ascii="Times New Roman" w:hAnsi="Times New Roman" w:eastAsia="宋体" w:cs="Times New Roman"/>
                <w:b w:val="0"/>
                <w:bCs w:val="0"/>
                <w:color w:val="auto"/>
                <w:sz w:val="24"/>
                <w:szCs w:val="24"/>
                <w:highlight w:val="none"/>
                <w:lang w:val="en-US" w:eastAsia="zh-CN"/>
              </w:rPr>
              <w:t>类</w:t>
            </w:r>
            <w:r>
              <w:rPr>
                <w:rFonts w:hint="default" w:ascii="Times New Roman" w:hAnsi="Times New Roman" w:cs="Times New Roman"/>
                <w:color w:val="auto"/>
                <w:sz w:val="24"/>
                <w:szCs w:val="24"/>
                <w:highlight w:val="none"/>
              </w:rPr>
              <w:t>水体功能</w:t>
            </w:r>
            <w:r>
              <w:rPr>
                <w:rFonts w:hint="eastAsia" w:ascii="Times New Roman" w:hAnsi="Times New Roman" w:cs="Times New Roman"/>
                <w:color w:val="auto"/>
                <w:sz w:val="24"/>
                <w:szCs w:val="24"/>
                <w:highlight w:val="none"/>
                <w:lang w:eastAsia="zh-CN"/>
              </w:rPr>
              <w:t>要求。</w:t>
            </w:r>
          </w:p>
          <w:p>
            <w:pPr>
              <w:keepNext w:val="0"/>
              <w:keepLines w:val="0"/>
              <w:pageBreakBefore w:val="0"/>
              <w:widowControl w:val="0"/>
              <w:tabs>
                <w:tab w:val="left" w:pos="1318"/>
              </w:tabs>
              <w:kinsoku/>
              <w:wordWrap/>
              <w:overflowPunct/>
              <w:topLinePunct w:val="0"/>
              <w:autoSpaceDE/>
              <w:autoSpaceDN/>
              <w:bidi w:val="0"/>
              <w:adjustRightInd/>
              <w:snapToGrid/>
              <w:spacing w:line="360" w:lineRule="auto"/>
              <w:ind w:firstLine="480"/>
              <w:textAlignment w:val="auto"/>
              <w:rPr>
                <w:rFonts w:hint="eastAsia"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rPr>
              <w:t>3、声环境</w:t>
            </w:r>
            <w:r>
              <w:rPr>
                <w:rFonts w:hint="eastAsia" w:ascii="Times New Roman" w:hAnsi="Times New Roman" w:cs="Times New Roman"/>
                <w:b/>
                <w:bCs/>
                <w:color w:val="auto"/>
                <w:sz w:val="24"/>
                <w:szCs w:val="24"/>
                <w:lang w:eastAsia="zh-CN"/>
              </w:rPr>
              <w:tab/>
            </w:r>
          </w:p>
          <w:p>
            <w:pPr>
              <w:keepNext w:val="0"/>
              <w:keepLines w:val="0"/>
              <w:pageBreakBefore w:val="0"/>
              <w:widowControl w:val="0"/>
              <w:tabs>
                <w:tab w:val="left" w:pos="1318"/>
              </w:tabs>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根据现场勘察，</w:t>
            </w:r>
            <w:r>
              <w:rPr>
                <w:rFonts w:hint="default" w:ascii="Times New Roman" w:hAnsi="Times New Roman" w:cs="Times New Roman"/>
                <w:color w:val="auto"/>
                <w:sz w:val="24"/>
                <w:szCs w:val="24"/>
              </w:rPr>
              <w:t>项目厂界</w:t>
            </w:r>
            <w:r>
              <w:rPr>
                <w:rFonts w:hint="eastAsia" w:ascii="Times New Roman" w:hAnsi="Times New Roman" w:cs="Times New Roman"/>
                <w:color w:val="auto"/>
                <w:sz w:val="24"/>
                <w:szCs w:val="24"/>
                <w:lang w:eastAsia="zh-CN"/>
              </w:rPr>
              <w:t>周边</w:t>
            </w:r>
            <w:r>
              <w:rPr>
                <w:rFonts w:hint="eastAsia" w:ascii="Times New Roman" w:hAnsi="Times New Roman" w:cs="Times New Roman"/>
                <w:color w:val="auto"/>
                <w:sz w:val="24"/>
                <w:szCs w:val="24"/>
                <w:lang w:val="en-US" w:eastAsia="zh-CN"/>
              </w:rPr>
              <w:t>50米范围内不存在声环境保护目标。根据《建设项目环境影响报告表编制技术指南（污染影响类）》，本项目不需开展声环境质量现状监测</w:t>
            </w:r>
            <w:r>
              <w:rPr>
                <w:rFonts w:hint="default" w:ascii="Times New Roman" w:hAnsi="Times New Roman" w:cs="Times New Roman"/>
                <w:color w:val="auto"/>
                <w:sz w:val="24"/>
                <w:szCs w:val="24"/>
              </w:rPr>
              <w:t>。</w:t>
            </w:r>
          </w:p>
          <w:p>
            <w:pPr>
              <w:pStyle w:val="32"/>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4、生态环境</w:t>
            </w:r>
          </w:p>
          <w:p>
            <w:pPr>
              <w:pStyle w:val="32"/>
              <w:rPr>
                <w:rFonts w:hint="default" w:eastAsiaTheme="minorEastAsia"/>
                <w:color w:val="auto"/>
                <w:lang w:val="en-US" w:eastAsia="zh-CN"/>
              </w:rPr>
            </w:pPr>
            <w:r>
              <w:rPr>
                <w:rFonts w:hint="eastAsia"/>
                <w:color w:val="auto"/>
                <w:lang w:eastAsia="zh-CN"/>
              </w:rPr>
              <w:t>本项目建设地点位于</w:t>
            </w:r>
            <w:r>
              <w:rPr>
                <w:rFonts w:hint="eastAsia" w:ascii="Times New Roman" w:hAnsi="Times New Roman" w:cs="Times New Roman"/>
                <w:color w:val="auto"/>
                <w:sz w:val="24"/>
                <w:szCs w:val="24"/>
                <w:vertAlign w:val="baseline"/>
                <w:lang w:val="en-US" w:eastAsia="zh-CN"/>
              </w:rPr>
              <w:t>安徽萧县经济开发区白土镇智能制造产业园</w:t>
            </w:r>
            <w:r>
              <w:rPr>
                <w:rFonts w:hint="eastAsia"/>
                <w:color w:val="auto"/>
                <w:lang w:eastAsia="zh-CN"/>
              </w:rPr>
              <w:t>内，不属于</w:t>
            </w:r>
            <w:r>
              <w:rPr>
                <w:rFonts w:hint="eastAsia" w:ascii="Times New Roman" w:hAnsi="Times New Roman" w:cs="Times New Roman"/>
                <w:color w:val="auto"/>
                <w:sz w:val="24"/>
                <w:szCs w:val="24"/>
                <w:lang w:val="en-US" w:eastAsia="zh-CN"/>
              </w:rPr>
              <w:t>《建设项目环境影响报告表编制技术指南（污染影响类）》：“产业园区外建设项目新增用地且用地范围内含有生态环境保护目标时，应进行生态现状调查。”因此，本项目可不开展生态现状调查。</w:t>
            </w:r>
          </w:p>
          <w:p>
            <w:pPr>
              <w:pStyle w:val="32"/>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5、地下水、土壤</w:t>
            </w:r>
          </w:p>
          <w:p>
            <w:pPr>
              <w:pStyle w:val="32"/>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本项目危险废物暂存房按照相关规范做防渗设计，可不开展地下水和土壤环境现状调查。</w:t>
            </w:r>
          </w:p>
          <w:p>
            <w:pPr>
              <w:pStyle w:val="32"/>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6</w:t>
            </w:r>
            <w:r>
              <w:rPr>
                <w:rFonts w:hint="default" w:ascii="Times New Roman" w:hAnsi="Times New Roman" w:cs="Times New Roman"/>
                <w:b/>
                <w:bCs/>
                <w:color w:val="auto"/>
                <w:lang w:val="en-US" w:eastAsia="zh-CN"/>
              </w:rPr>
              <w:t>、</w:t>
            </w:r>
            <w:r>
              <w:rPr>
                <w:rFonts w:hint="eastAsia" w:ascii="Times New Roman" w:hAnsi="Times New Roman" w:cs="Times New Roman"/>
                <w:b/>
                <w:bCs/>
                <w:color w:val="auto"/>
                <w:lang w:val="en-US" w:eastAsia="zh-CN"/>
              </w:rPr>
              <w:t>电磁辐射</w:t>
            </w:r>
          </w:p>
          <w:p>
            <w:pPr>
              <w:pStyle w:val="35"/>
              <w:spacing w:line="360" w:lineRule="auto"/>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color w:val="auto"/>
                <w:sz w:val="24"/>
                <w:szCs w:val="24"/>
                <w:lang w:eastAsia="zh-CN"/>
              </w:rPr>
              <w:t>本项目不涉及电磁辐射。</w:t>
            </w:r>
          </w:p>
          <w:p>
            <w:pPr>
              <w:pStyle w:val="35"/>
              <w:spacing w:line="360" w:lineRule="auto"/>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p>
            <w:pPr>
              <w:pStyle w:val="35"/>
              <w:spacing w:line="360" w:lineRule="auto"/>
              <w:ind w:left="0" w:leftChars="0" w:firstLine="0" w:firstLineChars="0"/>
              <w:rPr>
                <w:rFonts w:hint="default" w:ascii="Times New Roman" w:hAnsi="Times New Roman"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jc w:val="center"/>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环境保护目标</w:t>
            </w:r>
          </w:p>
        </w:tc>
        <w:tc>
          <w:tcPr>
            <w:tcW w:w="8637" w:type="dxa"/>
            <w:vAlign w:val="center"/>
          </w:tcPr>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1.大气环境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建设项目</w:t>
            </w:r>
            <w:r>
              <w:rPr>
                <w:rFonts w:hint="default" w:ascii="Times New Roman" w:hAnsi="Times New Roman" w:cs="Times New Roman"/>
                <w:color w:val="auto"/>
                <w:sz w:val="24"/>
                <w:szCs w:val="24"/>
              </w:rPr>
              <w:t>厂界外500米范围内</w:t>
            </w:r>
            <w:r>
              <w:rPr>
                <w:rFonts w:hint="eastAsia" w:ascii="Times New Roman" w:hAnsi="Times New Roman" w:cs="Times New Roman"/>
                <w:color w:val="auto"/>
                <w:sz w:val="24"/>
                <w:szCs w:val="24"/>
                <w:lang w:eastAsia="zh-CN"/>
              </w:rPr>
              <w:t>环境保护目标见表</w:t>
            </w:r>
            <w:r>
              <w:rPr>
                <w:rFonts w:hint="eastAsia" w:ascii="Times New Roman" w:hAnsi="Times New Roman" w:cs="Times New Roman"/>
                <w:color w:val="auto"/>
                <w:sz w:val="24"/>
                <w:szCs w:val="24"/>
                <w:lang w:val="en-US" w:eastAsia="zh-CN"/>
              </w:rPr>
              <w:t>3.9</w:t>
            </w:r>
            <w:r>
              <w:rPr>
                <w:rFonts w:hint="default" w:ascii="Times New Roman" w:hAnsi="Times New Roman" w:cs="Times New Roman"/>
                <w:color w:val="auto"/>
                <w:sz w:val="24"/>
                <w:szCs w:val="24"/>
              </w:rPr>
              <w:t>。</w:t>
            </w:r>
          </w:p>
          <w:p>
            <w:pPr>
              <w:jc w:val="center"/>
              <w:rPr>
                <w:rFonts w:ascii="Times New Roman" w:hAnsi="Times New Roman" w:eastAsia="宋体"/>
                <w:b/>
                <w:bCs/>
                <w:color w:val="auto"/>
                <w:sz w:val="24"/>
                <w:szCs w:val="24"/>
              </w:rPr>
            </w:pPr>
            <w:r>
              <w:rPr>
                <w:rFonts w:ascii="Times New Roman" w:hAnsi="Times New Roman" w:eastAsia="宋体"/>
                <w:b/>
                <w:bCs/>
                <w:color w:val="auto"/>
                <w:sz w:val="24"/>
                <w:szCs w:val="24"/>
              </w:rPr>
              <w:t>表</w:t>
            </w:r>
            <w:r>
              <w:rPr>
                <w:rFonts w:hint="eastAsia" w:ascii="Times New Roman" w:hAnsi="Times New Roman" w:eastAsia="宋体"/>
                <w:b/>
                <w:bCs/>
                <w:color w:val="auto"/>
                <w:sz w:val="24"/>
                <w:szCs w:val="24"/>
                <w:lang w:val="en-US" w:eastAsia="zh-CN"/>
              </w:rPr>
              <w:t>3.9</w:t>
            </w:r>
            <w:r>
              <w:rPr>
                <w:rFonts w:ascii="Times New Roman" w:hAnsi="Times New Roman" w:eastAsia="宋体"/>
                <w:b/>
                <w:bCs/>
                <w:color w:val="auto"/>
                <w:sz w:val="24"/>
                <w:szCs w:val="24"/>
              </w:rPr>
              <w:t xml:space="preserve">  环境</w:t>
            </w:r>
            <w:r>
              <w:rPr>
                <w:rFonts w:hint="eastAsia" w:ascii="Times New Roman" w:hAnsi="Times New Roman" w:eastAsia="宋体"/>
                <w:b/>
                <w:bCs/>
                <w:color w:val="auto"/>
                <w:sz w:val="24"/>
                <w:szCs w:val="24"/>
                <w:lang w:val="en-US" w:eastAsia="zh-CN"/>
              </w:rPr>
              <w:t>空气</w:t>
            </w:r>
            <w:r>
              <w:rPr>
                <w:rFonts w:ascii="Times New Roman" w:hAnsi="Times New Roman" w:eastAsia="宋体"/>
                <w:b/>
                <w:bCs/>
                <w:color w:val="auto"/>
                <w:sz w:val="24"/>
                <w:szCs w:val="24"/>
              </w:rPr>
              <w:t>保护目标</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414"/>
              <w:gridCol w:w="1317"/>
              <w:gridCol w:w="1111"/>
              <w:gridCol w:w="1094"/>
              <w:gridCol w:w="1094"/>
              <w:gridCol w:w="1107"/>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pPr>
                    <w:pStyle w:val="39"/>
                    <w:rPr>
                      <w:rFonts w:hint="default" w:ascii="Times New Roman" w:hAnsi="Times New Roman" w:eastAsia="宋体"/>
                      <w:color w:val="auto"/>
                      <w:szCs w:val="21"/>
                      <w:lang w:eastAsia="zh-CN"/>
                    </w:rPr>
                  </w:pPr>
                  <w:r>
                    <w:rPr>
                      <w:rFonts w:hint="eastAsia" w:ascii="Times New Roman" w:hAnsi="Times New Roman" w:eastAsia="宋体"/>
                      <w:color w:val="auto"/>
                      <w:szCs w:val="21"/>
                      <w:lang w:eastAsia="zh-CN"/>
                    </w:rPr>
                    <w:t>名称</w:t>
                  </w:r>
                </w:p>
              </w:tc>
              <w:tc>
                <w:tcPr>
                  <w:tcW w:w="2421" w:type="dxa"/>
                  <w:gridSpan w:val="2"/>
                  <w:vAlign w:val="center"/>
                </w:tcPr>
                <w:p>
                  <w:pPr>
                    <w:pStyle w:val="39"/>
                    <w:rPr>
                      <w:rFonts w:hint="default" w:ascii="Times New Roman" w:hAnsi="Times New Roman" w:eastAsia="宋体"/>
                      <w:color w:val="auto"/>
                      <w:szCs w:val="21"/>
                      <w:lang w:eastAsia="zh-CN"/>
                    </w:rPr>
                  </w:pPr>
                  <w:r>
                    <w:rPr>
                      <w:rFonts w:hint="eastAsia" w:ascii="Times New Roman" w:hAnsi="Times New Roman" w:eastAsia="宋体"/>
                      <w:color w:val="auto"/>
                      <w:szCs w:val="21"/>
                      <w:lang w:eastAsia="zh-CN"/>
                    </w:rPr>
                    <w:t>坐标</w:t>
                  </w:r>
                </w:p>
              </w:tc>
              <w:tc>
                <w:tcPr>
                  <w:tcW w:w="1154" w:type="dxa"/>
                  <w:vMerge w:val="restart"/>
                  <w:vAlign w:val="center"/>
                </w:tcPr>
                <w:p>
                  <w:pPr>
                    <w:pStyle w:val="39"/>
                    <w:rPr>
                      <w:rFonts w:hint="default" w:ascii="Times New Roman" w:hAnsi="Times New Roman" w:eastAsia="宋体"/>
                      <w:color w:val="auto"/>
                      <w:szCs w:val="21"/>
                      <w:lang w:eastAsia="zh-CN"/>
                    </w:rPr>
                  </w:pPr>
                  <w:r>
                    <w:rPr>
                      <w:rFonts w:hint="eastAsia" w:ascii="Times New Roman" w:hAnsi="Times New Roman" w:eastAsia="宋体"/>
                      <w:color w:val="auto"/>
                      <w:szCs w:val="21"/>
                      <w:lang w:eastAsia="zh-CN"/>
                    </w:rPr>
                    <w:t>保护对象</w:t>
                  </w:r>
                </w:p>
              </w:tc>
              <w:tc>
                <w:tcPr>
                  <w:tcW w:w="1155" w:type="dxa"/>
                  <w:vMerge w:val="restart"/>
                  <w:vAlign w:val="center"/>
                </w:tcPr>
                <w:p>
                  <w:pPr>
                    <w:pStyle w:val="39"/>
                    <w:rPr>
                      <w:rFonts w:hint="default" w:ascii="Times New Roman" w:hAnsi="Times New Roman" w:eastAsia="宋体"/>
                      <w:color w:val="auto"/>
                      <w:szCs w:val="21"/>
                      <w:lang w:eastAsia="zh-CN"/>
                    </w:rPr>
                  </w:pPr>
                  <w:r>
                    <w:rPr>
                      <w:rFonts w:hint="eastAsia" w:ascii="Times New Roman" w:hAnsi="Times New Roman" w:eastAsia="宋体"/>
                      <w:color w:val="auto"/>
                      <w:szCs w:val="21"/>
                      <w:lang w:eastAsia="zh-CN"/>
                    </w:rPr>
                    <w:t>保护内容</w:t>
                  </w:r>
                </w:p>
              </w:tc>
              <w:tc>
                <w:tcPr>
                  <w:tcW w:w="1155" w:type="dxa"/>
                  <w:vMerge w:val="restart"/>
                  <w:vAlign w:val="center"/>
                </w:tcPr>
                <w:p>
                  <w:pPr>
                    <w:pStyle w:val="39"/>
                    <w:rPr>
                      <w:rFonts w:hint="default" w:ascii="Times New Roman" w:hAnsi="Times New Roman" w:eastAsia="宋体"/>
                      <w:color w:val="auto"/>
                      <w:szCs w:val="21"/>
                      <w:lang w:eastAsia="zh-CN"/>
                    </w:rPr>
                  </w:pPr>
                  <w:r>
                    <w:rPr>
                      <w:rFonts w:hint="eastAsia" w:ascii="Times New Roman" w:hAnsi="Times New Roman" w:eastAsia="宋体"/>
                      <w:color w:val="auto"/>
                      <w:szCs w:val="21"/>
                      <w:lang w:eastAsia="zh-CN"/>
                    </w:rPr>
                    <w:t>环境功能区</w:t>
                  </w:r>
                </w:p>
              </w:tc>
              <w:tc>
                <w:tcPr>
                  <w:tcW w:w="1157" w:type="dxa"/>
                  <w:vMerge w:val="restart"/>
                  <w:vAlign w:val="center"/>
                </w:tcPr>
                <w:p>
                  <w:pPr>
                    <w:pStyle w:val="39"/>
                    <w:rPr>
                      <w:rFonts w:hint="default" w:ascii="Times New Roman" w:hAnsi="Times New Roman" w:eastAsia="宋体"/>
                      <w:color w:val="auto"/>
                      <w:szCs w:val="21"/>
                      <w:lang w:eastAsia="zh-CN"/>
                    </w:rPr>
                  </w:pPr>
                  <w:r>
                    <w:rPr>
                      <w:rFonts w:hint="eastAsia" w:ascii="Times New Roman" w:hAnsi="Times New Roman" w:eastAsia="宋体"/>
                      <w:color w:val="auto"/>
                      <w:szCs w:val="21"/>
                      <w:lang w:eastAsia="zh-CN"/>
                    </w:rPr>
                    <w:t>相对厂址方位</w:t>
                  </w:r>
                </w:p>
              </w:tc>
              <w:tc>
                <w:tcPr>
                  <w:tcW w:w="1160" w:type="dxa"/>
                  <w:vMerge w:val="restart"/>
                  <w:vAlign w:val="center"/>
                </w:tcPr>
                <w:p>
                  <w:pPr>
                    <w:pStyle w:val="39"/>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eastAsia="zh-CN"/>
                    </w:rPr>
                    <w:t>相对厂界距离</w:t>
                  </w:r>
                  <w:r>
                    <w:rPr>
                      <w:rFonts w:hint="eastAsia" w:ascii="Times New Roman" w:hAnsi="Times New Roman" w:eastAsia="宋体"/>
                      <w:color w:val="auto"/>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pPr>
                    <w:pStyle w:val="39"/>
                    <w:rPr>
                      <w:rFonts w:hint="default" w:ascii="Times New Roman" w:hAnsi="Times New Roman" w:eastAsia="宋体"/>
                      <w:color w:val="auto"/>
                      <w:szCs w:val="21"/>
                      <w:lang w:eastAsia="zh-CN"/>
                    </w:rPr>
                  </w:pPr>
                </w:p>
              </w:tc>
              <w:tc>
                <w:tcPr>
                  <w:tcW w:w="1253" w:type="dxa"/>
                  <w:vAlign w:val="center"/>
                </w:tcPr>
                <w:p>
                  <w:pPr>
                    <w:pStyle w:val="39"/>
                    <w:rPr>
                      <w:rFonts w:hint="default" w:ascii="Times New Roman" w:hAnsi="Times New Roman" w:eastAsia="宋体"/>
                      <w:color w:val="auto"/>
                      <w:szCs w:val="21"/>
                      <w:lang w:eastAsia="zh-CN"/>
                    </w:rPr>
                  </w:pPr>
                  <w:r>
                    <w:rPr>
                      <w:rFonts w:hint="eastAsia" w:ascii="Times New Roman" w:hAnsi="Times New Roman" w:eastAsia="宋体"/>
                      <w:color w:val="auto"/>
                      <w:szCs w:val="21"/>
                      <w:lang w:eastAsia="zh-CN"/>
                    </w:rPr>
                    <w:t>经度</w:t>
                  </w:r>
                </w:p>
              </w:tc>
              <w:tc>
                <w:tcPr>
                  <w:tcW w:w="1168" w:type="dxa"/>
                  <w:vAlign w:val="center"/>
                </w:tcPr>
                <w:p>
                  <w:pPr>
                    <w:pStyle w:val="39"/>
                    <w:rPr>
                      <w:rFonts w:hint="default" w:ascii="Times New Roman" w:hAnsi="Times New Roman" w:eastAsia="宋体"/>
                      <w:color w:val="auto"/>
                      <w:szCs w:val="21"/>
                      <w:lang w:eastAsia="zh-CN"/>
                    </w:rPr>
                  </w:pPr>
                  <w:r>
                    <w:rPr>
                      <w:rFonts w:hint="eastAsia" w:ascii="Times New Roman" w:hAnsi="Times New Roman" w:eastAsia="宋体"/>
                      <w:color w:val="auto"/>
                      <w:szCs w:val="21"/>
                      <w:lang w:eastAsia="zh-CN"/>
                    </w:rPr>
                    <w:t>纬度</w:t>
                  </w:r>
                </w:p>
              </w:tc>
              <w:tc>
                <w:tcPr>
                  <w:tcW w:w="1154" w:type="dxa"/>
                  <w:vMerge w:val="continue"/>
                  <w:vAlign w:val="center"/>
                </w:tcPr>
                <w:p>
                  <w:pPr>
                    <w:pStyle w:val="39"/>
                    <w:rPr>
                      <w:rFonts w:hint="default" w:ascii="Times New Roman" w:hAnsi="Times New Roman" w:eastAsia="宋体"/>
                      <w:color w:val="auto"/>
                      <w:szCs w:val="21"/>
                      <w:lang w:eastAsia="zh-CN"/>
                    </w:rPr>
                  </w:pPr>
                </w:p>
              </w:tc>
              <w:tc>
                <w:tcPr>
                  <w:tcW w:w="1155" w:type="dxa"/>
                  <w:vMerge w:val="continue"/>
                  <w:vAlign w:val="center"/>
                </w:tcPr>
                <w:p>
                  <w:pPr>
                    <w:pStyle w:val="39"/>
                    <w:rPr>
                      <w:rFonts w:hint="default" w:ascii="Times New Roman" w:hAnsi="Times New Roman" w:eastAsia="宋体"/>
                      <w:color w:val="auto"/>
                      <w:szCs w:val="21"/>
                      <w:lang w:eastAsia="zh-CN"/>
                    </w:rPr>
                  </w:pPr>
                </w:p>
              </w:tc>
              <w:tc>
                <w:tcPr>
                  <w:tcW w:w="1155" w:type="dxa"/>
                  <w:vMerge w:val="continue"/>
                  <w:vAlign w:val="center"/>
                </w:tcPr>
                <w:p>
                  <w:pPr>
                    <w:pStyle w:val="39"/>
                    <w:rPr>
                      <w:rFonts w:hint="default" w:ascii="Times New Roman" w:hAnsi="Times New Roman" w:eastAsia="宋体"/>
                      <w:color w:val="auto"/>
                      <w:szCs w:val="21"/>
                      <w:lang w:eastAsia="zh-CN"/>
                    </w:rPr>
                  </w:pPr>
                </w:p>
              </w:tc>
              <w:tc>
                <w:tcPr>
                  <w:tcW w:w="1157" w:type="dxa"/>
                  <w:vMerge w:val="continue"/>
                  <w:vAlign w:val="center"/>
                </w:tcPr>
                <w:p>
                  <w:pPr>
                    <w:pStyle w:val="39"/>
                    <w:rPr>
                      <w:rFonts w:hint="default" w:ascii="Times New Roman" w:hAnsi="Times New Roman" w:eastAsia="宋体"/>
                      <w:color w:val="auto"/>
                      <w:szCs w:val="21"/>
                      <w:lang w:eastAsia="zh-CN"/>
                    </w:rPr>
                  </w:pPr>
                </w:p>
              </w:tc>
              <w:tc>
                <w:tcPr>
                  <w:tcW w:w="1160" w:type="dxa"/>
                  <w:vMerge w:val="continue"/>
                  <w:vAlign w:val="center"/>
                </w:tcPr>
                <w:p>
                  <w:pPr>
                    <w:pStyle w:val="39"/>
                    <w:rPr>
                      <w:rFonts w:hint="default" w:ascii="Times New Roman" w:hAnsi="Times New Roman" w:eastAsia="宋体"/>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Align w:val="center"/>
                </w:tcPr>
                <w:p>
                  <w:pPr>
                    <w:keepNext w:val="0"/>
                    <w:keepLines w:val="0"/>
                    <w:widowControl/>
                    <w:suppressLineNumbers w:val="0"/>
                    <w:jc w:val="center"/>
                    <w:textAlignment w:val="center"/>
                    <w:rPr>
                      <w:rStyle w:val="42"/>
                      <w:rFonts w:hint="eastAsia" w:ascii="Times New Roman" w:hAnsi="Times New Roman" w:cs="Times New Roman"/>
                      <w:color w:val="auto"/>
                      <w:lang w:val="en-US" w:eastAsia="zh-CN" w:bidi="ar"/>
                    </w:rPr>
                  </w:pPr>
                  <w:r>
                    <w:rPr>
                      <w:rStyle w:val="42"/>
                      <w:rFonts w:hint="eastAsia" w:ascii="Times New Roman" w:hAnsi="Times New Roman" w:cs="Times New Roman"/>
                      <w:color w:val="auto"/>
                      <w:lang w:val="en-US" w:eastAsia="zh-CN" w:bidi="ar"/>
                    </w:rPr>
                    <w:t>宿州市萧县智能制造产业园工业社区中心</w:t>
                  </w:r>
                </w:p>
                <w:p>
                  <w:pPr>
                    <w:keepNext w:val="0"/>
                    <w:keepLines w:val="0"/>
                    <w:widowControl/>
                    <w:suppressLineNumbers w:val="0"/>
                    <w:jc w:val="center"/>
                    <w:textAlignment w:val="center"/>
                    <w:rPr>
                      <w:rFonts w:hint="default" w:ascii="Times New Roman" w:hAnsi="Times New Roman" w:eastAsia="宋体"/>
                      <w:color w:val="auto"/>
                      <w:szCs w:val="21"/>
                      <w:lang w:eastAsia="zh-CN"/>
                    </w:rPr>
                  </w:pPr>
                  <w:r>
                    <w:rPr>
                      <w:rStyle w:val="42"/>
                      <w:rFonts w:hint="eastAsia" w:ascii="Times New Roman" w:hAnsi="Times New Roman" w:cs="Times New Roman"/>
                      <w:color w:val="auto"/>
                      <w:lang w:val="en-US" w:eastAsia="zh-CN" w:bidi="ar"/>
                    </w:rPr>
                    <w:t>（在建）</w:t>
                  </w:r>
                </w:p>
              </w:tc>
              <w:tc>
                <w:tcPr>
                  <w:tcW w:w="1253" w:type="dxa"/>
                  <w:vAlign w:val="center"/>
                </w:tcPr>
                <w:p>
                  <w:pPr>
                    <w:keepNext w:val="0"/>
                    <w:keepLines w:val="0"/>
                    <w:widowControl/>
                    <w:suppressLineNumbers w:val="0"/>
                    <w:jc w:val="center"/>
                    <w:textAlignment w:val="center"/>
                    <w:rPr>
                      <w:rStyle w:val="42"/>
                      <w:rFonts w:hint="default" w:ascii="Times New Roman" w:hAnsi="Times New Roman" w:eastAsia="宋体" w:cs="Times New Roman"/>
                      <w:color w:val="auto"/>
                      <w:sz w:val="21"/>
                      <w:szCs w:val="21"/>
                      <w:lang w:val="en-US" w:eastAsia="zh-CN" w:bidi="ar"/>
                    </w:rPr>
                  </w:pPr>
                  <w:r>
                    <w:rPr>
                      <w:rStyle w:val="42"/>
                      <w:rFonts w:hint="default" w:ascii="Times New Roman" w:hAnsi="Times New Roman" w:eastAsia="宋体" w:cs="Times New Roman"/>
                      <w:color w:val="auto"/>
                      <w:sz w:val="21"/>
                      <w:szCs w:val="21"/>
                      <w:lang w:val="en-US" w:eastAsia="zh-CN" w:bidi="ar"/>
                    </w:rPr>
                    <w:t>117°3'47.553"</w:t>
                  </w:r>
                </w:p>
              </w:tc>
              <w:tc>
                <w:tcPr>
                  <w:tcW w:w="1168" w:type="dxa"/>
                  <w:vAlign w:val="center"/>
                </w:tcPr>
                <w:p>
                  <w:pPr>
                    <w:keepNext w:val="0"/>
                    <w:keepLines w:val="0"/>
                    <w:widowControl/>
                    <w:suppressLineNumbers w:val="0"/>
                    <w:jc w:val="center"/>
                    <w:textAlignment w:val="center"/>
                    <w:rPr>
                      <w:rStyle w:val="42"/>
                      <w:rFonts w:hint="default" w:ascii="Times New Roman" w:hAnsi="Times New Roman" w:eastAsia="宋体" w:cs="Times New Roman"/>
                      <w:color w:val="auto"/>
                      <w:sz w:val="21"/>
                      <w:szCs w:val="21"/>
                      <w:lang w:val="en-US" w:eastAsia="zh-CN" w:bidi="ar"/>
                    </w:rPr>
                  </w:pPr>
                  <w:r>
                    <w:rPr>
                      <w:rStyle w:val="42"/>
                      <w:rFonts w:hint="default" w:ascii="Times New Roman" w:hAnsi="Times New Roman" w:eastAsia="宋体" w:cs="Times New Roman"/>
                      <w:color w:val="auto"/>
                      <w:sz w:val="21"/>
                      <w:szCs w:val="21"/>
                      <w:lang w:val="en-US" w:eastAsia="zh-CN" w:bidi="ar"/>
                    </w:rPr>
                    <w:t>34°6'35.495"</w:t>
                  </w:r>
                </w:p>
              </w:tc>
              <w:tc>
                <w:tcPr>
                  <w:tcW w:w="1154" w:type="dxa"/>
                  <w:vAlign w:val="center"/>
                </w:tcPr>
                <w:p>
                  <w:pPr>
                    <w:pStyle w:val="39"/>
                    <w:jc w:val="center"/>
                    <w:rPr>
                      <w:rFonts w:hint="default" w:ascii="Times New Roman" w:hAnsi="Times New Roman" w:eastAsia="宋体"/>
                      <w:color w:val="auto"/>
                      <w:szCs w:val="21"/>
                      <w:lang w:eastAsia="zh-CN"/>
                    </w:rPr>
                  </w:pPr>
                  <w:r>
                    <w:rPr>
                      <w:rFonts w:hint="eastAsia"/>
                      <w:color w:val="auto"/>
                      <w:szCs w:val="21"/>
                      <w:lang w:eastAsia="zh-CN"/>
                    </w:rPr>
                    <w:t>居住区、办公区</w:t>
                  </w:r>
                </w:p>
              </w:tc>
              <w:tc>
                <w:tcPr>
                  <w:tcW w:w="1155" w:type="dxa"/>
                  <w:vAlign w:val="center"/>
                </w:tcPr>
                <w:p>
                  <w:pPr>
                    <w:pStyle w:val="39"/>
                    <w:rPr>
                      <w:rFonts w:hint="default" w:ascii="Times New Roman" w:hAnsi="Times New Roman" w:eastAsia="宋体"/>
                      <w:color w:val="auto"/>
                      <w:szCs w:val="21"/>
                      <w:lang w:val="en-US" w:eastAsia="zh-CN"/>
                    </w:rPr>
                  </w:pPr>
                  <w:r>
                    <w:rPr>
                      <w:rFonts w:hint="eastAsia"/>
                      <w:color w:val="auto"/>
                      <w:szCs w:val="21"/>
                      <w:lang w:eastAsia="zh-CN"/>
                    </w:rPr>
                    <w:t>人群</w:t>
                  </w:r>
                </w:p>
              </w:tc>
              <w:tc>
                <w:tcPr>
                  <w:tcW w:w="1155" w:type="dxa"/>
                  <w:vAlign w:val="center"/>
                </w:tcPr>
                <w:p>
                  <w:pPr>
                    <w:pStyle w:val="39"/>
                    <w:rPr>
                      <w:rFonts w:hint="default" w:ascii="Times New Roman" w:hAnsi="Times New Roman" w:eastAsia="宋体"/>
                      <w:color w:val="auto"/>
                      <w:szCs w:val="21"/>
                      <w:lang w:eastAsia="zh-CN"/>
                    </w:rPr>
                  </w:pPr>
                  <w:r>
                    <w:rPr>
                      <w:rFonts w:hint="eastAsia"/>
                      <w:color w:val="auto"/>
                      <w:szCs w:val="21"/>
                      <w:lang w:eastAsia="zh-CN"/>
                    </w:rPr>
                    <w:t>二类环境功能区</w:t>
                  </w:r>
                </w:p>
              </w:tc>
              <w:tc>
                <w:tcPr>
                  <w:tcW w:w="1157" w:type="dxa"/>
                  <w:vAlign w:val="center"/>
                </w:tcPr>
                <w:p>
                  <w:pPr>
                    <w:pStyle w:val="39"/>
                    <w:rPr>
                      <w:rFonts w:hint="default" w:ascii="Times New Roman" w:hAnsi="Times New Roman" w:eastAsia="宋体"/>
                      <w:color w:val="auto"/>
                      <w:szCs w:val="21"/>
                      <w:lang w:val="en-US" w:eastAsia="zh-CN"/>
                    </w:rPr>
                  </w:pPr>
                  <w:r>
                    <w:rPr>
                      <w:rFonts w:hint="eastAsia" w:cs="Times New Roman"/>
                      <w:color w:val="auto"/>
                      <w:szCs w:val="21"/>
                      <w:lang w:val="en-US" w:eastAsia="zh-CN"/>
                    </w:rPr>
                    <w:t>NW</w:t>
                  </w:r>
                </w:p>
              </w:tc>
              <w:tc>
                <w:tcPr>
                  <w:tcW w:w="1160" w:type="dxa"/>
                  <w:vAlign w:val="center"/>
                </w:tcPr>
                <w:p>
                  <w:pPr>
                    <w:pStyle w:val="39"/>
                    <w:rPr>
                      <w:rFonts w:hint="default" w:ascii="Times New Roman" w:hAnsi="Times New Roman" w:eastAsia="宋体"/>
                      <w:color w:val="auto"/>
                      <w:szCs w:val="21"/>
                      <w:lang w:val="en-US" w:eastAsia="zh-CN"/>
                    </w:rPr>
                  </w:pPr>
                  <w:r>
                    <w:rPr>
                      <w:rFonts w:hint="default" w:ascii="Times New Roman" w:hAnsi="Times New Roman" w:cs="Times New Roman"/>
                      <w:color w:val="auto"/>
                      <w:szCs w:val="21"/>
                    </w:rPr>
                    <w:t>约</w:t>
                  </w:r>
                  <w:r>
                    <w:rPr>
                      <w:rFonts w:hint="eastAsia" w:cs="Times New Roman"/>
                      <w:color w:val="auto"/>
                      <w:szCs w:val="21"/>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Align w:val="center"/>
                </w:tcPr>
                <w:p>
                  <w:pPr>
                    <w:keepNext w:val="0"/>
                    <w:keepLines w:val="0"/>
                    <w:widowControl/>
                    <w:suppressLineNumbers w:val="0"/>
                    <w:jc w:val="center"/>
                    <w:textAlignment w:val="center"/>
                    <w:rPr>
                      <w:rStyle w:val="42"/>
                      <w:rFonts w:hint="default" w:ascii="Times New Roman" w:hAnsi="Times New Roman" w:eastAsia="宋体" w:cs="Times New Roman"/>
                      <w:color w:val="auto"/>
                      <w:sz w:val="21"/>
                      <w:szCs w:val="21"/>
                      <w:lang w:val="en-US" w:eastAsia="zh-CN" w:bidi="ar"/>
                    </w:rPr>
                  </w:pPr>
                  <w:r>
                    <w:rPr>
                      <w:rStyle w:val="42"/>
                      <w:rFonts w:hint="default" w:ascii="Times New Roman" w:hAnsi="Times New Roman" w:eastAsia="宋体" w:cs="Times New Roman"/>
                      <w:color w:val="auto"/>
                      <w:sz w:val="21"/>
                      <w:szCs w:val="21"/>
                      <w:lang w:val="en-US" w:eastAsia="zh-CN" w:bidi="ar"/>
                    </w:rPr>
                    <w:t>董店村</w:t>
                  </w:r>
                </w:p>
              </w:tc>
              <w:tc>
                <w:tcPr>
                  <w:tcW w:w="1253" w:type="dxa"/>
                  <w:vAlign w:val="center"/>
                </w:tcPr>
                <w:p>
                  <w:pPr>
                    <w:keepNext w:val="0"/>
                    <w:keepLines w:val="0"/>
                    <w:widowControl/>
                    <w:suppressLineNumbers w:val="0"/>
                    <w:jc w:val="center"/>
                    <w:textAlignment w:val="center"/>
                    <w:rPr>
                      <w:rStyle w:val="42"/>
                      <w:rFonts w:hint="default" w:ascii="Times New Roman" w:hAnsi="Times New Roman" w:eastAsia="宋体" w:cs="Times New Roman"/>
                      <w:color w:val="auto"/>
                      <w:sz w:val="21"/>
                      <w:szCs w:val="21"/>
                      <w:lang w:val="en-US" w:eastAsia="zh-CN" w:bidi="ar"/>
                    </w:rPr>
                  </w:pPr>
                  <w:r>
                    <w:rPr>
                      <w:rStyle w:val="42"/>
                      <w:rFonts w:hint="default" w:ascii="Times New Roman" w:hAnsi="Times New Roman" w:eastAsia="宋体" w:cs="Times New Roman"/>
                      <w:color w:val="auto"/>
                      <w:sz w:val="21"/>
                      <w:szCs w:val="21"/>
                      <w:lang w:val="en-US" w:eastAsia="zh-CN" w:bidi="ar"/>
                    </w:rPr>
                    <w:t>117°4'11.775"</w:t>
                  </w:r>
                </w:p>
              </w:tc>
              <w:tc>
                <w:tcPr>
                  <w:tcW w:w="1168" w:type="dxa"/>
                  <w:vAlign w:val="center"/>
                </w:tcPr>
                <w:p>
                  <w:pPr>
                    <w:keepNext w:val="0"/>
                    <w:keepLines w:val="0"/>
                    <w:widowControl/>
                    <w:suppressLineNumbers w:val="0"/>
                    <w:jc w:val="center"/>
                    <w:textAlignment w:val="center"/>
                    <w:rPr>
                      <w:rStyle w:val="42"/>
                      <w:rFonts w:hint="default" w:ascii="Times New Roman" w:hAnsi="Times New Roman" w:eastAsia="宋体" w:cs="Times New Roman"/>
                      <w:color w:val="auto"/>
                      <w:sz w:val="21"/>
                      <w:szCs w:val="21"/>
                      <w:lang w:val="en-US" w:eastAsia="zh-CN" w:bidi="ar"/>
                    </w:rPr>
                  </w:pPr>
                  <w:r>
                    <w:rPr>
                      <w:rStyle w:val="42"/>
                      <w:rFonts w:hint="default" w:ascii="Times New Roman" w:hAnsi="Times New Roman" w:eastAsia="宋体" w:cs="Times New Roman"/>
                      <w:color w:val="auto"/>
                      <w:sz w:val="21"/>
                      <w:szCs w:val="21"/>
                      <w:lang w:val="en-US" w:eastAsia="zh-CN" w:bidi="ar"/>
                    </w:rPr>
                    <w:t>34°6'7.248"</w:t>
                  </w:r>
                </w:p>
              </w:tc>
              <w:tc>
                <w:tcPr>
                  <w:tcW w:w="1154" w:type="dxa"/>
                  <w:vAlign w:val="center"/>
                </w:tcPr>
                <w:p>
                  <w:pPr>
                    <w:jc w:val="center"/>
                    <w:rPr>
                      <w:rFonts w:hint="eastAsia"/>
                      <w:color w:val="auto"/>
                      <w:szCs w:val="21"/>
                      <w:lang w:eastAsia="zh-CN"/>
                    </w:rPr>
                  </w:pPr>
                  <w:r>
                    <w:rPr>
                      <w:rFonts w:hint="eastAsia"/>
                      <w:color w:val="auto"/>
                      <w:szCs w:val="21"/>
                      <w:lang w:eastAsia="zh-CN"/>
                    </w:rPr>
                    <w:t>居住区</w:t>
                  </w:r>
                </w:p>
              </w:tc>
              <w:tc>
                <w:tcPr>
                  <w:tcW w:w="1155" w:type="dxa"/>
                  <w:vAlign w:val="center"/>
                </w:tcPr>
                <w:p>
                  <w:pPr>
                    <w:jc w:val="center"/>
                    <w:rPr>
                      <w:rFonts w:hint="eastAsia"/>
                      <w:color w:val="auto"/>
                      <w:szCs w:val="21"/>
                      <w:lang w:eastAsia="zh-CN"/>
                    </w:rPr>
                  </w:pPr>
                  <w:r>
                    <w:rPr>
                      <w:rFonts w:hint="eastAsia"/>
                      <w:color w:val="auto"/>
                      <w:szCs w:val="21"/>
                      <w:lang w:eastAsia="zh-CN"/>
                    </w:rPr>
                    <w:t>人群</w:t>
                  </w:r>
                </w:p>
              </w:tc>
              <w:tc>
                <w:tcPr>
                  <w:tcW w:w="1155" w:type="dxa"/>
                  <w:vAlign w:val="center"/>
                </w:tcPr>
                <w:p>
                  <w:pPr>
                    <w:jc w:val="center"/>
                    <w:rPr>
                      <w:rFonts w:hint="eastAsia"/>
                      <w:color w:val="auto"/>
                      <w:szCs w:val="21"/>
                      <w:lang w:eastAsia="zh-CN"/>
                    </w:rPr>
                  </w:pPr>
                  <w:r>
                    <w:rPr>
                      <w:rFonts w:hint="eastAsia"/>
                      <w:color w:val="auto"/>
                      <w:szCs w:val="21"/>
                      <w:lang w:eastAsia="zh-CN"/>
                    </w:rPr>
                    <w:t>二类环境功能区</w:t>
                  </w:r>
                </w:p>
              </w:tc>
              <w:tc>
                <w:tcPr>
                  <w:tcW w:w="1157" w:type="dxa"/>
                  <w:vAlign w:val="center"/>
                </w:tcPr>
                <w:p>
                  <w:pPr>
                    <w:pStyle w:val="39"/>
                    <w:rPr>
                      <w:rFonts w:hint="eastAsia" w:cs="Times New Roman"/>
                      <w:color w:val="auto"/>
                      <w:szCs w:val="21"/>
                      <w:lang w:val="en-US" w:eastAsia="zh-CN"/>
                    </w:rPr>
                  </w:pPr>
                  <w:r>
                    <w:rPr>
                      <w:rFonts w:hint="eastAsia" w:cs="Times New Roman"/>
                      <w:color w:val="auto"/>
                      <w:szCs w:val="21"/>
                      <w:lang w:val="en-US" w:eastAsia="zh-CN"/>
                    </w:rPr>
                    <w:t>SE</w:t>
                  </w:r>
                </w:p>
              </w:tc>
              <w:tc>
                <w:tcPr>
                  <w:tcW w:w="1160" w:type="dxa"/>
                  <w:vAlign w:val="center"/>
                </w:tcPr>
                <w:p>
                  <w:pPr>
                    <w:pStyle w:val="39"/>
                    <w:rPr>
                      <w:rFonts w:hint="default" w:ascii="Times New Roman" w:hAnsi="Times New Roman" w:cs="Times New Roman"/>
                      <w:color w:val="auto"/>
                      <w:szCs w:val="21"/>
                      <w:lang w:val="en-US"/>
                    </w:rPr>
                  </w:pPr>
                  <w:r>
                    <w:rPr>
                      <w:rFonts w:hint="eastAsia" w:cs="Times New Roman"/>
                      <w:color w:val="auto"/>
                      <w:szCs w:val="21"/>
                      <w:lang w:eastAsia="zh-CN"/>
                    </w:rPr>
                    <w:t>约</w:t>
                  </w:r>
                  <w:r>
                    <w:rPr>
                      <w:rFonts w:hint="eastAsia" w:cs="Times New Roman"/>
                      <w:color w:val="auto"/>
                      <w:szCs w:val="21"/>
                      <w:lang w:val="en-US" w:eastAsia="zh-CN"/>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Align w:val="center"/>
                </w:tcPr>
                <w:p>
                  <w:pPr>
                    <w:keepNext w:val="0"/>
                    <w:keepLines w:val="0"/>
                    <w:widowControl/>
                    <w:suppressLineNumbers w:val="0"/>
                    <w:jc w:val="center"/>
                    <w:textAlignment w:val="center"/>
                    <w:rPr>
                      <w:rStyle w:val="42"/>
                      <w:rFonts w:hint="default" w:ascii="Times New Roman" w:hAnsi="Times New Roman" w:eastAsia="宋体" w:cs="Times New Roman"/>
                      <w:color w:val="auto"/>
                      <w:sz w:val="21"/>
                      <w:szCs w:val="21"/>
                      <w:lang w:val="en-US" w:eastAsia="zh-CN" w:bidi="ar"/>
                    </w:rPr>
                  </w:pPr>
                  <w:r>
                    <w:rPr>
                      <w:rStyle w:val="42"/>
                      <w:rFonts w:hint="default" w:ascii="Times New Roman" w:hAnsi="Times New Roman" w:eastAsia="宋体" w:cs="Times New Roman"/>
                      <w:color w:val="auto"/>
                      <w:sz w:val="21"/>
                      <w:szCs w:val="21"/>
                      <w:lang w:val="en-US" w:eastAsia="zh-CN" w:bidi="ar"/>
                    </w:rPr>
                    <w:t>石窗户</w:t>
                  </w:r>
                </w:p>
              </w:tc>
              <w:tc>
                <w:tcPr>
                  <w:tcW w:w="1253" w:type="dxa"/>
                  <w:vAlign w:val="center"/>
                </w:tcPr>
                <w:p>
                  <w:pPr>
                    <w:keepNext w:val="0"/>
                    <w:keepLines w:val="0"/>
                    <w:widowControl/>
                    <w:suppressLineNumbers w:val="0"/>
                    <w:jc w:val="center"/>
                    <w:textAlignment w:val="center"/>
                    <w:rPr>
                      <w:rStyle w:val="42"/>
                      <w:rFonts w:hint="default" w:ascii="Times New Roman" w:hAnsi="Times New Roman" w:eastAsia="宋体" w:cs="Times New Roman"/>
                      <w:color w:val="auto"/>
                      <w:sz w:val="21"/>
                      <w:szCs w:val="21"/>
                      <w:lang w:val="en-US" w:eastAsia="zh-CN" w:bidi="ar"/>
                    </w:rPr>
                  </w:pPr>
                  <w:r>
                    <w:rPr>
                      <w:rStyle w:val="42"/>
                      <w:rFonts w:hint="default" w:ascii="Times New Roman" w:hAnsi="Times New Roman" w:eastAsia="宋体" w:cs="Times New Roman"/>
                      <w:color w:val="auto"/>
                      <w:sz w:val="21"/>
                      <w:szCs w:val="21"/>
                      <w:lang w:val="en-US" w:eastAsia="zh-CN" w:bidi="ar"/>
                    </w:rPr>
                    <w:t>117°4'16.497"</w:t>
                  </w:r>
                </w:p>
              </w:tc>
              <w:tc>
                <w:tcPr>
                  <w:tcW w:w="1168" w:type="dxa"/>
                  <w:vAlign w:val="center"/>
                </w:tcPr>
                <w:p>
                  <w:pPr>
                    <w:keepNext w:val="0"/>
                    <w:keepLines w:val="0"/>
                    <w:widowControl/>
                    <w:suppressLineNumbers w:val="0"/>
                    <w:jc w:val="center"/>
                    <w:textAlignment w:val="center"/>
                    <w:rPr>
                      <w:rStyle w:val="42"/>
                      <w:rFonts w:hint="default" w:ascii="Times New Roman" w:hAnsi="Times New Roman" w:eastAsia="宋体" w:cs="Times New Roman"/>
                      <w:color w:val="auto"/>
                      <w:sz w:val="21"/>
                      <w:szCs w:val="21"/>
                      <w:lang w:val="en-US" w:eastAsia="zh-CN" w:bidi="ar"/>
                    </w:rPr>
                  </w:pPr>
                  <w:r>
                    <w:rPr>
                      <w:rStyle w:val="42"/>
                      <w:rFonts w:hint="default" w:ascii="Times New Roman" w:hAnsi="Times New Roman" w:eastAsia="宋体" w:cs="Times New Roman"/>
                      <w:color w:val="auto"/>
                      <w:sz w:val="21"/>
                      <w:szCs w:val="21"/>
                      <w:lang w:val="en-US" w:eastAsia="zh-CN" w:bidi="ar"/>
                    </w:rPr>
                    <w:t>34°6'12.952"</w:t>
                  </w:r>
                </w:p>
              </w:tc>
              <w:tc>
                <w:tcPr>
                  <w:tcW w:w="1154" w:type="dxa"/>
                  <w:vAlign w:val="center"/>
                </w:tcPr>
                <w:p>
                  <w:pPr>
                    <w:jc w:val="center"/>
                    <w:rPr>
                      <w:rFonts w:hint="eastAsia"/>
                      <w:color w:val="auto"/>
                      <w:szCs w:val="21"/>
                      <w:lang w:eastAsia="zh-CN"/>
                    </w:rPr>
                  </w:pPr>
                  <w:r>
                    <w:rPr>
                      <w:rFonts w:hint="eastAsia"/>
                      <w:color w:val="auto"/>
                      <w:szCs w:val="21"/>
                      <w:lang w:eastAsia="zh-CN"/>
                    </w:rPr>
                    <w:t>居住区</w:t>
                  </w:r>
                </w:p>
              </w:tc>
              <w:tc>
                <w:tcPr>
                  <w:tcW w:w="1155" w:type="dxa"/>
                  <w:vAlign w:val="center"/>
                </w:tcPr>
                <w:p>
                  <w:pPr>
                    <w:jc w:val="center"/>
                    <w:rPr>
                      <w:rFonts w:hint="eastAsia"/>
                      <w:color w:val="auto"/>
                      <w:szCs w:val="21"/>
                      <w:lang w:eastAsia="zh-CN"/>
                    </w:rPr>
                  </w:pPr>
                  <w:r>
                    <w:rPr>
                      <w:rFonts w:hint="eastAsia"/>
                      <w:color w:val="auto"/>
                      <w:szCs w:val="21"/>
                      <w:lang w:eastAsia="zh-CN"/>
                    </w:rPr>
                    <w:t>人群</w:t>
                  </w:r>
                </w:p>
              </w:tc>
              <w:tc>
                <w:tcPr>
                  <w:tcW w:w="1155" w:type="dxa"/>
                  <w:vAlign w:val="center"/>
                </w:tcPr>
                <w:p>
                  <w:pPr>
                    <w:jc w:val="center"/>
                    <w:rPr>
                      <w:rFonts w:hint="eastAsia"/>
                      <w:color w:val="auto"/>
                      <w:szCs w:val="21"/>
                      <w:lang w:eastAsia="zh-CN"/>
                    </w:rPr>
                  </w:pPr>
                  <w:r>
                    <w:rPr>
                      <w:rFonts w:hint="eastAsia"/>
                      <w:color w:val="auto"/>
                      <w:szCs w:val="21"/>
                      <w:lang w:eastAsia="zh-CN"/>
                    </w:rPr>
                    <w:t>二类环境功能区</w:t>
                  </w:r>
                </w:p>
              </w:tc>
              <w:tc>
                <w:tcPr>
                  <w:tcW w:w="1157" w:type="dxa"/>
                  <w:vAlign w:val="center"/>
                </w:tcPr>
                <w:p>
                  <w:pPr>
                    <w:pStyle w:val="39"/>
                    <w:rPr>
                      <w:rFonts w:hint="default" w:cs="Times New Roman"/>
                      <w:color w:val="auto"/>
                      <w:szCs w:val="21"/>
                      <w:lang w:val="en-US" w:eastAsia="zh-CN"/>
                    </w:rPr>
                  </w:pPr>
                  <w:r>
                    <w:rPr>
                      <w:rFonts w:hint="eastAsia" w:cs="Times New Roman"/>
                      <w:color w:val="auto"/>
                      <w:szCs w:val="21"/>
                      <w:lang w:val="en-US" w:eastAsia="zh-CN"/>
                    </w:rPr>
                    <w:t>SE</w:t>
                  </w:r>
                </w:p>
              </w:tc>
              <w:tc>
                <w:tcPr>
                  <w:tcW w:w="1160" w:type="dxa"/>
                  <w:vAlign w:val="center"/>
                </w:tcPr>
                <w:p>
                  <w:pPr>
                    <w:pStyle w:val="39"/>
                    <w:rPr>
                      <w:rFonts w:hint="default" w:ascii="Times New Roman" w:hAnsi="Times New Roman" w:eastAsia="宋体" w:cs="Times New Roman"/>
                      <w:color w:val="auto"/>
                      <w:szCs w:val="21"/>
                      <w:lang w:val="en-US" w:eastAsia="zh-CN"/>
                    </w:rPr>
                  </w:pPr>
                  <w:r>
                    <w:rPr>
                      <w:rFonts w:hint="eastAsia" w:cs="Times New Roman"/>
                      <w:color w:val="auto"/>
                      <w:szCs w:val="21"/>
                      <w:lang w:eastAsia="zh-CN"/>
                    </w:rPr>
                    <w:t>约</w:t>
                  </w:r>
                  <w:r>
                    <w:rPr>
                      <w:rFonts w:hint="eastAsia" w:cs="Times New Roman"/>
                      <w:color w:val="auto"/>
                      <w:szCs w:val="21"/>
                      <w:lang w:val="en-US" w:eastAsia="zh-CN"/>
                    </w:rPr>
                    <w:t>570</w:t>
                  </w:r>
                </w:p>
              </w:tc>
            </w:tr>
          </w:tbl>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建设项目环境保护目标分布示意图</w:t>
            </w:r>
            <w:r>
              <w:rPr>
                <w:rFonts w:hint="eastAsia" w:ascii="Times New Roman" w:hAnsi="Times New Roman" w:cs="Times New Roman"/>
                <w:b w:val="0"/>
                <w:bCs w:val="0"/>
                <w:color w:val="auto"/>
                <w:sz w:val="24"/>
                <w:szCs w:val="24"/>
                <w:lang w:val="en-US" w:eastAsia="zh-CN"/>
              </w:rPr>
              <w:t>见</w:t>
            </w:r>
            <w:r>
              <w:rPr>
                <w:rFonts w:hint="default" w:ascii="Times New Roman" w:hAnsi="Times New Roman" w:cs="Times New Roman"/>
                <w:b w:val="0"/>
                <w:bCs w:val="0"/>
                <w:color w:val="auto"/>
                <w:sz w:val="24"/>
                <w:szCs w:val="24"/>
              </w:rPr>
              <w:t>附图</w:t>
            </w:r>
            <w:r>
              <w:rPr>
                <w:rFonts w:hint="eastAsia" w:ascii="Times New Roman" w:hAnsi="Times New Roman" w:cs="Times New Roman"/>
                <w:b w:val="0"/>
                <w:bCs w:val="0"/>
                <w:color w:val="auto"/>
                <w:sz w:val="24"/>
                <w:szCs w:val="24"/>
                <w:lang w:val="en-US" w:eastAsia="zh-CN"/>
              </w:rPr>
              <w:t>15</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 xml:space="preserve"> </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2.声环境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建设项目</w:t>
            </w:r>
            <w:r>
              <w:rPr>
                <w:rFonts w:hint="default" w:ascii="Times New Roman" w:hAnsi="Times New Roman" w:cs="Times New Roman"/>
                <w:color w:val="auto"/>
                <w:sz w:val="24"/>
                <w:szCs w:val="24"/>
              </w:rPr>
              <w:t>厂界外50米范围内</w:t>
            </w:r>
            <w:r>
              <w:rPr>
                <w:rFonts w:hint="eastAsia" w:ascii="Times New Roman" w:hAnsi="Times New Roman" w:cs="Times New Roman"/>
                <w:color w:val="auto"/>
                <w:sz w:val="24"/>
                <w:szCs w:val="24"/>
                <w:lang w:eastAsia="zh-CN"/>
              </w:rPr>
              <w:t>无</w:t>
            </w:r>
            <w:r>
              <w:rPr>
                <w:rFonts w:hint="default" w:ascii="Times New Roman" w:hAnsi="Times New Roman" w:cs="Times New Roman"/>
                <w:color w:val="auto"/>
                <w:sz w:val="24"/>
                <w:szCs w:val="24"/>
              </w:rPr>
              <w:t>声环境保护目标。</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3.地下水环境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建设项目</w:t>
            </w:r>
            <w:r>
              <w:rPr>
                <w:rFonts w:hint="default" w:ascii="Times New Roman" w:hAnsi="Times New Roman" w:cs="Times New Roman"/>
                <w:color w:val="auto"/>
                <w:sz w:val="24"/>
                <w:szCs w:val="24"/>
              </w:rPr>
              <w:t>厂界外500米范围内</w:t>
            </w:r>
            <w:r>
              <w:rPr>
                <w:rFonts w:hint="default" w:ascii="Times New Roman" w:hAnsi="Times New Roman" w:cs="Times New Roman"/>
                <w:color w:val="auto"/>
                <w:sz w:val="24"/>
                <w:szCs w:val="24"/>
                <w:lang w:val="en-US" w:eastAsia="zh-CN"/>
              </w:rPr>
              <w:t>无</w:t>
            </w:r>
            <w:r>
              <w:rPr>
                <w:rFonts w:hint="default" w:ascii="Times New Roman" w:hAnsi="Times New Roman" w:cs="Times New Roman"/>
                <w:color w:val="auto"/>
                <w:sz w:val="24"/>
                <w:szCs w:val="24"/>
              </w:rPr>
              <w:t>地下水集中式饮用水水源和热水、矿泉水、温泉等特殊地下水资源。</w:t>
            </w:r>
          </w:p>
          <w:p>
            <w:pPr>
              <w:pStyle w:val="35"/>
              <w:rPr>
                <w:rFonts w:hint="eastAsia" w:eastAsiaTheme="minorEastAsia"/>
                <w:b/>
                <w:bCs/>
                <w:color w:val="auto"/>
                <w:lang w:val="en-US" w:eastAsia="zh-CN"/>
              </w:rPr>
            </w:pPr>
            <w:r>
              <w:rPr>
                <w:rFonts w:hint="eastAsia" w:ascii="Times New Roman" w:hAnsi="Times New Roman" w:cs="Times New Roman"/>
                <w:b/>
                <w:bCs/>
                <w:color w:val="auto"/>
                <w:sz w:val="24"/>
                <w:szCs w:val="24"/>
                <w:lang w:val="en-US" w:eastAsia="zh-CN"/>
              </w:rPr>
              <w:t>4、生态环境</w:t>
            </w:r>
          </w:p>
          <w:p>
            <w:pPr>
              <w:pStyle w:val="32"/>
              <w:rPr>
                <w:rFonts w:hint="eastAsia" w:ascii="Times New Roman" w:hAnsi="Times New Roman" w:cs="Times New Roman"/>
                <w:color w:val="auto"/>
                <w:sz w:val="24"/>
                <w:szCs w:val="24"/>
                <w:lang w:val="en-US" w:eastAsia="zh-CN"/>
              </w:rPr>
            </w:pPr>
            <w:r>
              <w:rPr>
                <w:rFonts w:hint="eastAsia"/>
                <w:color w:val="auto"/>
                <w:lang w:eastAsia="zh-CN"/>
              </w:rPr>
              <w:t>本项目建设地点位于</w:t>
            </w:r>
            <w:r>
              <w:rPr>
                <w:rFonts w:hint="eastAsia" w:ascii="Times New Roman" w:hAnsi="Times New Roman" w:cs="Times New Roman"/>
                <w:color w:val="auto"/>
                <w:sz w:val="24"/>
                <w:szCs w:val="24"/>
                <w:vertAlign w:val="baseline"/>
                <w:lang w:val="en-US" w:eastAsia="zh-CN"/>
              </w:rPr>
              <w:t>安徽萧县经济开发区白土镇智能制造产业园</w:t>
            </w:r>
            <w:r>
              <w:rPr>
                <w:rFonts w:hint="eastAsia"/>
                <w:color w:val="auto"/>
                <w:lang w:eastAsia="zh-CN"/>
              </w:rPr>
              <w:t>内，不属于</w:t>
            </w:r>
            <w:r>
              <w:rPr>
                <w:rFonts w:hint="eastAsia" w:ascii="Times New Roman" w:hAnsi="Times New Roman" w:cs="Times New Roman"/>
                <w:color w:val="auto"/>
                <w:sz w:val="24"/>
                <w:szCs w:val="24"/>
                <w:lang w:val="en-US" w:eastAsia="zh-CN"/>
              </w:rPr>
              <w:t>《建设项目环境影响报告表编制技术指南（污染影响类）》：“产业园区外建设项目新增用地且用地范围内含有生态环境保护目标时，应进行生态现状调查。”因此，本项目可不开展生态现状调查。</w:t>
            </w:r>
          </w:p>
          <w:p>
            <w:pPr>
              <w:pStyle w:val="32"/>
              <w:rPr>
                <w:rFonts w:hint="eastAsia" w:ascii="Times New Roman" w:hAnsi="Times New Roman" w:cs="Times New Roman"/>
                <w:color w:val="auto"/>
                <w:sz w:val="24"/>
                <w:szCs w:val="24"/>
                <w:lang w:val="en-US" w:eastAsia="zh-CN"/>
              </w:rPr>
            </w:pPr>
          </w:p>
          <w:p>
            <w:pPr>
              <w:pStyle w:val="32"/>
              <w:rPr>
                <w:rFonts w:hint="eastAsia" w:ascii="Times New Roman" w:hAnsi="Times New Roman" w:cs="Times New Roman"/>
                <w:color w:val="auto"/>
                <w:sz w:val="24"/>
                <w:szCs w:val="24"/>
                <w:lang w:val="en-US" w:eastAsia="zh-CN"/>
              </w:rPr>
            </w:pPr>
          </w:p>
          <w:p>
            <w:pPr>
              <w:pStyle w:val="32"/>
              <w:rPr>
                <w:rFonts w:hint="eastAsia" w:ascii="Times New Roman" w:hAnsi="Times New Roman" w:cs="Times New Roman"/>
                <w:color w:val="auto"/>
                <w:sz w:val="24"/>
                <w:szCs w:val="24"/>
                <w:lang w:val="en-US" w:eastAsia="zh-CN"/>
              </w:rPr>
            </w:pPr>
          </w:p>
          <w:p>
            <w:pPr>
              <w:pStyle w:val="32"/>
              <w:rPr>
                <w:rFonts w:hint="eastAsia" w:ascii="Times New Roman" w:hAnsi="Times New Roman" w:cs="Times New Roman"/>
                <w:color w:val="auto"/>
                <w:sz w:val="24"/>
                <w:szCs w:val="24"/>
                <w:lang w:val="en-US" w:eastAsia="zh-CN"/>
              </w:rPr>
            </w:pPr>
          </w:p>
          <w:p>
            <w:pPr>
              <w:pStyle w:val="32"/>
              <w:rPr>
                <w:rFonts w:hint="eastAsia" w:ascii="Times New Roman" w:hAnsi="Times New Roman" w:cs="Times New Roman"/>
                <w:color w:val="auto"/>
                <w:sz w:val="24"/>
                <w:szCs w:val="24"/>
                <w:lang w:val="en-US" w:eastAsia="zh-CN"/>
              </w:rPr>
            </w:pPr>
          </w:p>
          <w:p>
            <w:pPr>
              <w:pStyle w:val="32"/>
              <w:rPr>
                <w:rFonts w:hint="eastAsia" w:ascii="Times New Roman" w:hAnsi="Times New Roman" w:cs="Times New Roman"/>
                <w:color w:val="auto"/>
                <w:sz w:val="24"/>
                <w:szCs w:val="24"/>
                <w:lang w:val="en-US" w:eastAsia="zh-CN"/>
              </w:rPr>
            </w:pPr>
          </w:p>
          <w:p>
            <w:pPr>
              <w:pStyle w:val="32"/>
              <w:rPr>
                <w:rFonts w:hint="eastAsia" w:ascii="Times New Roman" w:hAnsi="Times New Roman" w:cs="Times New Roman"/>
                <w:color w:val="auto"/>
                <w:sz w:val="24"/>
                <w:szCs w:val="24"/>
                <w:lang w:val="en-US" w:eastAsia="zh-CN"/>
              </w:rPr>
            </w:pPr>
          </w:p>
          <w:p>
            <w:pPr>
              <w:pStyle w:val="32"/>
              <w:ind w:left="0" w:leftChars="0" w:firstLine="0" w:firstLineChars="0"/>
              <w:rPr>
                <w:rFonts w:hint="eastAsia" w:ascii="Times New Roman" w:hAnsi="Times New Roman"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jc w:val="center"/>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污染物排放控制标准</w:t>
            </w:r>
          </w:p>
        </w:tc>
        <w:tc>
          <w:tcPr>
            <w:tcW w:w="8637" w:type="dxa"/>
            <w:vAlign w:val="center"/>
          </w:tcPr>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1、废水排放标准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项目排水实行雨污分流制，雨水经厂区雨水管网收集后排入</w:t>
            </w:r>
            <w:r>
              <w:rPr>
                <w:rFonts w:hint="eastAsia" w:ascii="Times New Roman" w:hAnsi="Times New Roman" w:cs="Times New Roman"/>
                <w:color w:val="auto"/>
                <w:sz w:val="24"/>
                <w:szCs w:val="24"/>
                <w:vertAlign w:val="baseline"/>
                <w:lang w:val="en-US" w:eastAsia="zh-CN"/>
              </w:rPr>
              <w:t>安徽萧县经济开发区白土镇智能制造产业园</w:t>
            </w:r>
            <w:r>
              <w:rPr>
                <w:rFonts w:hint="default" w:ascii="Times New Roman" w:hAnsi="Times New Roman" w:cs="Times New Roman"/>
                <w:color w:val="auto"/>
                <w:sz w:val="24"/>
                <w:szCs w:val="24"/>
              </w:rPr>
              <w:t>市政雨水管网。</w:t>
            </w:r>
            <w:r>
              <w:rPr>
                <w:rFonts w:hint="default" w:ascii="Times New Roman" w:hAnsi="Times New Roman" w:cs="Times New Roman"/>
                <w:color w:val="auto"/>
                <w:sz w:val="24"/>
                <w:szCs w:val="24"/>
                <w:lang w:eastAsia="zh-CN"/>
              </w:rPr>
              <w:t>项目</w:t>
            </w:r>
            <w:r>
              <w:rPr>
                <w:rFonts w:hint="eastAsia" w:ascii="Times New Roman" w:hAnsi="Times New Roman" w:cs="Times New Roman"/>
                <w:color w:val="auto"/>
                <w:sz w:val="24"/>
                <w:szCs w:val="24"/>
                <w:lang w:eastAsia="zh-CN"/>
              </w:rPr>
              <w:t>运营期无生产性废水产生及排放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生活污水经厂区</w:t>
            </w:r>
            <w:r>
              <w:rPr>
                <w:rFonts w:hint="default" w:ascii="Times New Roman" w:hAnsi="Times New Roman" w:cs="Times New Roman"/>
                <w:color w:val="auto"/>
                <w:sz w:val="24"/>
                <w:szCs w:val="24"/>
                <w:lang w:eastAsia="zh-CN"/>
              </w:rPr>
              <w:t>自建</w:t>
            </w:r>
            <w:r>
              <w:rPr>
                <w:rFonts w:hint="eastAsia" w:ascii="Times New Roman" w:hAnsi="Times New Roman" w:cs="Times New Roman"/>
                <w:color w:val="auto"/>
                <w:sz w:val="24"/>
                <w:szCs w:val="24"/>
                <w:lang w:eastAsia="zh-CN"/>
              </w:rPr>
              <w:t>“隔油池</w:t>
            </w:r>
            <w:r>
              <w:rPr>
                <w:rFonts w:hint="eastAsia" w:ascii="Times New Roman" w:hAnsi="Times New Roman" w:cs="Times New Roman"/>
                <w:color w:val="auto"/>
                <w:sz w:val="24"/>
                <w:szCs w:val="24"/>
                <w:lang w:val="en-US" w:eastAsia="zh-CN"/>
              </w:rPr>
              <w:t>+化粪池</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预</w:t>
            </w:r>
            <w:r>
              <w:rPr>
                <w:rFonts w:hint="default" w:ascii="Times New Roman" w:hAnsi="Times New Roman" w:cs="Times New Roman"/>
                <w:color w:val="auto"/>
                <w:sz w:val="24"/>
                <w:szCs w:val="24"/>
              </w:rPr>
              <w:t>处理达《污水综合排放标准》（GB8978-1996）表4中三级标准及</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rPr>
              <w:t>接管</w:t>
            </w:r>
            <w:r>
              <w:rPr>
                <w:rFonts w:hint="eastAsia" w:ascii="Times New Roman" w:hAnsi="Times New Roman" w:cs="Times New Roman"/>
                <w:color w:val="auto"/>
                <w:sz w:val="24"/>
                <w:szCs w:val="24"/>
                <w:lang w:eastAsia="zh-CN"/>
              </w:rPr>
              <w:t>限值后</w:t>
            </w:r>
            <w:r>
              <w:rPr>
                <w:rFonts w:hint="default" w:ascii="Times New Roman" w:hAnsi="Times New Roman" w:cs="Times New Roman"/>
                <w:color w:val="auto"/>
                <w:sz w:val="24"/>
                <w:szCs w:val="24"/>
              </w:rPr>
              <w:t>排入</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rPr>
              <w:t>处理达《城镇污水处理厂污染物排放标准》（GB18918-2002）表1中一级</w:t>
            </w:r>
            <w:r>
              <w:rPr>
                <w:rFonts w:hint="default" w:ascii="Times New Roman" w:hAnsi="Times New Roman" w:cs="Times New Roman"/>
                <w:color w:val="auto"/>
                <w:sz w:val="24"/>
                <w:szCs w:val="24"/>
                <w:lang w:eastAsia="zh-CN"/>
              </w:rPr>
              <w:t>标准</w:t>
            </w:r>
            <w:r>
              <w:rPr>
                <w:rFonts w:hint="default" w:ascii="Times New Roman" w:hAnsi="Times New Roman" w:cs="Times New Roman"/>
                <w:color w:val="auto"/>
                <w:sz w:val="24"/>
                <w:szCs w:val="24"/>
              </w:rPr>
              <w:t>A标准后排入</w:t>
            </w:r>
            <w:r>
              <w:rPr>
                <w:rFonts w:hint="eastAsia" w:ascii="Times New Roman" w:hAnsi="Times New Roman" w:cs="Times New Roman"/>
                <w:color w:val="auto"/>
                <w:sz w:val="24"/>
                <w:szCs w:val="24"/>
                <w:lang w:eastAsia="zh-CN"/>
              </w:rPr>
              <w:t>倒流河</w:t>
            </w:r>
            <w:r>
              <w:rPr>
                <w:rFonts w:hint="default" w:ascii="Times New Roman" w:hAnsi="Times New Roman" w:cs="Times New Roman"/>
                <w:color w:val="auto"/>
                <w:sz w:val="24"/>
                <w:szCs w:val="24"/>
              </w:rPr>
              <w:t>。相关标准限值见表</w:t>
            </w:r>
            <w:r>
              <w:rPr>
                <w:rFonts w:hint="default" w:ascii="Times New Roman" w:hAnsi="Times New Roman" w:cs="Times New Roman"/>
                <w:color w:val="auto"/>
                <w:sz w:val="24"/>
                <w:szCs w:val="24"/>
                <w:lang w:val="en-US" w:eastAsia="zh-CN"/>
              </w:rPr>
              <w:t>3.1</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w:t>
            </w:r>
          </w:p>
          <w:p>
            <w:pPr>
              <w:ind w:firstLine="472" w:firstLineChars="196"/>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3.1</w:t>
            </w:r>
            <w:r>
              <w:rPr>
                <w:rFonts w:hint="eastAsia" w:ascii="Times New Roman" w:hAnsi="Times New Roman" w:cs="Times New Roman"/>
                <w:b/>
                <w:bCs/>
                <w:color w:val="auto"/>
                <w:sz w:val="24"/>
                <w:szCs w:val="24"/>
                <w:lang w:val="en-US" w:eastAsia="zh-CN"/>
              </w:rPr>
              <w:t>0</w:t>
            </w:r>
            <w:r>
              <w:rPr>
                <w:rFonts w:hint="default" w:ascii="Times New Roman" w:hAnsi="Times New Roman" w:cs="Times New Roman"/>
                <w:b/>
                <w:bCs/>
                <w:color w:val="auto"/>
                <w:sz w:val="24"/>
                <w:szCs w:val="24"/>
              </w:rPr>
              <w:t xml:space="preserve">  废水排放标准 单位：mg/L，pH无量纲</w:t>
            </w:r>
          </w:p>
          <w:tbl>
            <w:tblPr>
              <w:tblStyle w:val="24"/>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1"/>
              <w:gridCol w:w="964"/>
              <w:gridCol w:w="982"/>
              <w:gridCol w:w="965"/>
              <w:gridCol w:w="1018"/>
              <w:gridCol w:w="9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1"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c>
                <w:tcPr>
                  <w:tcW w:w="96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982"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96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018"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99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990" w:type="dxa"/>
                  <w:noWrap w:val="0"/>
                  <w:vAlign w:val="center"/>
                </w:tcPr>
                <w:p>
                  <w:pPr>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1"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（GB8978-1996）表4中三级标准</w:t>
                  </w:r>
                </w:p>
              </w:tc>
              <w:tc>
                <w:tcPr>
                  <w:tcW w:w="96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982"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96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1018" w:type="dxa"/>
                  <w:noWrap w:val="0"/>
                  <w:vAlign w:val="center"/>
                </w:tcPr>
                <w:p>
                  <w:pPr>
                    <w:jc w:val="center"/>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w:t>
                  </w:r>
                </w:p>
              </w:tc>
              <w:tc>
                <w:tcPr>
                  <w:tcW w:w="99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990" w:type="dxa"/>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1" w:type="dxa"/>
                  <w:noWrap w:val="0"/>
                  <w:vAlign w:val="center"/>
                </w:tcPr>
                <w:p>
                  <w:pPr>
                    <w:jc w:val="center"/>
                    <w:rPr>
                      <w:rFonts w:hint="default" w:ascii="Times New Roman" w:hAnsi="Times New Roman" w:cs="Times New Roman"/>
                      <w:color w:val="auto"/>
                      <w:sz w:val="21"/>
                      <w:szCs w:val="21"/>
                      <w:lang w:eastAsia="zh-CN"/>
                    </w:rPr>
                  </w:pPr>
                  <w:r>
                    <w:rPr>
                      <w:rFonts w:hint="eastAsia" w:ascii="宋体" w:hAnsi="宋体" w:eastAsia="宋体" w:cs="宋体"/>
                      <w:color w:val="auto"/>
                      <w:sz w:val="21"/>
                      <w:szCs w:val="21"/>
                      <w:lang w:val="en-US" w:eastAsia="zh-CN"/>
                    </w:rPr>
                    <w:t>萧县清源污水处理有限公司</w:t>
                  </w:r>
                  <w:r>
                    <w:rPr>
                      <w:rFonts w:hint="default" w:ascii="Times New Roman" w:hAnsi="Times New Roman" w:cs="Times New Roman"/>
                      <w:color w:val="auto"/>
                      <w:sz w:val="21"/>
                      <w:szCs w:val="21"/>
                      <w:lang w:eastAsia="zh-CN"/>
                    </w:rPr>
                    <w:t>接管</w:t>
                  </w:r>
                  <w:r>
                    <w:rPr>
                      <w:rFonts w:hint="eastAsia" w:ascii="Times New Roman" w:hAnsi="Times New Roman" w:cs="Times New Roman"/>
                      <w:color w:val="auto"/>
                      <w:sz w:val="21"/>
                      <w:szCs w:val="21"/>
                      <w:lang w:eastAsia="zh-CN"/>
                    </w:rPr>
                    <w:t>限值</w:t>
                  </w:r>
                </w:p>
              </w:tc>
              <w:tc>
                <w:tcPr>
                  <w:tcW w:w="96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982"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c>
                <w:tcPr>
                  <w:tcW w:w="965"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w:t>
                  </w:r>
                </w:p>
              </w:tc>
              <w:tc>
                <w:tcPr>
                  <w:tcW w:w="1018"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990"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990" w:type="dxa"/>
                  <w:noWrap w:val="0"/>
                  <w:vAlign w:val="center"/>
                </w:tcPr>
                <w:p>
                  <w:pPr>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1"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（GB18918-2002）表1中一级A标准</w:t>
                  </w:r>
                </w:p>
              </w:tc>
              <w:tc>
                <w:tcPr>
                  <w:tcW w:w="96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982"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96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018"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99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990" w:type="dxa"/>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1" w:type="dxa"/>
                  <w:shd w:val="clear" w:color="auto" w:fill="A4A4A4" w:themeFill="background1" w:themeFillShade="A5"/>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本项目执行</w:t>
                  </w:r>
                  <w:r>
                    <w:rPr>
                      <w:rFonts w:hint="eastAsia" w:ascii="Times New Roman" w:hAnsi="Times New Roman" w:cs="Times New Roman"/>
                      <w:color w:val="auto"/>
                      <w:sz w:val="21"/>
                      <w:szCs w:val="21"/>
                      <w:lang w:eastAsia="zh-CN"/>
                    </w:rPr>
                    <w:t>限值</w:t>
                  </w:r>
                </w:p>
              </w:tc>
              <w:tc>
                <w:tcPr>
                  <w:tcW w:w="964" w:type="dxa"/>
                  <w:shd w:val="clear" w:color="auto" w:fill="A4A4A4" w:themeFill="background1" w:themeFillShade="A5"/>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982" w:type="dxa"/>
                  <w:shd w:val="clear" w:color="auto" w:fill="A4A4A4" w:themeFill="background1" w:themeFillShade="A5"/>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c>
                <w:tcPr>
                  <w:tcW w:w="965" w:type="dxa"/>
                  <w:shd w:val="clear" w:color="auto" w:fill="A4A4A4" w:themeFill="background1" w:themeFillShade="A5"/>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w:t>
                  </w:r>
                </w:p>
              </w:tc>
              <w:tc>
                <w:tcPr>
                  <w:tcW w:w="1018" w:type="dxa"/>
                  <w:shd w:val="clear" w:color="auto" w:fill="A4A4A4" w:themeFill="background1" w:themeFillShade="A5"/>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990" w:type="dxa"/>
                  <w:shd w:val="clear" w:color="auto" w:fill="A4A4A4" w:themeFill="background1" w:themeFillShade="A5"/>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990" w:type="dxa"/>
                  <w:shd w:val="clear" w:color="auto" w:fill="A4A4A4" w:themeFill="background1" w:themeFillShade="A5"/>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r>
          </w:tbl>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2、大气污染物排放标准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lang w:val="en-US" w:eastAsia="zh-CN"/>
              </w:rPr>
            </w:pPr>
            <w:r>
              <w:rPr>
                <w:rFonts w:hint="eastAsia" w:ascii="宋体" w:hAnsi="宋体" w:eastAsia="宋体" w:cs="宋体"/>
                <w:color w:val="auto"/>
                <w:sz w:val="24"/>
                <w:szCs w:val="24"/>
                <w:lang w:eastAsia="zh-CN"/>
              </w:rPr>
              <w:t>天然气燃烧机废气污染物</w:t>
            </w:r>
            <w:r>
              <w:rPr>
                <w:rFonts w:hint="eastAsia" w:ascii="Times New Roman" w:hAnsi="Times New Roman" w:eastAsia="宋体" w:cs="Times New Roman"/>
                <w:color w:val="auto"/>
                <w:sz w:val="24"/>
                <w:szCs w:val="24"/>
                <w:lang w:eastAsia="zh-CN"/>
              </w:rPr>
              <w:t>二氧化硫</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氮氧化物</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颗粒物</w:t>
            </w:r>
            <w:r>
              <w:rPr>
                <w:rFonts w:hint="default" w:ascii="Times New Roman" w:hAnsi="Times New Roman" w:cs="Times New Roman"/>
                <w:color w:val="auto"/>
                <w:sz w:val="24"/>
                <w:szCs w:val="24"/>
                <w:lang w:eastAsia="zh-CN"/>
              </w:rPr>
              <w:t>执行《工业炉窑大气污染物综合治理方案》（环大气【</w:t>
            </w:r>
            <w:r>
              <w:rPr>
                <w:rFonts w:hint="default" w:ascii="Times New Roman" w:hAnsi="Times New Roman" w:cs="Times New Roman"/>
                <w:color w:val="auto"/>
                <w:sz w:val="24"/>
                <w:szCs w:val="24"/>
                <w:lang w:val="en-US" w:eastAsia="zh-CN"/>
              </w:rPr>
              <w:t>2019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56号</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中</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颗粒物：30mg/m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，氮氧化物：300mg/m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，二氧化硫：200mg/m</w:t>
            </w:r>
            <w:r>
              <w:rPr>
                <w:rFonts w:hint="default" w:ascii="Times New Roman" w:hAnsi="Times New Roman" w:cs="Times New Roman"/>
                <w:color w:val="auto"/>
                <w:sz w:val="24"/>
                <w:szCs w:val="24"/>
                <w:vertAlign w:val="superscript"/>
                <w:lang w:val="en-US" w:eastAsia="zh-CN"/>
              </w:rPr>
              <w:t>3</w:t>
            </w:r>
            <w:r>
              <w:rPr>
                <w:rFonts w:hint="eastAsia" w:cs="Times New Roman"/>
                <w:color w:val="auto"/>
                <w:sz w:val="24"/>
                <w:szCs w:val="24"/>
                <w:lang w:val="en-US" w:eastAsia="zh-CN"/>
              </w:rPr>
              <w:t>]限值</w:t>
            </w:r>
            <w:r>
              <w:rPr>
                <w:rFonts w:hint="eastAsia" w:ascii="Times New Roman" w:hAnsi="Times New Roman" w:cs="Times New Roman"/>
                <w:color w:val="auto"/>
                <w:sz w:val="24"/>
                <w:szCs w:val="24"/>
                <w:lang w:eastAsia="zh-CN"/>
              </w:rPr>
              <w:t>，相关标准限值见表</w:t>
            </w:r>
            <w:r>
              <w:rPr>
                <w:rFonts w:hint="eastAsia" w:ascii="Times New Roman" w:hAnsi="Times New Roman" w:cs="Times New Roman"/>
                <w:color w:val="auto"/>
                <w:sz w:val="24"/>
                <w:szCs w:val="24"/>
                <w:lang w:val="en-US" w:eastAsia="zh-CN"/>
              </w:rPr>
              <w:t>3.11；激光切割、焊接、抛丸、喷粉、固化及木材下料工序排放的颗粒物和非甲烷总烃</w:t>
            </w:r>
            <w:r>
              <w:rPr>
                <w:rFonts w:hint="default" w:ascii="Times New Roman" w:hAnsi="Times New Roman" w:cs="Times New Roman"/>
                <w:color w:val="auto"/>
                <w:sz w:val="24"/>
                <w:szCs w:val="24"/>
                <w:lang w:val="en-US" w:eastAsia="zh-CN"/>
              </w:rPr>
              <w:t>执行</w:t>
            </w:r>
            <w:r>
              <w:rPr>
                <w:rFonts w:hint="default" w:ascii="Times New Roman" w:hAnsi="Times New Roman" w:cs="Times New Roman"/>
                <w:color w:val="auto"/>
                <w:sz w:val="24"/>
                <w:szCs w:val="24"/>
              </w:rPr>
              <w:t>《大气污染物综合排放标准》（GB16297-1996）表2中二级标准及无组织监控浓度限值</w:t>
            </w:r>
            <w:r>
              <w:rPr>
                <w:rFonts w:hint="default" w:ascii="Times New Roman" w:hAnsi="Times New Roman" w:cs="Times New Roman"/>
                <w:color w:val="auto"/>
                <w:sz w:val="24"/>
                <w:szCs w:val="24"/>
                <w:lang w:eastAsia="zh-CN"/>
              </w:rPr>
              <w:t>，相关标准限值见表</w:t>
            </w:r>
            <w:r>
              <w:rPr>
                <w:rFonts w:hint="default" w:ascii="Times New Roman" w:hAnsi="Times New Roman" w:cs="Times New Roman"/>
                <w:color w:val="auto"/>
                <w:sz w:val="24"/>
                <w:szCs w:val="24"/>
                <w:lang w:val="en-US" w:eastAsia="zh-CN"/>
              </w:rPr>
              <w:t>3.1</w:t>
            </w:r>
            <w:r>
              <w:rPr>
                <w:rFonts w:hint="eastAsia" w:ascii="Times New Roman" w:hAnsi="Times New Roman" w:cs="Times New Roman"/>
                <w:color w:val="auto"/>
                <w:sz w:val="24"/>
                <w:szCs w:val="24"/>
                <w:lang w:val="en-US" w:eastAsia="zh-CN"/>
              </w:rPr>
              <w:t>2；硫化工序排放的非甲烷总烃、二硫化碳（CS</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）和臭气浓度执行《橡胶制品工业污染物排放标准》（GB27632-2011）表5新建企业大气污染物排放限值和表6现有和新建企业厂界无组织排放限值、</w:t>
            </w:r>
            <w:r>
              <w:rPr>
                <w:rFonts w:hint="default" w:ascii="Times New Roman" w:hAnsi="Times New Roman" w:cs="Times New Roman"/>
                <w:color w:val="auto"/>
                <w:kern w:val="0"/>
                <w:sz w:val="24"/>
                <w:szCs w:val="24"/>
                <w:lang w:eastAsia="zh-CN"/>
              </w:rPr>
              <w:t>《恶臭污染物排放标准》</w:t>
            </w:r>
            <w:r>
              <w:rPr>
                <w:rFonts w:hint="default" w:ascii="Times New Roman" w:hAnsi="Times New Roman" w:eastAsia="宋体" w:cs="Times New Roman"/>
                <w:color w:val="auto"/>
                <w:sz w:val="24"/>
                <w:szCs w:val="24"/>
              </w:rPr>
              <w:t>（GB14554-93）</w:t>
            </w:r>
            <w:r>
              <w:rPr>
                <w:rFonts w:hint="default" w:ascii="Times New Roman" w:hAnsi="Times New Roman" w:cs="Times New Roman"/>
                <w:color w:val="auto"/>
                <w:kern w:val="0"/>
                <w:sz w:val="24"/>
                <w:szCs w:val="24"/>
                <w:lang w:eastAsia="zh-CN"/>
              </w:rPr>
              <w:t>中表</w:t>
            </w:r>
            <w:r>
              <w:rPr>
                <w:rFonts w:hint="default" w:ascii="Times New Roman" w:hAnsi="Times New Roman" w:cs="Times New Roman"/>
                <w:color w:val="auto"/>
                <w:kern w:val="0"/>
                <w:sz w:val="24"/>
                <w:szCs w:val="24"/>
                <w:lang w:val="en-US" w:eastAsia="zh-CN"/>
              </w:rPr>
              <w:t>1</w:t>
            </w:r>
            <w:r>
              <w:rPr>
                <w:rFonts w:hint="eastAsia" w:ascii="宋体" w:hAnsi="宋体" w:eastAsia="宋体" w:cs="宋体"/>
                <w:color w:val="auto"/>
                <w:kern w:val="0"/>
                <w:sz w:val="24"/>
                <w:szCs w:val="24"/>
                <w:lang w:val="en-US" w:eastAsia="zh-CN"/>
              </w:rPr>
              <w:t>中“二级新改扩建”标准</w:t>
            </w:r>
            <w:r>
              <w:rPr>
                <w:rFonts w:hint="default" w:ascii="Times New Roman" w:hAnsi="Times New Roman" w:eastAsia="宋体" w:cs="Times New Roman"/>
                <w:color w:val="auto"/>
                <w:kern w:val="0"/>
                <w:sz w:val="24"/>
                <w:szCs w:val="24"/>
                <w:lang w:val="en-US" w:eastAsia="zh-CN"/>
              </w:rPr>
              <w:t>限值和表2恶臭污染物排放标准值</w:t>
            </w:r>
            <w:r>
              <w:rPr>
                <w:rFonts w:hint="eastAsia" w:ascii="Times New Roman" w:hAnsi="Times New Roman" w:cs="Times New Roman"/>
                <w:color w:val="auto"/>
                <w:sz w:val="24"/>
                <w:szCs w:val="24"/>
                <w:lang w:val="en-US" w:eastAsia="zh-CN"/>
              </w:rPr>
              <w:t>，相关标准限值见3.13、表3.14、表3.15和表3.16；</w:t>
            </w:r>
            <w:r>
              <w:rPr>
                <w:rFonts w:hint="eastAsia" w:ascii="Times New Roman" w:hAnsi="Times New Roman" w:eastAsia="宋体" w:cs="Times New Roman"/>
                <w:color w:val="auto"/>
                <w:sz w:val="24"/>
                <w:lang w:eastAsia="zh-CN"/>
              </w:rPr>
              <w:t>预烘、浇注、脱模、清洗及注塑</w:t>
            </w:r>
            <w:r>
              <w:rPr>
                <w:rFonts w:ascii="Times New Roman" w:hAnsi="Times New Roman" w:eastAsia="宋体" w:cs="Times New Roman"/>
                <w:color w:val="auto"/>
                <w:sz w:val="24"/>
              </w:rPr>
              <w:t>工序排放的非甲烷总烃（NMHC）</w:t>
            </w:r>
            <w:r>
              <w:rPr>
                <w:rFonts w:hint="eastAsia" w:ascii="Times New Roman" w:hAnsi="Times New Roman" w:eastAsia="宋体" w:cs="Times New Roman"/>
                <w:color w:val="auto"/>
                <w:sz w:val="24"/>
                <w:lang w:eastAsia="zh-CN"/>
              </w:rPr>
              <w:t>和</w:t>
            </w:r>
            <w:r>
              <w:rPr>
                <w:rFonts w:hint="default" w:ascii="Times New Roman" w:hAnsi="Times New Roman" w:cs="Times New Roman"/>
                <w:b w:val="0"/>
                <w:bCs w:val="0"/>
                <w:color w:val="auto"/>
                <w:sz w:val="24"/>
                <w:szCs w:val="24"/>
                <w:lang w:val="en-US" w:eastAsia="zh-CN"/>
              </w:rPr>
              <w:t>二苯基甲烷二异氰酸酯（MDI）</w:t>
            </w:r>
            <w:r>
              <w:rPr>
                <w:rFonts w:ascii="Times New Roman" w:hAnsi="Times New Roman" w:eastAsia="宋体" w:cs="Times New Roman"/>
                <w:color w:val="auto"/>
                <w:sz w:val="24"/>
              </w:rPr>
              <w:t>执行《合成树脂工业污染物排放标准》（GB31572-2015）表5中大气污染物特别排放限值和表9企业边界大气污染物浓度限值，相关标准限值见表3.</w:t>
            </w:r>
            <w:r>
              <w:rPr>
                <w:rFonts w:hint="eastAsia" w:ascii="Times New Roman" w:hAnsi="Times New Roman" w:eastAsia="宋体" w:cs="Times New Roman"/>
                <w:color w:val="auto"/>
                <w:sz w:val="24"/>
                <w:lang w:val="en-US" w:eastAsia="zh-CN"/>
              </w:rPr>
              <w:t>17</w:t>
            </w:r>
            <w:r>
              <w:rPr>
                <w:rFonts w:ascii="Times New Roman" w:hAnsi="Times New Roman" w:eastAsia="宋体" w:cs="Times New Roman"/>
                <w:color w:val="auto"/>
                <w:sz w:val="24"/>
              </w:rPr>
              <w:t>和表3.</w:t>
            </w:r>
            <w:r>
              <w:rPr>
                <w:rFonts w:hint="eastAsia" w:ascii="Times New Roman" w:hAnsi="Times New Roman" w:eastAsia="宋体" w:cs="Times New Roman"/>
                <w:color w:val="auto"/>
                <w:sz w:val="24"/>
                <w:lang w:val="en-US" w:eastAsia="zh-CN"/>
              </w:rPr>
              <w:t>18；</w:t>
            </w:r>
            <w:r>
              <w:rPr>
                <w:rFonts w:hint="eastAsia" w:ascii="Times New Roman" w:hAnsi="Times New Roman" w:eastAsia="宋体" w:cs="Times New Roman"/>
                <w:color w:val="auto"/>
                <w:sz w:val="24"/>
                <w:u w:val="single"/>
                <w:lang w:eastAsia="zh-CN"/>
              </w:rPr>
              <w:t>预烘、浇注、脱模、清洗、注塑</w:t>
            </w:r>
            <w:r>
              <w:rPr>
                <w:rFonts w:hint="eastAsia" w:ascii="Times New Roman" w:hAnsi="Times New Roman" w:eastAsia="宋体" w:cs="Times New Roman"/>
                <w:color w:val="auto"/>
                <w:sz w:val="24"/>
                <w:u w:val="single"/>
                <w:lang w:val="en-US" w:eastAsia="zh-CN"/>
              </w:rPr>
              <w:t>及硫化</w:t>
            </w:r>
            <w:r>
              <w:rPr>
                <w:rFonts w:ascii="Times New Roman" w:hAnsi="Times New Roman" w:eastAsia="宋体" w:cs="Times New Roman"/>
                <w:color w:val="auto"/>
                <w:sz w:val="24"/>
                <w:u w:val="single"/>
              </w:rPr>
              <w:t>工序排放的非甲烷总烃（NMHC</w:t>
            </w:r>
            <w:r>
              <w:rPr>
                <w:rFonts w:hint="eastAsia" w:ascii="Times New Roman" w:hAnsi="Times New Roman" w:eastAsia="宋体" w:cs="Times New Roman"/>
                <w:color w:val="auto"/>
                <w:sz w:val="24"/>
                <w:u w:val="single"/>
                <w:lang w:eastAsia="zh-CN"/>
              </w:rPr>
              <w:t>）</w:t>
            </w:r>
            <w:r>
              <w:rPr>
                <w:rFonts w:hint="eastAsia" w:ascii="Times New Roman" w:hAnsi="Times New Roman" w:eastAsia="宋体" w:cs="Times New Roman"/>
                <w:color w:val="auto"/>
                <w:sz w:val="24"/>
                <w:u w:val="single"/>
                <w:lang w:val="en-US" w:eastAsia="zh-CN"/>
              </w:rPr>
              <w:t>排放标准最终执行10mg/m</w:t>
            </w:r>
            <w:r>
              <w:rPr>
                <w:rFonts w:hint="eastAsia" w:ascii="Times New Roman" w:hAnsi="Times New Roman" w:eastAsia="宋体" w:cs="Times New Roman"/>
                <w:color w:val="auto"/>
                <w:sz w:val="24"/>
                <w:u w:val="single"/>
                <w:vertAlign w:val="superscript"/>
                <w:lang w:val="en-US" w:eastAsia="zh-CN"/>
              </w:rPr>
              <w:t>3</w:t>
            </w:r>
            <w:r>
              <w:rPr>
                <w:rFonts w:hint="eastAsia" w:ascii="Times New Roman" w:hAnsi="Times New Roman" w:eastAsia="宋体" w:cs="Times New Roman"/>
                <w:color w:val="auto"/>
                <w:sz w:val="24"/>
                <w:u w:val="single"/>
                <w:lang w:val="en-US" w:eastAsia="zh-CN"/>
              </w:rPr>
              <w:t>限值</w:t>
            </w:r>
            <w:r>
              <w:rPr>
                <w:rFonts w:hint="eastAsia" w:ascii="Times New Roman" w:hAnsi="Times New Roman" w:eastAsia="宋体" w:cs="Times New Roman"/>
                <w:color w:val="auto"/>
                <w:sz w:val="24"/>
                <w:lang w:val="en-US" w:eastAsia="zh-CN"/>
              </w:rPr>
              <w:t>；</w:t>
            </w:r>
            <w:r>
              <w:rPr>
                <w:rFonts w:hint="default" w:ascii="Times New Roman" w:hAnsi="Times New Roman" w:cs="Times New Roman"/>
                <w:color w:val="auto"/>
                <w:sz w:val="24"/>
                <w:szCs w:val="24"/>
                <w:lang w:val="en-US" w:eastAsia="zh-CN"/>
              </w:rPr>
              <w:t>厂区内挥发性有机物无组织排放执行《挥发性有机物无组织排放控制标准》（GB37822-2019）附录A</w:t>
            </w:r>
            <w:r>
              <w:rPr>
                <w:rFonts w:hint="eastAsia" w:ascii="宋体" w:hAnsi="宋体" w:eastAsia="宋体" w:cs="宋体"/>
                <w:color w:val="auto"/>
                <w:sz w:val="24"/>
                <w:szCs w:val="24"/>
                <w:lang w:val="en-US" w:eastAsia="zh-CN"/>
              </w:rPr>
              <w:t>中“</w:t>
            </w:r>
            <w:r>
              <w:rPr>
                <w:rFonts w:hint="default" w:ascii="Times New Roman" w:hAnsi="Times New Roman" w:cs="Times New Roman"/>
                <w:color w:val="auto"/>
                <w:sz w:val="24"/>
                <w:szCs w:val="24"/>
                <w:lang w:val="en-US" w:eastAsia="zh-CN"/>
              </w:rPr>
              <w:t>表A.1中限值-特别排放</w:t>
            </w:r>
            <w:r>
              <w:rPr>
                <w:rFonts w:hint="eastAsia" w:ascii="宋体" w:hAnsi="宋体" w:eastAsia="宋体" w:cs="宋体"/>
                <w:color w:val="auto"/>
                <w:sz w:val="24"/>
                <w:szCs w:val="24"/>
                <w:lang w:val="en-US" w:eastAsia="zh-CN"/>
              </w:rPr>
              <w:t>限值”，相</w:t>
            </w:r>
            <w:r>
              <w:rPr>
                <w:rFonts w:hint="default" w:ascii="Times New Roman" w:hAnsi="Times New Roman" w:cs="Times New Roman"/>
                <w:color w:val="auto"/>
                <w:sz w:val="24"/>
                <w:szCs w:val="24"/>
                <w:lang w:val="en-US" w:eastAsia="zh-CN"/>
              </w:rPr>
              <w:t>关标准限值见表3.</w:t>
            </w:r>
            <w:r>
              <w:rPr>
                <w:rFonts w:hint="eastAsia" w:ascii="Times New Roman" w:hAnsi="Times New Roman" w:cs="Times New Roman"/>
                <w:color w:val="auto"/>
                <w:sz w:val="24"/>
                <w:szCs w:val="24"/>
                <w:lang w:val="en-US" w:eastAsia="zh-CN"/>
              </w:rPr>
              <w:t>19；</w:t>
            </w:r>
            <w:r>
              <w:rPr>
                <w:rFonts w:hint="eastAsia" w:ascii="Times New Roman" w:hAnsi="Times New Roman" w:cs="Times New Roman"/>
                <w:color w:val="auto"/>
                <w:sz w:val="24"/>
                <w:szCs w:val="24"/>
                <w:lang w:eastAsia="zh-CN"/>
              </w:rPr>
              <w:t>职工</w:t>
            </w:r>
            <w:r>
              <w:rPr>
                <w:rFonts w:hint="default" w:ascii="Times New Roman" w:hAnsi="Times New Roman" w:cs="Times New Roman"/>
                <w:color w:val="auto"/>
                <w:sz w:val="24"/>
                <w:szCs w:val="24"/>
              </w:rPr>
              <w:t>食堂油烟排放</w:t>
            </w:r>
            <w:r>
              <w:rPr>
                <w:rFonts w:hint="default" w:ascii="Times New Roman" w:hAnsi="Times New Roman" w:cs="Times New Roman"/>
                <w:b/>
                <w:bCs/>
                <w:color w:val="auto"/>
                <w:sz w:val="24"/>
                <w:szCs w:val="24"/>
              </w:rPr>
              <w:t>参照</w:t>
            </w:r>
            <w:r>
              <w:rPr>
                <w:rFonts w:hint="default" w:ascii="Times New Roman" w:hAnsi="Times New Roman" w:cs="Times New Roman"/>
                <w:color w:val="auto"/>
                <w:sz w:val="24"/>
                <w:szCs w:val="24"/>
              </w:rPr>
              <w:t>执行《饮食业油烟排放标准（试行）》（GB1843-2001）中限值</w:t>
            </w:r>
            <w:r>
              <w:rPr>
                <w:rFonts w:hint="eastAsia" w:ascii="Times New Roman" w:hAnsi="Times New Roman" w:cs="Times New Roman"/>
                <w:color w:val="auto"/>
                <w:sz w:val="24"/>
                <w:szCs w:val="24"/>
                <w:lang w:eastAsia="zh-CN"/>
              </w:rPr>
              <w:t>，相关</w:t>
            </w:r>
            <w:r>
              <w:rPr>
                <w:rFonts w:hint="default" w:ascii="Times New Roman" w:hAnsi="Times New Roman" w:cs="Times New Roman"/>
                <w:color w:val="auto"/>
                <w:sz w:val="24"/>
                <w:szCs w:val="24"/>
                <w:lang w:val="en-US" w:eastAsia="zh-CN"/>
              </w:rPr>
              <w:t>标准限值</w:t>
            </w:r>
            <w:r>
              <w:rPr>
                <w:rFonts w:hint="default" w:ascii="Times New Roman" w:hAnsi="Times New Roman" w:cs="Times New Roman"/>
                <w:color w:val="auto"/>
                <w:sz w:val="24"/>
                <w:szCs w:val="24"/>
              </w:rPr>
              <w:t>见表</w:t>
            </w:r>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eastAsia="zh-CN"/>
              </w:rPr>
              <w:t>。</w:t>
            </w:r>
          </w:p>
          <w:p>
            <w:pPr>
              <w:spacing w:line="240" w:lineRule="auto"/>
              <w:jc w:val="center"/>
              <w:rPr>
                <w:rFonts w:hint="default"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表</w:t>
            </w:r>
            <w:r>
              <w:rPr>
                <w:rFonts w:hint="eastAsia" w:ascii="Times New Roman" w:hAnsi="Times New Roman" w:cs="Times New Roman"/>
                <w:b/>
                <w:bCs/>
                <w:color w:val="auto"/>
                <w:sz w:val="24"/>
                <w:szCs w:val="24"/>
                <w:lang w:val="en-US" w:eastAsia="zh-CN"/>
              </w:rPr>
              <w:t xml:space="preserve">3.11  </w:t>
            </w:r>
            <w:r>
              <w:rPr>
                <w:rFonts w:hint="default" w:ascii="Times New Roman" w:hAnsi="Times New Roman" w:cs="Times New Roman"/>
                <w:b/>
                <w:bCs/>
                <w:color w:val="auto"/>
                <w:sz w:val="24"/>
                <w:szCs w:val="24"/>
                <w:lang w:eastAsia="zh-CN"/>
              </w:rPr>
              <w:t>《工业炉窑大气污染物综合治理方案》</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单位：mg/m</w:t>
            </w:r>
            <w:r>
              <w:rPr>
                <w:rFonts w:hint="default" w:ascii="Times New Roman" w:hAnsi="Times New Roman" w:cs="Times New Roman"/>
                <w:b/>
                <w:bCs/>
                <w:color w:val="auto"/>
                <w:sz w:val="24"/>
                <w:szCs w:val="24"/>
                <w:vertAlign w:val="superscript"/>
                <w:lang w:val="en-US" w:eastAsia="zh-CN"/>
              </w:rPr>
              <w:t>3</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6566"/>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6566"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污染物项目</w:t>
                  </w:r>
                </w:p>
              </w:tc>
              <w:tc>
                <w:tcPr>
                  <w:tcW w:w="1871"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6566"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1871"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6566"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二氧化硫</w:t>
                  </w:r>
                </w:p>
              </w:tc>
              <w:tc>
                <w:tcPr>
                  <w:tcW w:w="1871"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6566"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氮氧化物</w:t>
                  </w:r>
                </w:p>
              </w:tc>
              <w:tc>
                <w:tcPr>
                  <w:tcW w:w="1871"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54" w:type="dxa"/>
                  <w:gridSpan w:val="3"/>
                  <w:noWrap w:val="0"/>
                  <w:vAlign w:val="center"/>
                </w:tcPr>
                <w:p>
                  <w:pPr>
                    <w:spacing w:line="240" w:lineRule="auto"/>
                    <w:ind w:firstLine="422" w:firstLineChars="200"/>
                    <w:rPr>
                      <w:rFonts w:hint="eastAsia"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eastAsia="zh-CN"/>
                    </w:rPr>
                    <w:t>注：</w:t>
                  </w:r>
                  <w:r>
                    <w:rPr>
                      <w:rFonts w:hint="default" w:ascii="Times New Roman" w:hAnsi="Times New Roman" w:cs="Times New Roman"/>
                      <w:color w:val="auto"/>
                      <w:sz w:val="21"/>
                      <w:szCs w:val="21"/>
                      <w:lang w:eastAsia="zh-CN"/>
                    </w:rPr>
                    <w:t>工业炉窑是指在工业生产中利用燃料燃烧或电能等转换产生的热量，将物料或工件进行熔炼、熔化、焙（煅）烧、加热、干馏、气化等的热工设备，包括熔炼炉、熔化炉、焙（煅）烧炉（窑）、加热炉、热处理炉、干燥炉（窑）、焦炉、煤气发生炉等八类</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因此，本项目</w:t>
                  </w:r>
                  <w:r>
                    <w:rPr>
                      <w:rFonts w:hint="eastAsia" w:ascii="Times New Roman" w:hAnsi="Times New Roman" w:cs="Times New Roman"/>
                      <w:color w:val="auto"/>
                      <w:sz w:val="21"/>
                      <w:szCs w:val="21"/>
                      <w:lang w:eastAsia="zh-CN"/>
                    </w:rPr>
                    <w:t>天然气燃烧机</w:t>
                  </w:r>
                  <w:r>
                    <w:rPr>
                      <w:rFonts w:hint="default" w:ascii="Times New Roman" w:hAnsi="Times New Roman" w:cs="Times New Roman"/>
                      <w:color w:val="auto"/>
                      <w:sz w:val="21"/>
                      <w:szCs w:val="21"/>
                      <w:lang w:eastAsia="zh-CN"/>
                    </w:rPr>
                    <w:t>可视为工业炉窑。</w:t>
                  </w:r>
                </w:p>
              </w:tc>
            </w:tr>
          </w:tbl>
          <w:p>
            <w:pPr>
              <w:spacing w:line="240" w:lineRule="auto"/>
              <w:ind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3.1</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大气污染物排放限值（GB16297-1996）</w:t>
            </w:r>
          </w:p>
          <w:tbl>
            <w:tblPr>
              <w:tblStyle w:val="2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381"/>
              <w:gridCol w:w="1941"/>
              <w:gridCol w:w="1336"/>
              <w:gridCol w:w="1336"/>
              <w:gridCol w:w="1336"/>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381"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941"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最高允许排放浓度mg/m</w:t>
                  </w:r>
                  <w:r>
                    <w:rPr>
                      <w:rFonts w:hint="default" w:ascii="Times New Roman" w:hAnsi="Times New Roman" w:cs="Times New Roman"/>
                      <w:color w:val="auto"/>
                      <w:sz w:val="21"/>
                      <w:szCs w:val="21"/>
                      <w:vertAlign w:val="superscript"/>
                    </w:rPr>
                    <w:t>3</w:t>
                  </w:r>
                </w:p>
              </w:tc>
              <w:tc>
                <w:tcPr>
                  <w:tcW w:w="2672" w:type="dxa"/>
                  <w:gridSpan w:val="2"/>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最高允许排放速率kg/h</w:t>
                  </w:r>
                </w:p>
              </w:tc>
              <w:tc>
                <w:tcPr>
                  <w:tcW w:w="2673" w:type="dxa"/>
                  <w:gridSpan w:val="2"/>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pPr>
                    <w:jc w:val="center"/>
                    <w:rPr>
                      <w:rFonts w:hint="default" w:ascii="Times New Roman" w:hAnsi="Times New Roman" w:cs="Times New Roman"/>
                      <w:color w:val="auto"/>
                      <w:sz w:val="21"/>
                      <w:szCs w:val="21"/>
                    </w:rPr>
                  </w:pPr>
                </w:p>
              </w:tc>
              <w:tc>
                <w:tcPr>
                  <w:tcW w:w="1381" w:type="dxa"/>
                  <w:vMerge w:val="continue"/>
                  <w:noWrap w:val="0"/>
                  <w:vAlign w:val="center"/>
                </w:tcPr>
                <w:p>
                  <w:pPr>
                    <w:jc w:val="center"/>
                    <w:rPr>
                      <w:rFonts w:hint="default" w:ascii="Times New Roman" w:hAnsi="Times New Roman" w:cs="Times New Roman"/>
                      <w:color w:val="auto"/>
                      <w:sz w:val="21"/>
                      <w:szCs w:val="21"/>
                    </w:rPr>
                  </w:pPr>
                </w:p>
              </w:tc>
              <w:tc>
                <w:tcPr>
                  <w:tcW w:w="1941" w:type="dxa"/>
                  <w:vMerge w:val="continue"/>
                  <w:noWrap w:val="0"/>
                  <w:vAlign w:val="center"/>
                </w:tcPr>
                <w:p>
                  <w:pPr>
                    <w:jc w:val="center"/>
                    <w:rPr>
                      <w:rFonts w:hint="default" w:ascii="Times New Roman" w:hAnsi="Times New Roman" w:cs="Times New Roman"/>
                      <w:color w:val="auto"/>
                      <w:sz w:val="21"/>
                      <w:szCs w:val="21"/>
                    </w:rPr>
                  </w:pPr>
                </w:p>
              </w:tc>
              <w:tc>
                <w:tcPr>
                  <w:tcW w:w="133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排气筒高度m</w:t>
                  </w:r>
                </w:p>
              </w:tc>
              <w:tc>
                <w:tcPr>
                  <w:tcW w:w="133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133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监控点</w:t>
                  </w:r>
                </w:p>
              </w:tc>
              <w:tc>
                <w:tcPr>
                  <w:tcW w:w="133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381" w:type="dxa"/>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1941"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1336"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1336"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33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133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381" w:type="dxa"/>
                  <w:noWrap w:val="0"/>
                  <w:vAlign w:val="center"/>
                </w:tcPr>
                <w:p>
                  <w:pPr>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颗粒物</w:t>
                  </w:r>
                </w:p>
              </w:tc>
              <w:tc>
                <w:tcPr>
                  <w:tcW w:w="1941"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120</w:t>
                  </w:r>
                </w:p>
              </w:tc>
              <w:tc>
                <w:tcPr>
                  <w:tcW w:w="1336"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1336"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133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1337"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bl>
          <w:p>
            <w:pPr>
              <w:pStyle w:val="40"/>
              <w:spacing w:line="240" w:lineRule="auto"/>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eastAsia="zh-CN"/>
              </w:rPr>
              <w:t>表</w:t>
            </w:r>
            <w:r>
              <w:rPr>
                <w:rFonts w:hint="eastAsia" w:eastAsia="宋体" w:cs="Times New Roman"/>
                <w:b/>
                <w:bCs/>
                <w:color w:val="auto"/>
                <w:sz w:val="24"/>
                <w:szCs w:val="24"/>
                <w:lang w:val="en-US" w:eastAsia="zh-CN"/>
              </w:rPr>
              <w:t>3.13  新建企业大气污染物排放限值</w:t>
            </w:r>
            <w:r>
              <w:rPr>
                <w:rFonts w:hint="default" w:ascii="Times New Roman" w:hAnsi="Times New Roman" w:eastAsia="宋体" w:cs="Times New Roman"/>
                <w:b/>
                <w:bCs/>
                <w:color w:val="auto"/>
                <w:sz w:val="24"/>
                <w:szCs w:val="24"/>
                <w:lang w:val="en-US" w:eastAsia="zh-CN"/>
              </w:rPr>
              <w:t>（GB27632-2011）</w:t>
            </w:r>
          </w:p>
          <w:tbl>
            <w:tblPr>
              <w:tblStyle w:val="25"/>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10"/>
              <w:gridCol w:w="2553"/>
              <w:gridCol w:w="1559"/>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eastAsia="zh-CN"/>
                    </w:rPr>
                    <w:t>序号</w:t>
                  </w:r>
                </w:p>
              </w:tc>
              <w:tc>
                <w:tcPr>
                  <w:tcW w:w="1410"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eastAsia="zh-CN"/>
                    </w:rPr>
                    <w:t>污染物项目</w:t>
                  </w:r>
                </w:p>
              </w:tc>
              <w:tc>
                <w:tcPr>
                  <w:tcW w:w="2553"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eastAsia="zh-CN"/>
                    </w:rPr>
                    <w:t>生产工艺或设施</w:t>
                  </w:r>
                </w:p>
              </w:tc>
              <w:tc>
                <w:tcPr>
                  <w:tcW w:w="1559"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eastAsia="zh-CN"/>
                    </w:rPr>
                    <w:t>排放限值（</w:t>
                  </w:r>
                  <w:r>
                    <w:rPr>
                      <w:rFonts w:hint="eastAsia" w:eastAsia="宋体" w:cs="Times New Roman"/>
                      <w:b w:val="0"/>
                      <w:bCs w:val="0"/>
                      <w:color w:val="auto"/>
                      <w:sz w:val="21"/>
                      <w:szCs w:val="21"/>
                      <w:vertAlign w:val="baseline"/>
                      <w:lang w:val="en-US" w:eastAsia="zh-CN"/>
                    </w:rPr>
                    <w:t>mg/m</w:t>
                  </w:r>
                  <w:r>
                    <w:rPr>
                      <w:rFonts w:hint="eastAsia" w:eastAsia="宋体" w:cs="Times New Roman"/>
                      <w:b w:val="0"/>
                      <w:bCs w:val="0"/>
                      <w:color w:val="auto"/>
                      <w:sz w:val="21"/>
                      <w:szCs w:val="21"/>
                      <w:vertAlign w:val="superscript"/>
                      <w:lang w:val="en-US" w:eastAsia="zh-CN"/>
                    </w:rPr>
                    <w:t>3</w:t>
                  </w:r>
                  <w:r>
                    <w:rPr>
                      <w:rFonts w:hint="eastAsia" w:eastAsia="宋体" w:cs="Times New Roman"/>
                      <w:b w:val="0"/>
                      <w:bCs w:val="0"/>
                      <w:color w:val="auto"/>
                      <w:sz w:val="21"/>
                      <w:szCs w:val="21"/>
                      <w:vertAlign w:val="baseline"/>
                      <w:lang w:eastAsia="zh-CN"/>
                    </w:rPr>
                    <w:t>）</w:t>
                  </w:r>
                </w:p>
              </w:tc>
              <w:tc>
                <w:tcPr>
                  <w:tcW w:w="1559"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基准排气量（m</w:t>
                  </w:r>
                  <w:r>
                    <w:rPr>
                      <w:rFonts w:hint="eastAsia" w:eastAsia="宋体" w:cs="Times New Roman"/>
                      <w:b w:val="0"/>
                      <w:bCs w:val="0"/>
                      <w:color w:val="auto"/>
                      <w:sz w:val="21"/>
                      <w:szCs w:val="21"/>
                      <w:vertAlign w:val="superscript"/>
                      <w:lang w:val="en-US" w:eastAsia="zh-CN"/>
                    </w:rPr>
                    <w:t>3</w:t>
                  </w:r>
                  <w:r>
                    <w:rPr>
                      <w:rFonts w:hint="eastAsia" w:eastAsia="宋体" w:cs="Times New Roman"/>
                      <w:b w:val="0"/>
                      <w:bCs w:val="0"/>
                      <w:color w:val="auto"/>
                      <w:sz w:val="21"/>
                      <w:szCs w:val="21"/>
                      <w:vertAlign w:val="baseline"/>
                      <w:lang w:val="en-US" w:eastAsia="zh-CN"/>
                    </w:rPr>
                    <w:t>/t-胶）</w:t>
                  </w:r>
                </w:p>
              </w:tc>
              <w:tc>
                <w:tcPr>
                  <w:tcW w:w="1559"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eastAsia="zh-CN"/>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w:t>
                  </w:r>
                </w:p>
              </w:tc>
              <w:tc>
                <w:tcPr>
                  <w:tcW w:w="1410"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eastAsia="zh-CN"/>
                    </w:rPr>
                    <w:t>非甲烷总烃</w:t>
                  </w:r>
                </w:p>
              </w:tc>
              <w:tc>
                <w:tcPr>
                  <w:tcW w:w="2553"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eastAsia="zh-CN"/>
                    </w:rPr>
                    <w:t>轮胎企业及其他制品企业炼胶、</w:t>
                  </w:r>
                  <w:r>
                    <w:rPr>
                      <w:rFonts w:hint="eastAsia" w:eastAsia="宋体" w:cs="Times New Roman"/>
                      <w:b/>
                      <w:bCs/>
                      <w:color w:val="auto"/>
                      <w:sz w:val="21"/>
                      <w:szCs w:val="21"/>
                      <w:vertAlign w:val="baseline"/>
                      <w:lang w:eastAsia="zh-CN"/>
                    </w:rPr>
                    <w:t>硫化装置</w:t>
                  </w:r>
                </w:p>
              </w:tc>
              <w:tc>
                <w:tcPr>
                  <w:tcW w:w="1559"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10</w:t>
                  </w:r>
                </w:p>
              </w:tc>
              <w:tc>
                <w:tcPr>
                  <w:tcW w:w="1559"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2000</w:t>
                  </w:r>
                </w:p>
              </w:tc>
              <w:tc>
                <w:tcPr>
                  <w:tcW w:w="1559" w:type="dxa"/>
                  <w:vAlign w:val="center"/>
                </w:tcPr>
                <w:p>
                  <w:pPr>
                    <w:pStyle w:val="40"/>
                    <w:spacing w:line="240" w:lineRule="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eastAsia="zh-CN"/>
                    </w:rPr>
                    <w:t>车间或生产设施排气筒</w:t>
                  </w:r>
                </w:p>
              </w:tc>
            </w:tr>
          </w:tbl>
          <w:p>
            <w:pPr>
              <w:widowControl/>
              <w:spacing w:line="240" w:lineRule="auto"/>
              <w:jc w:val="center"/>
              <w:rPr>
                <w:rFonts w:hint="default" w:ascii="Times New Roman" w:hAnsi="Times New Roman" w:cs="Times New Roman"/>
                <w:b/>
                <w:color w:val="auto"/>
                <w:kern w:val="0"/>
                <w:sz w:val="24"/>
                <w:vertAlign w:val="superscript"/>
                <w:lang w:val="en-US" w:eastAsia="zh-CN"/>
              </w:rPr>
            </w:pPr>
            <w:r>
              <w:rPr>
                <w:rFonts w:hint="default" w:ascii="Times New Roman" w:hAnsi="Times New Roman" w:cs="Times New Roman"/>
                <w:b/>
                <w:color w:val="auto"/>
                <w:kern w:val="0"/>
                <w:sz w:val="24"/>
              </w:rPr>
              <w:t>表</w:t>
            </w:r>
            <w:r>
              <w:rPr>
                <w:rFonts w:hint="eastAsia" w:ascii="Times New Roman" w:hAnsi="Times New Roman" w:cs="Times New Roman"/>
                <w:b/>
                <w:color w:val="auto"/>
                <w:kern w:val="0"/>
                <w:sz w:val="24"/>
                <w:lang w:val="en-US" w:eastAsia="zh-CN"/>
              </w:rPr>
              <w:t>3.14</w:t>
            </w:r>
            <w:r>
              <w:rPr>
                <w:rFonts w:hint="default" w:ascii="Times New Roman" w:hAnsi="Times New Roman" w:cs="Times New Roman"/>
                <w:b/>
                <w:color w:val="auto"/>
                <w:kern w:val="0"/>
                <w:sz w:val="24"/>
                <w:lang w:val="en-US" w:eastAsia="zh-CN"/>
              </w:rPr>
              <w:t xml:space="preserve">  </w:t>
            </w:r>
            <w:r>
              <w:rPr>
                <w:rFonts w:hint="eastAsia" w:ascii="Times New Roman" w:hAnsi="Times New Roman" w:cs="Times New Roman"/>
                <w:b/>
                <w:color w:val="auto"/>
                <w:kern w:val="0"/>
                <w:sz w:val="24"/>
                <w:lang w:val="en-US" w:eastAsia="zh-CN"/>
              </w:rPr>
              <w:t>现有和新建企业厂界无组织排放限值</w:t>
            </w:r>
            <w:r>
              <w:rPr>
                <w:rFonts w:hint="default" w:ascii="Times New Roman" w:hAnsi="Times New Roman" w:eastAsia="宋体" w:cs="Times New Roman"/>
                <w:b/>
                <w:bCs/>
                <w:color w:val="auto"/>
                <w:sz w:val="24"/>
                <w:szCs w:val="24"/>
                <w:lang w:val="en-US" w:eastAsia="zh-CN"/>
              </w:rPr>
              <w:t>（GB27632-2011）</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color w:val="auto"/>
                <w:kern w:val="0"/>
                <w:sz w:val="24"/>
                <w:lang w:val="en-US" w:eastAsia="zh-CN"/>
              </w:rPr>
              <w:t>单位：mg/m</w:t>
            </w:r>
            <w:r>
              <w:rPr>
                <w:rFonts w:hint="eastAsia" w:ascii="Times New Roman" w:hAnsi="Times New Roman" w:cs="Times New Roman"/>
                <w:b/>
                <w:color w:val="auto"/>
                <w:kern w:val="0"/>
                <w:sz w:val="24"/>
                <w:vertAlign w:val="superscript"/>
                <w:lang w:val="en-US" w:eastAsia="zh-CN"/>
              </w:rPr>
              <w:t>3</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9"/>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序号</w:t>
                  </w:r>
                </w:p>
              </w:tc>
              <w:tc>
                <w:tcPr>
                  <w:tcW w:w="2339"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控制项目</w:t>
                  </w:r>
                </w:p>
              </w:tc>
              <w:tc>
                <w:tcPr>
                  <w:tcW w:w="2339" w:type="dxa"/>
                  <w:vAlign w:val="center"/>
                </w:tcPr>
                <w:p>
                  <w:pPr>
                    <w:widowControl/>
                    <w:spacing w:line="240" w:lineRule="auto"/>
                    <w:jc w:val="center"/>
                    <w:rPr>
                      <w:rFonts w:hint="default" w:ascii="Times New Roman" w:hAnsi="Times New Roman" w:cs="Times New Roman" w:eastAsiaTheme="minorEastAsia"/>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1</w:t>
                  </w:r>
                </w:p>
              </w:tc>
              <w:tc>
                <w:tcPr>
                  <w:tcW w:w="2339"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非甲烷总烃</w:t>
                  </w:r>
                </w:p>
              </w:tc>
              <w:tc>
                <w:tcPr>
                  <w:tcW w:w="2339" w:type="dxa"/>
                  <w:vAlign w:val="center"/>
                </w:tcPr>
                <w:p>
                  <w:pPr>
                    <w:widowControl/>
                    <w:spacing w:line="240" w:lineRule="auto"/>
                    <w:jc w:val="center"/>
                    <w:rPr>
                      <w:rFonts w:hint="default" w:ascii="Times New Roman" w:hAnsi="Times New Roman" w:cs="Times New Roman" w:eastAsiaTheme="minorEastAsia"/>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4.0</w:t>
                  </w:r>
                </w:p>
              </w:tc>
            </w:tr>
          </w:tbl>
          <w:p>
            <w:pPr>
              <w:widowControl/>
              <w:spacing w:line="240" w:lineRule="auto"/>
              <w:jc w:val="center"/>
              <w:rPr>
                <w:rFonts w:hint="default" w:ascii="Times New Roman" w:hAnsi="Times New Roman" w:cs="Times New Roman"/>
                <w:b/>
                <w:color w:val="auto"/>
                <w:kern w:val="0"/>
                <w:sz w:val="24"/>
                <w:lang w:eastAsia="zh-CN"/>
              </w:rPr>
            </w:pPr>
            <w:r>
              <w:rPr>
                <w:rFonts w:hint="default" w:ascii="Times New Roman" w:hAnsi="Times New Roman" w:cs="Times New Roman"/>
                <w:b/>
                <w:color w:val="auto"/>
                <w:kern w:val="0"/>
                <w:sz w:val="24"/>
              </w:rPr>
              <w:t>表</w:t>
            </w:r>
            <w:r>
              <w:rPr>
                <w:rFonts w:hint="eastAsia" w:ascii="Times New Roman" w:hAnsi="Times New Roman" w:cs="Times New Roman"/>
                <w:b/>
                <w:color w:val="auto"/>
                <w:kern w:val="0"/>
                <w:sz w:val="24"/>
                <w:lang w:val="en-US" w:eastAsia="zh-CN"/>
              </w:rPr>
              <w:t>3.15</w:t>
            </w:r>
            <w:r>
              <w:rPr>
                <w:rFonts w:hint="default" w:ascii="Times New Roman" w:hAnsi="Times New Roman" w:cs="Times New Roman"/>
                <w:b/>
                <w:color w:val="auto"/>
                <w:kern w:val="0"/>
                <w:sz w:val="24"/>
                <w:lang w:val="en-US" w:eastAsia="zh-CN"/>
              </w:rPr>
              <w:t xml:space="preserve">  恶臭</w:t>
            </w:r>
            <w:r>
              <w:rPr>
                <w:rFonts w:hint="default" w:ascii="Times New Roman" w:hAnsi="Times New Roman" w:cs="Times New Roman"/>
                <w:b/>
                <w:color w:val="auto"/>
                <w:kern w:val="0"/>
                <w:sz w:val="24"/>
              </w:rPr>
              <w:t>污染物</w:t>
            </w:r>
            <w:r>
              <w:rPr>
                <w:rFonts w:hint="default" w:ascii="Times New Roman" w:hAnsi="Times New Roman" w:cs="Times New Roman"/>
                <w:b/>
                <w:color w:val="auto"/>
                <w:kern w:val="0"/>
                <w:sz w:val="24"/>
                <w:lang w:eastAsia="zh-CN"/>
              </w:rPr>
              <w:t>厂界标准值</w:t>
            </w:r>
            <w:r>
              <w:rPr>
                <w:rFonts w:hint="default" w:ascii="Times New Roman" w:hAnsi="Times New Roman" w:eastAsia="宋体" w:cs="Times New Roman"/>
                <w:b/>
                <w:bCs/>
                <w:color w:val="auto"/>
                <w:sz w:val="24"/>
                <w:szCs w:val="24"/>
              </w:rPr>
              <w:t>（GB14554-93）</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9"/>
              <w:gridCol w:w="2339"/>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Merge w:val="restart"/>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序号</w:t>
                  </w:r>
                </w:p>
              </w:tc>
              <w:tc>
                <w:tcPr>
                  <w:tcW w:w="2339" w:type="dxa"/>
                  <w:vMerge w:val="restart"/>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控制项目</w:t>
                  </w:r>
                </w:p>
              </w:tc>
              <w:tc>
                <w:tcPr>
                  <w:tcW w:w="2339" w:type="dxa"/>
                  <w:vMerge w:val="restart"/>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单位</w:t>
                  </w:r>
                </w:p>
              </w:tc>
              <w:tc>
                <w:tcPr>
                  <w:tcW w:w="2339"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Merge w:val="continue"/>
                  <w:vAlign w:val="center"/>
                </w:tcPr>
                <w:p>
                  <w:pPr>
                    <w:widowControl/>
                    <w:spacing w:line="240" w:lineRule="auto"/>
                    <w:jc w:val="center"/>
                    <w:rPr>
                      <w:rFonts w:hint="default" w:ascii="Times New Roman" w:hAnsi="Times New Roman" w:cs="Times New Roman"/>
                      <w:b w:val="0"/>
                      <w:bCs/>
                      <w:color w:val="auto"/>
                      <w:kern w:val="0"/>
                      <w:sz w:val="21"/>
                      <w:szCs w:val="21"/>
                      <w:vertAlign w:val="baseline"/>
                    </w:rPr>
                  </w:pPr>
                </w:p>
              </w:tc>
              <w:tc>
                <w:tcPr>
                  <w:tcW w:w="2339" w:type="dxa"/>
                  <w:vMerge w:val="continue"/>
                  <w:vAlign w:val="center"/>
                </w:tcPr>
                <w:p>
                  <w:pPr>
                    <w:widowControl/>
                    <w:spacing w:line="240" w:lineRule="auto"/>
                    <w:jc w:val="center"/>
                    <w:rPr>
                      <w:rFonts w:hint="default" w:ascii="Times New Roman" w:hAnsi="Times New Roman" w:cs="Times New Roman"/>
                      <w:b w:val="0"/>
                      <w:bCs/>
                      <w:color w:val="auto"/>
                      <w:kern w:val="0"/>
                      <w:sz w:val="21"/>
                      <w:szCs w:val="21"/>
                      <w:vertAlign w:val="baseline"/>
                    </w:rPr>
                  </w:pPr>
                </w:p>
              </w:tc>
              <w:tc>
                <w:tcPr>
                  <w:tcW w:w="2339" w:type="dxa"/>
                  <w:vMerge w:val="continue"/>
                  <w:vAlign w:val="center"/>
                </w:tcPr>
                <w:p>
                  <w:pPr>
                    <w:widowControl/>
                    <w:spacing w:line="240" w:lineRule="auto"/>
                    <w:jc w:val="center"/>
                    <w:rPr>
                      <w:rFonts w:hint="default" w:ascii="Times New Roman" w:hAnsi="Times New Roman" w:cs="Times New Roman"/>
                      <w:b w:val="0"/>
                      <w:bCs/>
                      <w:color w:val="auto"/>
                      <w:kern w:val="0"/>
                      <w:sz w:val="21"/>
                      <w:szCs w:val="21"/>
                      <w:vertAlign w:val="baseline"/>
                    </w:rPr>
                  </w:pPr>
                </w:p>
              </w:tc>
              <w:tc>
                <w:tcPr>
                  <w:tcW w:w="2339"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新改扩建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1</w:t>
                  </w:r>
                </w:p>
              </w:tc>
              <w:tc>
                <w:tcPr>
                  <w:tcW w:w="2339"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臭气浓度</w:t>
                  </w:r>
                </w:p>
              </w:tc>
              <w:tc>
                <w:tcPr>
                  <w:tcW w:w="2339"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无量纲</w:t>
                  </w:r>
                </w:p>
              </w:tc>
              <w:tc>
                <w:tcPr>
                  <w:tcW w:w="2339" w:type="dxa"/>
                  <w:vAlign w:val="center"/>
                </w:tcPr>
                <w:p>
                  <w:pPr>
                    <w:widowControl/>
                    <w:spacing w:line="240" w:lineRule="auto"/>
                    <w:jc w:val="center"/>
                    <w:rPr>
                      <w:rFonts w:hint="default" w:ascii="Times New Roman" w:hAnsi="Times New Roman" w:cs="Times New Roman" w:eastAsiaTheme="minorEastAsia"/>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Align w:val="center"/>
                </w:tcPr>
                <w:p>
                  <w:pPr>
                    <w:widowControl/>
                    <w:spacing w:line="240" w:lineRule="auto"/>
                    <w:jc w:val="center"/>
                    <w:rPr>
                      <w:rFonts w:hint="default" w:ascii="Times New Roman" w:hAnsi="Times New Roman" w:cs="Times New Roman"/>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2</w:t>
                  </w:r>
                </w:p>
              </w:tc>
              <w:tc>
                <w:tcPr>
                  <w:tcW w:w="2339" w:type="dxa"/>
                  <w:vAlign w:val="center"/>
                </w:tcPr>
                <w:p>
                  <w:pPr>
                    <w:widowControl/>
                    <w:spacing w:line="240" w:lineRule="auto"/>
                    <w:jc w:val="center"/>
                    <w:rPr>
                      <w:rFonts w:hint="eastAsia" w:ascii="Times New Roman" w:hAnsi="Times New Roman" w:cs="Times New Roman"/>
                      <w:b w:val="0"/>
                      <w:bCs/>
                      <w:color w:val="auto"/>
                      <w:kern w:val="0"/>
                      <w:sz w:val="21"/>
                      <w:szCs w:val="21"/>
                      <w:vertAlign w:val="baseline"/>
                      <w:lang w:eastAsia="zh-CN"/>
                    </w:rPr>
                  </w:pPr>
                  <w:r>
                    <w:rPr>
                      <w:rFonts w:hint="eastAsia" w:ascii="Times New Roman" w:hAnsi="Times New Roman" w:eastAsia="宋体" w:cs="Times New Roman"/>
                      <w:color w:val="auto"/>
                      <w:sz w:val="21"/>
                      <w:szCs w:val="21"/>
                      <w:lang w:val="en-US" w:eastAsia="zh-CN"/>
                    </w:rPr>
                    <w:t>二硫化碳</w:t>
                  </w:r>
                </w:p>
              </w:tc>
              <w:tc>
                <w:tcPr>
                  <w:tcW w:w="2339" w:type="dxa"/>
                  <w:vAlign w:val="center"/>
                </w:tcPr>
                <w:p>
                  <w:pPr>
                    <w:widowControl/>
                    <w:spacing w:line="240" w:lineRule="auto"/>
                    <w:jc w:val="center"/>
                    <w:rPr>
                      <w:rFonts w:hint="eastAsia" w:ascii="Times New Roman" w:hAnsi="Times New Roman" w:cs="Times New Roman"/>
                      <w:b w:val="0"/>
                      <w:bCs/>
                      <w:color w:val="auto"/>
                      <w:kern w:val="0"/>
                      <w:sz w:val="21"/>
                      <w:szCs w:val="21"/>
                      <w:vertAlign w:val="baseline"/>
                      <w:lang w:eastAsia="zh-CN"/>
                    </w:rPr>
                  </w:pPr>
                  <w:r>
                    <w:rPr>
                      <w:rFonts w:hint="default" w:ascii="Times New Roman" w:hAnsi="Times New Roman" w:eastAsia="宋体" w:cs="Times New Roman"/>
                      <w:b w:val="0"/>
                      <w:bCs w:val="0"/>
                      <w:color w:val="auto"/>
                      <w:szCs w:val="24"/>
                    </w:rPr>
                    <w:t>mg/m</w:t>
                  </w:r>
                  <w:r>
                    <w:rPr>
                      <w:rFonts w:hint="default" w:ascii="Times New Roman" w:hAnsi="Times New Roman" w:eastAsia="宋体" w:cs="Times New Roman"/>
                      <w:b w:val="0"/>
                      <w:bCs w:val="0"/>
                      <w:color w:val="auto"/>
                      <w:szCs w:val="24"/>
                      <w:vertAlign w:val="superscript"/>
                    </w:rPr>
                    <w:t>3</w:t>
                  </w:r>
                </w:p>
              </w:tc>
              <w:tc>
                <w:tcPr>
                  <w:tcW w:w="2339" w:type="dxa"/>
                  <w:vAlign w:val="center"/>
                </w:tcPr>
                <w:p>
                  <w:pPr>
                    <w:widowControl/>
                    <w:spacing w:line="240" w:lineRule="auto"/>
                    <w:jc w:val="center"/>
                    <w:rPr>
                      <w:rFonts w:hint="default" w:ascii="Times New Roman" w:hAnsi="Times New Roman" w:cs="Times New Roman"/>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3.0</w:t>
                  </w:r>
                </w:p>
              </w:tc>
            </w:tr>
          </w:tbl>
          <w:p>
            <w:pPr>
              <w:widowControl/>
              <w:spacing w:line="240" w:lineRule="auto"/>
              <w:jc w:val="center"/>
              <w:rPr>
                <w:rFonts w:hint="default" w:ascii="Times New Roman" w:hAnsi="Times New Roman" w:cs="Times New Roman"/>
                <w:b/>
                <w:color w:val="auto"/>
                <w:kern w:val="0"/>
                <w:sz w:val="24"/>
                <w:lang w:eastAsia="zh-CN"/>
              </w:rPr>
            </w:pPr>
            <w:r>
              <w:rPr>
                <w:rFonts w:hint="default" w:ascii="Times New Roman" w:hAnsi="Times New Roman" w:cs="Times New Roman"/>
                <w:b/>
                <w:color w:val="auto"/>
                <w:kern w:val="0"/>
                <w:sz w:val="24"/>
              </w:rPr>
              <w:t>表</w:t>
            </w:r>
            <w:r>
              <w:rPr>
                <w:rFonts w:hint="eastAsia" w:ascii="Times New Roman" w:hAnsi="Times New Roman" w:cs="Times New Roman"/>
                <w:b/>
                <w:color w:val="auto"/>
                <w:kern w:val="0"/>
                <w:sz w:val="24"/>
                <w:lang w:val="en-US" w:eastAsia="zh-CN"/>
              </w:rPr>
              <w:t>3.16</w:t>
            </w:r>
            <w:r>
              <w:rPr>
                <w:rFonts w:hint="default" w:ascii="Times New Roman" w:hAnsi="Times New Roman" w:cs="Times New Roman"/>
                <w:b/>
                <w:color w:val="auto"/>
                <w:kern w:val="0"/>
                <w:sz w:val="24"/>
                <w:lang w:val="en-US" w:eastAsia="zh-CN"/>
              </w:rPr>
              <w:t xml:space="preserve">  恶臭</w:t>
            </w:r>
            <w:r>
              <w:rPr>
                <w:rFonts w:hint="default" w:ascii="Times New Roman" w:hAnsi="Times New Roman" w:cs="Times New Roman"/>
                <w:b/>
                <w:color w:val="auto"/>
                <w:kern w:val="0"/>
                <w:sz w:val="24"/>
              </w:rPr>
              <w:t>污染物</w:t>
            </w:r>
            <w:r>
              <w:rPr>
                <w:rFonts w:hint="eastAsia" w:ascii="Times New Roman" w:hAnsi="Times New Roman" w:cs="Times New Roman"/>
                <w:b/>
                <w:color w:val="auto"/>
                <w:kern w:val="0"/>
                <w:sz w:val="24"/>
                <w:lang w:eastAsia="zh-CN"/>
              </w:rPr>
              <w:t>排放</w:t>
            </w:r>
            <w:r>
              <w:rPr>
                <w:rFonts w:hint="default" w:ascii="Times New Roman" w:hAnsi="Times New Roman" w:cs="Times New Roman"/>
                <w:b/>
                <w:color w:val="auto"/>
                <w:kern w:val="0"/>
                <w:sz w:val="24"/>
                <w:lang w:eastAsia="zh-CN"/>
              </w:rPr>
              <w:t>标准值</w:t>
            </w:r>
            <w:r>
              <w:rPr>
                <w:rFonts w:hint="default" w:ascii="Times New Roman" w:hAnsi="Times New Roman" w:eastAsia="宋体" w:cs="Times New Roman"/>
                <w:b/>
                <w:bCs/>
                <w:color w:val="auto"/>
                <w:sz w:val="24"/>
                <w:szCs w:val="24"/>
              </w:rPr>
              <w:t>（GB14554-93）</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9"/>
              <w:gridCol w:w="2339"/>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序号</w:t>
                  </w:r>
                </w:p>
              </w:tc>
              <w:tc>
                <w:tcPr>
                  <w:tcW w:w="2339"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控制项目</w:t>
                  </w:r>
                </w:p>
              </w:tc>
              <w:tc>
                <w:tcPr>
                  <w:tcW w:w="2339" w:type="dxa"/>
                  <w:vAlign w:val="center"/>
                </w:tcPr>
                <w:p>
                  <w:pPr>
                    <w:widowControl/>
                    <w:spacing w:line="240" w:lineRule="auto"/>
                    <w:jc w:val="center"/>
                    <w:rPr>
                      <w:rFonts w:hint="default" w:ascii="Times New Roman" w:hAnsi="Times New Roman" w:cs="Times New Roman" w:eastAsiaTheme="minorEastAsia"/>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eastAsia="zh-CN"/>
                    </w:rPr>
                    <w:t>排气筒高度，</w:t>
                  </w:r>
                  <w:r>
                    <w:rPr>
                      <w:rFonts w:hint="eastAsia" w:ascii="Times New Roman" w:hAnsi="Times New Roman" w:cs="Times New Roman"/>
                      <w:b w:val="0"/>
                      <w:bCs/>
                      <w:color w:val="auto"/>
                      <w:kern w:val="0"/>
                      <w:sz w:val="21"/>
                      <w:szCs w:val="21"/>
                      <w:vertAlign w:val="baseline"/>
                      <w:lang w:val="en-US" w:eastAsia="zh-CN"/>
                    </w:rPr>
                    <w:t>m</w:t>
                  </w:r>
                </w:p>
              </w:tc>
              <w:tc>
                <w:tcPr>
                  <w:tcW w:w="2339" w:type="dxa"/>
                  <w:vAlign w:val="center"/>
                </w:tcPr>
                <w:p>
                  <w:pPr>
                    <w:widowControl/>
                    <w:spacing w:line="240" w:lineRule="auto"/>
                    <w:jc w:val="center"/>
                    <w:rPr>
                      <w:rFonts w:hint="default" w:ascii="Times New Roman" w:hAnsi="Times New Roman" w:cs="Times New Roman" w:eastAsiaTheme="minorEastAsia"/>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排放量，kg/h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1</w:t>
                  </w:r>
                </w:p>
              </w:tc>
              <w:tc>
                <w:tcPr>
                  <w:tcW w:w="2339" w:type="dxa"/>
                  <w:vAlign w:val="center"/>
                </w:tcPr>
                <w:p>
                  <w:pPr>
                    <w:widowControl/>
                    <w:spacing w:line="240" w:lineRule="auto"/>
                    <w:jc w:val="center"/>
                    <w:rPr>
                      <w:rFonts w:hint="eastAsia" w:ascii="Times New Roman" w:hAnsi="Times New Roman" w:cs="Times New Roman" w:eastAsiaTheme="minorEastAsia"/>
                      <w:b w:val="0"/>
                      <w:bCs/>
                      <w:color w:val="auto"/>
                      <w:kern w:val="0"/>
                      <w:sz w:val="21"/>
                      <w:szCs w:val="21"/>
                      <w:vertAlign w:val="baseline"/>
                      <w:lang w:eastAsia="zh-CN"/>
                    </w:rPr>
                  </w:pPr>
                  <w:r>
                    <w:rPr>
                      <w:rFonts w:hint="eastAsia" w:ascii="Times New Roman" w:hAnsi="Times New Roman" w:cs="Times New Roman"/>
                      <w:b w:val="0"/>
                      <w:bCs/>
                      <w:color w:val="auto"/>
                      <w:kern w:val="0"/>
                      <w:sz w:val="21"/>
                      <w:szCs w:val="21"/>
                      <w:vertAlign w:val="baseline"/>
                      <w:lang w:eastAsia="zh-CN"/>
                    </w:rPr>
                    <w:t>臭气浓度</w:t>
                  </w:r>
                </w:p>
              </w:tc>
              <w:tc>
                <w:tcPr>
                  <w:tcW w:w="2339" w:type="dxa"/>
                  <w:vAlign w:val="center"/>
                </w:tcPr>
                <w:p>
                  <w:pPr>
                    <w:widowControl/>
                    <w:spacing w:line="240" w:lineRule="auto"/>
                    <w:jc w:val="center"/>
                    <w:rPr>
                      <w:rFonts w:hint="default" w:ascii="Times New Roman" w:hAnsi="Times New Roman" w:cs="Times New Roman" w:eastAsiaTheme="minorEastAsia"/>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15</w:t>
                  </w:r>
                </w:p>
              </w:tc>
              <w:tc>
                <w:tcPr>
                  <w:tcW w:w="2339" w:type="dxa"/>
                  <w:vAlign w:val="center"/>
                </w:tcPr>
                <w:p>
                  <w:pPr>
                    <w:widowControl/>
                    <w:spacing w:line="240" w:lineRule="auto"/>
                    <w:jc w:val="center"/>
                    <w:rPr>
                      <w:rFonts w:hint="default" w:ascii="Times New Roman" w:hAnsi="Times New Roman" w:cs="Times New Roman" w:eastAsiaTheme="minorEastAsia"/>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标准值（无量纲）：2000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Align w:val="center"/>
                </w:tcPr>
                <w:p>
                  <w:pPr>
                    <w:widowControl/>
                    <w:spacing w:line="240" w:lineRule="auto"/>
                    <w:jc w:val="center"/>
                    <w:rPr>
                      <w:rFonts w:hint="default" w:ascii="Times New Roman" w:hAnsi="Times New Roman" w:cs="Times New Roman"/>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2</w:t>
                  </w:r>
                </w:p>
              </w:tc>
              <w:tc>
                <w:tcPr>
                  <w:tcW w:w="2339" w:type="dxa"/>
                  <w:vAlign w:val="center"/>
                </w:tcPr>
                <w:p>
                  <w:pPr>
                    <w:widowControl/>
                    <w:spacing w:line="240" w:lineRule="auto"/>
                    <w:jc w:val="center"/>
                    <w:rPr>
                      <w:rFonts w:hint="eastAsia" w:ascii="Times New Roman" w:hAnsi="Times New Roman" w:cs="Times New Roman"/>
                      <w:b w:val="0"/>
                      <w:bCs/>
                      <w:color w:val="auto"/>
                      <w:kern w:val="0"/>
                      <w:sz w:val="21"/>
                      <w:szCs w:val="21"/>
                      <w:vertAlign w:val="baseline"/>
                      <w:lang w:eastAsia="zh-CN"/>
                    </w:rPr>
                  </w:pPr>
                  <w:r>
                    <w:rPr>
                      <w:rFonts w:hint="eastAsia" w:ascii="Times New Roman" w:hAnsi="Times New Roman" w:eastAsia="宋体" w:cs="Times New Roman"/>
                      <w:color w:val="auto"/>
                      <w:sz w:val="21"/>
                      <w:szCs w:val="21"/>
                      <w:lang w:val="en-US" w:eastAsia="zh-CN"/>
                    </w:rPr>
                    <w:t>二硫化碳</w:t>
                  </w:r>
                </w:p>
              </w:tc>
              <w:tc>
                <w:tcPr>
                  <w:tcW w:w="2339" w:type="dxa"/>
                  <w:vAlign w:val="center"/>
                </w:tcPr>
                <w:p>
                  <w:pPr>
                    <w:widowControl/>
                    <w:spacing w:line="240" w:lineRule="auto"/>
                    <w:jc w:val="center"/>
                    <w:rPr>
                      <w:rFonts w:hint="default" w:ascii="Times New Roman" w:hAnsi="Times New Roman" w:cs="Times New Roman"/>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15</w:t>
                  </w:r>
                </w:p>
              </w:tc>
              <w:tc>
                <w:tcPr>
                  <w:tcW w:w="2339" w:type="dxa"/>
                  <w:vAlign w:val="center"/>
                </w:tcPr>
                <w:p>
                  <w:pPr>
                    <w:widowControl/>
                    <w:spacing w:line="240" w:lineRule="auto"/>
                    <w:jc w:val="center"/>
                    <w:rPr>
                      <w:rFonts w:hint="default" w:ascii="Times New Roman" w:hAnsi="Times New Roman" w:cs="Times New Roman"/>
                      <w:b w:val="0"/>
                      <w:bCs/>
                      <w:color w:val="auto"/>
                      <w:kern w:val="0"/>
                      <w:sz w:val="21"/>
                      <w:szCs w:val="21"/>
                      <w:vertAlign w:val="baseline"/>
                      <w:lang w:val="en-US" w:eastAsia="zh-CN"/>
                    </w:rPr>
                  </w:pPr>
                  <w:r>
                    <w:rPr>
                      <w:rFonts w:hint="eastAsia" w:ascii="Times New Roman" w:hAnsi="Times New Roman" w:cs="Times New Roman"/>
                      <w:b w:val="0"/>
                      <w:bCs/>
                      <w:color w:val="auto"/>
                      <w:kern w:val="0"/>
                      <w:sz w:val="21"/>
                      <w:szCs w:val="21"/>
                      <w:vertAlign w:val="baseline"/>
                      <w:lang w:val="en-US" w:eastAsia="zh-CN"/>
                    </w:rPr>
                    <w:t>1.5</w:t>
                  </w:r>
                </w:p>
              </w:tc>
            </w:tr>
          </w:tbl>
          <w:p>
            <w:pPr>
              <w:ind w:firstLine="482" w:firstLineChars="200"/>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表3.</w:t>
            </w:r>
            <w:r>
              <w:rPr>
                <w:rFonts w:hint="eastAsia" w:ascii="Times New Roman" w:hAnsi="Times New Roman" w:eastAsia="宋体" w:cs="Times New Roman"/>
                <w:b/>
                <w:bCs/>
                <w:color w:val="auto"/>
                <w:sz w:val="24"/>
                <w:lang w:val="en-US" w:eastAsia="zh-CN"/>
              </w:rPr>
              <w:t>17</w:t>
            </w:r>
            <w:r>
              <w:rPr>
                <w:rFonts w:ascii="Times New Roman" w:hAnsi="Times New Roman" w:eastAsia="宋体" w:cs="Times New Roman"/>
                <w:b/>
                <w:bCs/>
                <w:color w:val="auto"/>
                <w:sz w:val="24"/>
              </w:rPr>
              <w:t xml:space="preserve">  大气污染物特别排放限值（GB31572-2015）  单位：mg/m</w:t>
            </w:r>
            <w:r>
              <w:rPr>
                <w:rFonts w:ascii="Times New Roman" w:hAnsi="Times New Roman" w:eastAsia="宋体" w:cs="Times New Roman"/>
                <w:b/>
                <w:bCs/>
                <w:color w:val="auto"/>
                <w:sz w:val="24"/>
                <w:vertAlign w:val="superscript"/>
              </w:rPr>
              <w:t>3</w:t>
            </w:r>
          </w:p>
          <w:tbl>
            <w:tblPr>
              <w:tblStyle w:val="2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2870"/>
              <w:gridCol w:w="1240"/>
              <w:gridCol w:w="2178"/>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5"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序号</w:t>
                  </w:r>
                </w:p>
              </w:tc>
              <w:tc>
                <w:tcPr>
                  <w:tcW w:w="2870"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污染物项目</w:t>
                  </w:r>
                </w:p>
              </w:tc>
              <w:tc>
                <w:tcPr>
                  <w:tcW w:w="1240"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 排放限值</w:t>
                  </w:r>
                </w:p>
              </w:tc>
              <w:tc>
                <w:tcPr>
                  <w:tcW w:w="2178"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适用的合成树脂类型</w:t>
                  </w:r>
                </w:p>
              </w:tc>
              <w:tc>
                <w:tcPr>
                  <w:tcW w:w="2371"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2870"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非甲烷总烃</w:t>
                  </w:r>
                </w:p>
              </w:tc>
              <w:tc>
                <w:tcPr>
                  <w:tcW w:w="1240"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60</w:t>
                  </w:r>
                </w:p>
              </w:tc>
              <w:tc>
                <w:tcPr>
                  <w:tcW w:w="2178"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所有合成树脂</w:t>
                  </w:r>
                </w:p>
              </w:tc>
              <w:tc>
                <w:tcPr>
                  <w:tcW w:w="2371"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2870"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二苯基甲烷二异氰酸酯</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MDI</w:t>
                  </w:r>
                  <w:r>
                    <w:rPr>
                      <w:rFonts w:hint="eastAsia" w:ascii="Times New Roman" w:hAnsi="Times New Roman" w:eastAsia="宋体" w:cs="Times New Roman"/>
                      <w:color w:val="auto"/>
                      <w:szCs w:val="21"/>
                      <w:lang w:eastAsia="zh-CN"/>
                    </w:rPr>
                    <w:t>）</w:t>
                  </w:r>
                </w:p>
              </w:tc>
              <w:tc>
                <w:tcPr>
                  <w:tcW w:w="1240"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2178"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聚氨酯树脂</w:t>
                  </w:r>
                </w:p>
              </w:tc>
              <w:tc>
                <w:tcPr>
                  <w:tcW w:w="2371"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gridSpan w:val="2"/>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单位产品非甲烷总烃排放量（kg/t产品）</w:t>
                  </w:r>
                </w:p>
              </w:tc>
              <w:tc>
                <w:tcPr>
                  <w:tcW w:w="124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w:t>
                  </w:r>
                </w:p>
              </w:tc>
              <w:tc>
                <w:tcPr>
                  <w:tcW w:w="2178"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所有合成树脂</w:t>
                  </w:r>
                </w:p>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（有机硅树脂除外）</w:t>
                  </w:r>
                </w:p>
              </w:tc>
              <w:tc>
                <w:tcPr>
                  <w:tcW w:w="2371"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车间或生产设施排气筒</w:t>
                  </w:r>
                </w:p>
              </w:tc>
            </w:tr>
          </w:tbl>
          <w:p>
            <w:pPr>
              <w:pStyle w:val="40"/>
              <w:spacing w:line="240" w:lineRule="auto"/>
              <w:rPr>
                <w:rFonts w:eastAsia="宋体" w:cs="Times New Roman"/>
                <w:b/>
                <w:bCs/>
                <w:color w:val="auto"/>
                <w:szCs w:val="24"/>
              </w:rPr>
            </w:pPr>
          </w:p>
          <w:p>
            <w:pPr>
              <w:pStyle w:val="40"/>
              <w:spacing w:line="240" w:lineRule="auto"/>
              <w:rPr>
                <w:rFonts w:eastAsia="宋体" w:cs="Times New Roman"/>
                <w:color w:val="auto"/>
                <w:szCs w:val="24"/>
              </w:rPr>
            </w:pPr>
            <w:r>
              <w:rPr>
                <w:rFonts w:eastAsia="宋体" w:cs="Times New Roman"/>
                <w:b/>
                <w:bCs/>
                <w:color w:val="auto"/>
                <w:szCs w:val="24"/>
              </w:rPr>
              <w:t>表3.</w:t>
            </w:r>
            <w:r>
              <w:rPr>
                <w:rFonts w:hint="eastAsia" w:eastAsia="宋体" w:cs="Times New Roman"/>
                <w:b/>
                <w:bCs/>
                <w:color w:val="auto"/>
                <w:szCs w:val="24"/>
                <w:lang w:val="en-US" w:eastAsia="zh-CN"/>
              </w:rPr>
              <w:t>18</w:t>
            </w:r>
            <w:r>
              <w:rPr>
                <w:rFonts w:eastAsia="宋体" w:cs="Times New Roman"/>
                <w:b/>
                <w:bCs/>
                <w:color w:val="auto"/>
                <w:szCs w:val="24"/>
              </w:rPr>
              <w:t xml:space="preserve">  企业边界大气污染物浓度限值</w:t>
            </w:r>
            <w:r>
              <w:rPr>
                <w:rFonts w:ascii="Times New Roman" w:hAnsi="Times New Roman" w:eastAsia="宋体" w:cs="Times New Roman"/>
                <w:b/>
                <w:bCs/>
                <w:color w:val="auto"/>
                <w:sz w:val="24"/>
              </w:rPr>
              <w:t>（GB31572-2015）</w:t>
            </w:r>
            <w:r>
              <w:rPr>
                <w:rFonts w:eastAsia="宋体" w:cs="Times New Roman"/>
                <w:b/>
                <w:bCs/>
                <w:color w:val="auto"/>
                <w:szCs w:val="24"/>
              </w:rPr>
              <w:t xml:space="preserve">  单位：mg/m</w:t>
            </w:r>
            <w:r>
              <w:rPr>
                <w:rFonts w:eastAsia="宋体" w:cs="Times New Roman"/>
                <w:b/>
                <w:bCs/>
                <w:color w:val="auto"/>
                <w:szCs w:val="24"/>
                <w:vertAlign w:val="superscript"/>
              </w:rPr>
              <w:t>3</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9"/>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vAlign w:val="center"/>
                </w:tcPr>
                <w:p>
                  <w:pPr>
                    <w:pStyle w:val="39"/>
                    <w:rPr>
                      <w:rFonts w:cs="Times New Roman"/>
                      <w:color w:val="auto"/>
                      <w:szCs w:val="21"/>
                    </w:rPr>
                  </w:pPr>
                  <w:r>
                    <w:rPr>
                      <w:rFonts w:cs="Times New Roman"/>
                      <w:color w:val="auto"/>
                      <w:szCs w:val="21"/>
                    </w:rPr>
                    <w:t>序号</w:t>
                  </w:r>
                </w:p>
              </w:tc>
              <w:tc>
                <w:tcPr>
                  <w:tcW w:w="3119" w:type="dxa"/>
                  <w:vAlign w:val="center"/>
                </w:tcPr>
                <w:p>
                  <w:pPr>
                    <w:pStyle w:val="39"/>
                    <w:rPr>
                      <w:rFonts w:cs="Times New Roman"/>
                      <w:color w:val="auto"/>
                      <w:szCs w:val="21"/>
                    </w:rPr>
                  </w:pPr>
                  <w:r>
                    <w:rPr>
                      <w:rFonts w:cs="Times New Roman"/>
                      <w:color w:val="auto"/>
                      <w:szCs w:val="21"/>
                    </w:rPr>
                    <w:t>污染物项目</w:t>
                  </w:r>
                </w:p>
              </w:tc>
              <w:tc>
                <w:tcPr>
                  <w:tcW w:w="3119" w:type="dxa"/>
                  <w:vAlign w:val="center"/>
                </w:tcPr>
                <w:p>
                  <w:pPr>
                    <w:pStyle w:val="39"/>
                    <w:rPr>
                      <w:rFonts w:cs="Times New Roman"/>
                      <w:color w:val="auto"/>
                      <w:szCs w:val="21"/>
                    </w:rPr>
                  </w:pPr>
                  <w:r>
                    <w:rPr>
                      <w:rFonts w:cs="Times New Roman"/>
                      <w:color w:val="auto"/>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vAlign w:val="center"/>
                </w:tcPr>
                <w:p>
                  <w:pPr>
                    <w:pStyle w:val="39"/>
                    <w:rPr>
                      <w:rFonts w:cs="Times New Roman"/>
                      <w:color w:val="auto"/>
                      <w:szCs w:val="21"/>
                    </w:rPr>
                  </w:pPr>
                  <w:r>
                    <w:rPr>
                      <w:rFonts w:cs="Times New Roman"/>
                      <w:color w:val="auto"/>
                      <w:szCs w:val="21"/>
                    </w:rPr>
                    <w:t>1</w:t>
                  </w:r>
                </w:p>
              </w:tc>
              <w:tc>
                <w:tcPr>
                  <w:tcW w:w="3119" w:type="dxa"/>
                  <w:vAlign w:val="center"/>
                </w:tcPr>
                <w:p>
                  <w:pPr>
                    <w:pStyle w:val="39"/>
                    <w:rPr>
                      <w:rFonts w:cs="Times New Roman"/>
                      <w:color w:val="auto"/>
                      <w:szCs w:val="21"/>
                    </w:rPr>
                  </w:pPr>
                  <w:r>
                    <w:rPr>
                      <w:rFonts w:cs="Times New Roman"/>
                      <w:color w:val="auto"/>
                      <w:szCs w:val="21"/>
                    </w:rPr>
                    <w:t>非甲烷总烃</w:t>
                  </w:r>
                </w:p>
              </w:tc>
              <w:tc>
                <w:tcPr>
                  <w:tcW w:w="3119" w:type="dxa"/>
                  <w:vAlign w:val="center"/>
                </w:tcPr>
                <w:p>
                  <w:pPr>
                    <w:pStyle w:val="39"/>
                    <w:rPr>
                      <w:rFonts w:cs="Times New Roman"/>
                      <w:color w:val="auto"/>
                      <w:szCs w:val="21"/>
                    </w:rPr>
                  </w:pPr>
                  <w:r>
                    <w:rPr>
                      <w:rFonts w:cs="Times New Roman"/>
                      <w:color w:val="auto"/>
                      <w:szCs w:val="21"/>
                    </w:rPr>
                    <w:t>4.0</w:t>
                  </w:r>
                </w:p>
              </w:tc>
            </w:tr>
          </w:tbl>
          <w:p>
            <w:pPr>
              <w:pStyle w:val="40"/>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表</w:t>
            </w:r>
            <w:r>
              <w:rPr>
                <w:rFonts w:hint="default" w:ascii="Times New Roman" w:hAnsi="Times New Roman" w:eastAsia="宋体" w:cs="Times New Roman"/>
                <w:b/>
                <w:bCs/>
                <w:color w:val="auto"/>
                <w:sz w:val="24"/>
                <w:szCs w:val="24"/>
                <w:lang w:val="en-US" w:eastAsia="zh-CN"/>
              </w:rPr>
              <w:t>3.</w:t>
            </w:r>
            <w:r>
              <w:rPr>
                <w:rFonts w:hint="eastAsia" w:eastAsia="宋体" w:cs="Times New Roman"/>
                <w:b/>
                <w:bCs/>
                <w:color w:val="auto"/>
                <w:sz w:val="24"/>
                <w:szCs w:val="24"/>
                <w:lang w:val="en-US" w:eastAsia="zh-CN"/>
              </w:rPr>
              <w:t>19</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厂区</w:t>
            </w:r>
            <w:r>
              <w:rPr>
                <w:rFonts w:hint="default" w:ascii="Times New Roman" w:hAnsi="Times New Roman" w:eastAsia="宋体" w:cs="Times New Roman"/>
                <w:b/>
                <w:bCs/>
                <w:color w:val="auto"/>
                <w:sz w:val="24"/>
                <w:szCs w:val="24"/>
                <w:lang w:val="en-US" w:eastAsia="zh-CN"/>
              </w:rPr>
              <w:t>内VOCs无组织排放限值</w:t>
            </w:r>
            <w:r>
              <w:rPr>
                <w:rFonts w:hint="eastAsia" w:ascii="宋体" w:hAnsi="宋体" w:eastAsia="宋体" w:cs="宋体"/>
                <w:b/>
                <w:bCs/>
                <w:color w:val="auto"/>
                <w:sz w:val="24"/>
                <w:szCs w:val="24"/>
                <w:lang w:val="en-US" w:eastAsia="zh-CN"/>
              </w:rPr>
              <w:t>（</w:t>
            </w:r>
            <w:r>
              <w:rPr>
                <w:rFonts w:hint="default" w:ascii="Times New Roman" w:hAnsi="Times New Roman" w:cs="Times New Roman"/>
                <w:b/>
                <w:bCs/>
                <w:color w:val="auto"/>
                <w:sz w:val="24"/>
                <w:szCs w:val="24"/>
                <w:lang w:val="en-US" w:eastAsia="zh-CN"/>
              </w:rPr>
              <w:t>GB37822-2019</w:t>
            </w:r>
            <w:r>
              <w:rPr>
                <w:rFonts w:hint="eastAsia" w:ascii="宋体" w:hAnsi="宋体" w:eastAsia="宋体" w:cs="宋体"/>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 xml:space="preserve">  单位：mg/m</w:t>
            </w:r>
            <w:r>
              <w:rPr>
                <w:rFonts w:hint="default" w:ascii="Times New Roman" w:hAnsi="Times New Roman" w:eastAsia="宋体" w:cs="Times New Roman"/>
                <w:b/>
                <w:bCs/>
                <w:color w:val="auto"/>
                <w:sz w:val="24"/>
                <w:szCs w:val="24"/>
                <w:vertAlign w:val="superscript"/>
                <w:lang w:val="en-US" w:eastAsia="zh-CN"/>
              </w:rPr>
              <w:t>3</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1182"/>
              <w:gridCol w:w="1693"/>
              <w:gridCol w:w="3164"/>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7" w:type="dxa"/>
                  <w:shd w:val="clear" w:color="auto" w:fill="auto"/>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污染物项目</w:t>
                  </w:r>
                </w:p>
              </w:tc>
              <w:tc>
                <w:tcPr>
                  <w:tcW w:w="1110" w:type="dxa"/>
                  <w:shd w:val="clear" w:color="auto" w:fill="auto"/>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排放限值</w:t>
                  </w:r>
                </w:p>
              </w:tc>
              <w:tc>
                <w:tcPr>
                  <w:tcW w:w="1590" w:type="dxa"/>
                  <w:shd w:val="clear" w:color="auto" w:fill="7E7E7E"/>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特别排放限值</w:t>
                  </w:r>
                </w:p>
              </w:tc>
              <w:tc>
                <w:tcPr>
                  <w:tcW w:w="2972" w:type="dxa"/>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限值含义</w:t>
                  </w:r>
                </w:p>
              </w:tc>
              <w:tc>
                <w:tcPr>
                  <w:tcW w:w="1758" w:type="dxa"/>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7" w:type="dxa"/>
                  <w:vMerge w:val="restart"/>
                  <w:shd w:val="clear" w:color="auto" w:fill="auto"/>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NMHC</w:t>
                  </w:r>
                </w:p>
              </w:tc>
              <w:tc>
                <w:tcPr>
                  <w:tcW w:w="1110" w:type="dxa"/>
                  <w:shd w:val="clear" w:color="auto" w:fill="auto"/>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590" w:type="dxa"/>
                  <w:shd w:val="clear" w:color="auto" w:fill="7E7E7E"/>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2972" w:type="dxa"/>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监控点处1 h平均浓度值</w:t>
                  </w:r>
                </w:p>
              </w:tc>
              <w:tc>
                <w:tcPr>
                  <w:tcW w:w="1758" w:type="dxa"/>
                  <w:vMerge w:val="restart"/>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7" w:type="dxa"/>
                  <w:vMerge w:val="continue"/>
                  <w:shd w:val="clear" w:color="auto" w:fill="auto"/>
                  <w:noWrap w:val="0"/>
                  <w:vAlign w:val="center"/>
                </w:tcPr>
                <w:p>
                  <w:pPr>
                    <w:pStyle w:val="39"/>
                    <w:rPr>
                      <w:rFonts w:hint="default" w:ascii="Times New Roman" w:hAnsi="Times New Roman" w:cs="Times New Roman"/>
                      <w:color w:val="auto"/>
                      <w:sz w:val="21"/>
                      <w:szCs w:val="21"/>
                      <w:lang w:val="en-US" w:eastAsia="zh-CN"/>
                    </w:rPr>
                  </w:pPr>
                </w:p>
              </w:tc>
              <w:tc>
                <w:tcPr>
                  <w:tcW w:w="1110" w:type="dxa"/>
                  <w:shd w:val="clear" w:color="auto" w:fill="auto"/>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590" w:type="dxa"/>
                  <w:shd w:val="clear" w:color="auto" w:fill="7E7E7E"/>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2972" w:type="dxa"/>
                  <w:noWrap w:val="0"/>
                  <w:vAlign w:val="center"/>
                </w:tcPr>
                <w:p>
                  <w:pPr>
                    <w:pStyle w:val="3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监控点处任意一次浓度值</w:t>
                  </w:r>
                </w:p>
              </w:tc>
              <w:tc>
                <w:tcPr>
                  <w:tcW w:w="1758" w:type="dxa"/>
                  <w:vMerge w:val="continue"/>
                  <w:noWrap w:val="0"/>
                  <w:vAlign w:val="center"/>
                </w:tcPr>
                <w:p>
                  <w:pPr>
                    <w:pStyle w:val="39"/>
                    <w:rPr>
                      <w:rFonts w:hint="default" w:ascii="Times New Roman" w:hAnsi="Times New Roman" w:cs="Times New Roman"/>
                      <w:color w:val="auto"/>
                      <w:sz w:val="21"/>
                      <w:szCs w:val="21"/>
                      <w:lang w:val="en-US" w:eastAsia="zh-CN"/>
                    </w:rPr>
                  </w:pPr>
                </w:p>
              </w:tc>
            </w:tr>
          </w:tbl>
          <w:p>
            <w:pPr>
              <w:pStyle w:val="40"/>
              <w:spacing w:line="24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3.</w:t>
            </w:r>
            <w:r>
              <w:rPr>
                <w:rFonts w:hint="eastAsia" w:eastAsia="宋体" w:cs="Times New Roman"/>
                <w:b/>
                <w:bCs/>
                <w:color w:val="auto"/>
                <w:sz w:val="24"/>
                <w:lang w:val="en-US" w:eastAsia="zh-CN"/>
              </w:rPr>
              <w:t>20</w:t>
            </w:r>
            <w:r>
              <w:rPr>
                <w:rFonts w:hint="default" w:ascii="Times New Roman" w:hAnsi="Times New Roman" w:eastAsia="宋体" w:cs="Times New Roman"/>
                <w:b/>
                <w:bCs/>
                <w:color w:val="auto"/>
                <w:sz w:val="24"/>
              </w:rPr>
              <w:t xml:space="preserve">  饮食业油烟最高允许排放浓度</w:t>
            </w:r>
            <w:r>
              <w:rPr>
                <w:rFonts w:hint="eastAsia" w:ascii="宋体" w:hAnsi="宋体" w:eastAsia="宋体" w:cs="宋体"/>
                <w:b/>
                <w:bCs/>
                <w:color w:val="auto"/>
                <w:sz w:val="24"/>
                <w:szCs w:val="24"/>
              </w:rPr>
              <w:t>（</w:t>
            </w:r>
            <w:r>
              <w:rPr>
                <w:rFonts w:hint="default" w:ascii="Times New Roman" w:hAnsi="Times New Roman" w:cs="Times New Roman"/>
                <w:b/>
                <w:bCs/>
                <w:color w:val="auto"/>
                <w:sz w:val="24"/>
                <w:szCs w:val="24"/>
              </w:rPr>
              <w:t>GB1843-2001</w:t>
            </w:r>
            <w:r>
              <w:rPr>
                <w:rFonts w:hint="eastAsia" w:ascii="宋体" w:hAnsi="宋体" w:eastAsia="宋体" w:cs="宋体"/>
                <w:b/>
                <w:bCs/>
                <w:color w:val="auto"/>
                <w:sz w:val="24"/>
                <w:szCs w:val="24"/>
              </w:rPr>
              <w:t>）</w:t>
            </w:r>
          </w:p>
          <w:tbl>
            <w:tblPr>
              <w:tblStyle w:val="2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5"/>
              <w:gridCol w:w="1589"/>
              <w:gridCol w:w="1590"/>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5" w:type="dxa"/>
                  <w:shd w:val="clear" w:color="auto" w:fill="auto"/>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规模</w:t>
                  </w:r>
                </w:p>
              </w:tc>
              <w:tc>
                <w:tcPr>
                  <w:tcW w:w="1520" w:type="dxa"/>
                  <w:shd w:val="clear" w:color="auto" w:fill="7E7E7E" w:themeFill="background1" w:themeFillShade="7F"/>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小型</w:t>
                  </w:r>
                </w:p>
              </w:tc>
              <w:tc>
                <w:tcPr>
                  <w:tcW w:w="1521" w:type="dxa"/>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中型</w:t>
                  </w:r>
                </w:p>
              </w:tc>
              <w:tc>
                <w:tcPr>
                  <w:tcW w:w="1520" w:type="dxa"/>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5" w:type="dxa"/>
                  <w:shd w:val="clear" w:color="auto" w:fill="auto"/>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基准灶头数</w:t>
                  </w:r>
                </w:p>
              </w:tc>
              <w:tc>
                <w:tcPr>
                  <w:tcW w:w="1520" w:type="dxa"/>
                  <w:shd w:val="clear" w:color="auto" w:fill="7E7E7E" w:themeFill="background1" w:themeFillShade="7F"/>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≥1，&lt;3</w:t>
                  </w:r>
                </w:p>
              </w:tc>
              <w:tc>
                <w:tcPr>
                  <w:tcW w:w="1521" w:type="dxa"/>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≥3，&lt;6</w:t>
                  </w:r>
                </w:p>
              </w:tc>
              <w:tc>
                <w:tcPr>
                  <w:tcW w:w="1520" w:type="dxa"/>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5" w:type="dxa"/>
                  <w:shd w:val="clear" w:color="auto" w:fill="auto"/>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最高允许排放浓度（mg/m</w:t>
                  </w:r>
                  <w:r>
                    <w:rPr>
                      <w:rFonts w:hint="default" w:ascii="Times New Roman" w:hAnsi="Times New Roman" w:eastAsia="宋体" w:cs="Times New Roman"/>
                      <w:color w:val="auto"/>
                      <w:szCs w:val="22"/>
                      <w:vertAlign w:val="superscript"/>
                    </w:rPr>
                    <w:t>3</w:t>
                  </w:r>
                  <w:r>
                    <w:rPr>
                      <w:rFonts w:hint="default" w:ascii="Times New Roman" w:hAnsi="Times New Roman" w:eastAsia="宋体" w:cs="Times New Roman"/>
                      <w:color w:val="auto"/>
                      <w:szCs w:val="22"/>
                    </w:rPr>
                    <w:t>）</w:t>
                  </w:r>
                </w:p>
              </w:tc>
              <w:tc>
                <w:tcPr>
                  <w:tcW w:w="4561" w:type="dxa"/>
                  <w:gridSpan w:val="3"/>
                  <w:shd w:val="clear" w:color="auto" w:fill="7E7E7E" w:themeFill="background1" w:themeFillShade="7F"/>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5" w:type="dxa"/>
                  <w:shd w:val="clear" w:color="auto" w:fill="auto"/>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净化设施最低去除效率（%）</w:t>
                  </w:r>
                </w:p>
              </w:tc>
              <w:tc>
                <w:tcPr>
                  <w:tcW w:w="1520" w:type="dxa"/>
                  <w:shd w:val="clear" w:color="auto" w:fill="7E7E7E" w:themeFill="background1" w:themeFillShade="7F"/>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60</w:t>
                  </w:r>
                </w:p>
              </w:tc>
              <w:tc>
                <w:tcPr>
                  <w:tcW w:w="1521" w:type="dxa"/>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75</w:t>
                  </w:r>
                </w:p>
              </w:tc>
              <w:tc>
                <w:tcPr>
                  <w:tcW w:w="1520" w:type="dxa"/>
                  <w:noWrap w:val="0"/>
                  <w:vAlign w:val="center"/>
                </w:tcPr>
                <w:p>
                  <w:pPr>
                    <w:pStyle w:val="39"/>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85</w:t>
                  </w:r>
                </w:p>
              </w:tc>
            </w:tr>
          </w:tbl>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3、噪声排放标准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项目施工期噪声执行《建筑施工场界环境噪声排放标准》（GB12523-2011）中标准限值要求</w:t>
            </w:r>
            <w:r>
              <w:rPr>
                <w:rFonts w:hint="default" w:ascii="Times New Roman" w:hAnsi="Times New Roman" w:cs="Times New Roman"/>
                <w:color w:val="auto"/>
                <w:sz w:val="24"/>
                <w:szCs w:val="24"/>
                <w:lang w:eastAsia="zh-CN"/>
              </w:rPr>
              <w:t>，相关标准限值见表</w:t>
            </w:r>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；项目运营期</w:t>
            </w:r>
            <w:r>
              <w:rPr>
                <w:rFonts w:hint="default" w:ascii="Times New Roman" w:hAnsi="Times New Roman" w:cs="Times New Roman"/>
                <w:color w:val="auto"/>
                <w:sz w:val="24"/>
                <w:szCs w:val="24"/>
                <w:lang w:eastAsia="zh-CN"/>
              </w:rPr>
              <w:t>东、西、南、北侧厂界</w:t>
            </w:r>
            <w:r>
              <w:rPr>
                <w:rFonts w:hint="default" w:ascii="Times New Roman" w:hAnsi="Times New Roman" w:cs="Times New Roman"/>
                <w:color w:val="auto"/>
                <w:sz w:val="24"/>
                <w:szCs w:val="24"/>
              </w:rPr>
              <w:t>噪声执行《工业企业厂界环境噪声排放标准》（GB12348-2008）中</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类标准</w:t>
            </w:r>
            <w:r>
              <w:rPr>
                <w:rFonts w:hint="default" w:ascii="Times New Roman" w:hAnsi="Times New Roman" w:cs="Times New Roman"/>
                <w:color w:val="auto"/>
                <w:sz w:val="24"/>
                <w:szCs w:val="24"/>
                <w:lang w:eastAsia="zh-CN"/>
              </w:rPr>
              <w:t>，相关标准限值见表</w:t>
            </w:r>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w:t>
            </w:r>
          </w:p>
          <w:p>
            <w:pPr>
              <w:ind w:left="94" w:leftChars="45"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21</w:t>
            </w:r>
            <w:r>
              <w:rPr>
                <w:rFonts w:hint="default" w:ascii="Times New Roman" w:hAnsi="Times New Roman" w:cs="Times New Roman"/>
                <w:b/>
                <w:bCs/>
                <w:color w:val="auto"/>
                <w:sz w:val="24"/>
                <w:szCs w:val="24"/>
              </w:rPr>
              <w:t xml:space="preserve">  建筑施工场界噪声排放限值 单位：dB（A）</w:t>
            </w:r>
          </w:p>
          <w:tbl>
            <w:tblPr>
              <w:tblStyle w:val="2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6"/>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439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39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pPr>
              <w:ind w:left="94" w:leftChars="45"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22</w:t>
            </w:r>
            <w:r>
              <w:rPr>
                <w:rFonts w:hint="default" w:ascii="Times New Roman" w:hAnsi="Times New Roman" w:cs="Times New Roman"/>
                <w:b/>
                <w:bCs/>
                <w:color w:val="auto"/>
                <w:sz w:val="24"/>
                <w:szCs w:val="24"/>
              </w:rPr>
              <w:t xml:space="preserve">  工业企业厂界环境噪声排放限值 单位：dB（A）</w:t>
            </w:r>
          </w:p>
          <w:tbl>
            <w:tblPr>
              <w:tblStyle w:val="24"/>
              <w:tblW w:w="935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262"/>
              <w:gridCol w:w="2792"/>
              <w:gridCol w:w="230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7" w:hRule="exact"/>
                <w:jc w:val="center"/>
              </w:trPr>
              <w:tc>
                <w:tcPr>
                  <w:tcW w:w="4262" w:type="dxa"/>
                  <w:tcBorders>
                    <w:top w:val="single" w:color="auto" w:sz="8" w:space="0"/>
                    <w:left w:val="single" w:color="auto" w:sz="8" w:space="0"/>
                    <w:bottom w:val="single" w:color="auto" w:sz="8" w:space="0"/>
                  </w:tcBorders>
                  <w:noWrap w:val="0"/>
                  <w:vAlign w:val="center"/>
                </w:tcPr>
                <w:p>
                  <w:pPr>
                    <w:autoSpaceDE w:val="0"/>
                    <w:autoSpaceDN w:val="0"/>
                    <w:adjustRightInd w:val="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声环境功能区类别</w:t>
                  </w:r>
                </w:p>
              </w:tc>
              <w:tc>
                <w:tcPr>
                  <w:tcW w:w="2792" w:type="dxa"/>
                  <w:tcBorders>
                    <w:top w:val="single" w:color="auto" w:sz="8" w:space="0"/>
                    <w:bottom w:val="single" w:color="auto" w:sz="8" w:space="0"/>
                  </w:tcBorders>
                  <w:noWrap w:val="0"/>
                  <w:vAlign w:val="center"/>
                </w:tcPr>
                <w:p>
                  <w:pPr>
                    <w:autoSpaceDE w:val="0"/>
                    <w:autoSpaceDN w:val="0"/>
                    <w:adjustRightInd w:val="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昼间</w:t>
                  </w:r>
                </w:p>
              </w:tc>
              <w:tc>
                <w:tcPr>
                  <w:tcW w:w="2300" w:type="dxa"/>
                  <w:tcBorders>
                    <w:top w:val="single" w:color="auto" w:sz="8" w:space="0"/>
                    <w:bottom w:val="single" w:color="auto" w:sz="8" w:space="0"/>
                    <w:right w:val="single" w:color="auto" w:sz="8" w:space="0"/>
                  </w:tcBorders>
                  <w:noWrap w:val="0"/>
                  <w:vAlign w:val="center"/>
                </w:tcPr>
                <w:p>
                  <w:pPr>
                    <w:autoSpaceDE w:val="0"/>
                    <w:autoSpaceDN w:val="0"/>
                    <w:adjustRightInd w:val="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8" w:hRule="exact"/>
                <w:jc w:val="center"/>
              </w:trPr>
              <w:tc>
                <w:tcPr>
                  <w:tcW w:w="4262" w:type="dxa"/>
                  <w:tcBorders>
                    <w:top w:val="single" w:color="auto" w:sz="8" w:space="0"/>
                    <w:left w:val="single" w:color="auto" w:sz="8" w:space="0"/>
                    <w:bottom w:val="single" w:color="auto" w:sz="8" w:space="0"/>
                  </w:tcBorders>
                  <w:noWrap w:val="0"/>
                  <w:vAlign w:val="center"/>
                </w:tcPr>
                <w:p>
                  <w:pPr>
                    <w:autoSpaceDE w:val="0"/>
                    <w:autoSpaceDN w:val="0"/>
                    <w:adjustRightInd w:val="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zh-CN"/>
                    </w:rPr>
                    <w:t>类</w:t>
                  </w:r>
                </w:p>
              </w:tc>
              <w:tc>
                <w:tcPr>
                  <w:tcW w:w="2792" w:type="dxa"/>
                  <w:tcBorders>
                    <w:top w:val="single" w:color="auto" w:sz="8" w:space="0"/>
                    <w:bottom w:val="single" w:color="auto" w:sz="8" w:space="0"/>
                  </w:tcBorders>
                  <w:noWrap w:val="0"/>
                  <w:vAlign w:val="center"/>
                </w:tcPr>
                <w:p>
                  <w:pPr>
                    <w:autoSpaceDE w:val="0"/>
                    <w:autoSpaceDN w:val="0"/>
                    <w:adjustRightInd w:val="0"/>
                    <w:jc w:val="center"/>
                    <w:rPr>
                      <w:rFonts w:hint="default" w:ascii="Times New Roman" w:hAnsi="Times New Roman" w:cs="Times New Roman"/>
                      <w:color w:val="auto"/>
                      <w:sz w:val="21"/>
                      <w:szCs w:val="21"/>
                      <w:lang w:val="zh-CN" w:eastAsia="zh-CN"/>
                    </w:rPr>
                  </w:pPr>
                  <w:r>
                    <w:rPr>
                      <w:rFonts w:hint="default" w:ascii="Times New Roman" w:hAnsi="Times New Roman" w:cs="Times New Roman"/>
                      <w:color w:val="auto"/>
                      <w:sz w:val="21"/>
                      <w:szCs w:val="21"/>
                      <w:lang w:val="zh-CN"/>
                    </w:rPr>
                    <w:t>6</w:t>
                  </w:r>
                  <w:r>
                    <w:rPr>
                      <w:rFonts w:hint="default" w:ascii="Times New Roman" w:hAnsi="Times New Roman" w:cs="Times New Roman"/>
                      <w:color w:val="auto"/>
                      <w:sz w:val="21"/>
                      <w:szCs w:val="21"/>
                      <w:lang w:val="en-US" w:eastAsia="zh-CN"/>
                    </w:rPr>
                    <w:t>5</w:t>
                  </w:r>
                </w:p>
              </w:tc>
              <w:tc>
                <w:tcPr>
                  <w:tcW w:w="2300" w:type="dxa"/>
                  <w:tcBorders>
                    <w:top w:val="single" w:color="auto" w:sz="8" w:space="0"/>
                    <w:bottom w:val="single" w:color="auto" w:sz="8" w:space="0"/>
                    <w:right w:val="single" w:color="auto" w:sz="8" w:space="0"/>
                  </w:tcBorders>
                  <w:noWrap w:val="0"/>
                  <w:vAlign w:val="center"/>
                </w:tcPr>
                <w:p>
                  <w:pPr>
                    <w:autoSpaceDE w:val="0"/>
                    <w:autoSpaceDN w:val="0"/>
                    <w:adjustRightInd w:val="0"/>
                    <w:jc w:val="center"/>
                    <w:rPr>
                      <w:rFonts w:hint="default" w:ascii="Times New Roman" w:hAnsi="Times New Roman" w:cs="Times New Roman"/>
                      <w:color w:val="auto"/>
                      <w:sz w:val="21"/>
                      <w:szCs w:val="21"/>
                      <w:lang w:val="zh-CN" w:eastAsia="zh-CN"/>
                    </w:rPr>
                  </w:pPr>
                  <w:r>
                    <w:rPr>
                      <w:rFonts w:hint="default" w:ascii="Times New Roman" w:hAnsi="Times New Roman" w:cs="Times New Roman"/>
                      <w:color w:val="auto"/>
                      <w:sz w:val="21"/>
                      <w:szCs w:val="21"/>
                      <w:lang w:val="zh-CN"/>
                    </w:rPr>
                    <w:t>5</w:t>
                  </w:r>
                  <w:r>
                    <w:rPr>
                      <w:rFonts w:hint="default" w:ascii="Times New Roman" w:hAnsi="Times New Roman" w:cs="Times New Roman"/>
                      <w:color w:val="auto"/>
                      <w:sz w:val="21"/>
                      <w:szCs w:val="21"/>
                      <w:lang w:val="en-US" w:eastAsia="zh-CN"/>
                    </w:rPr>
                    <w:t>5</w:t>
                  </w:r>
                </w:p>
              </w:tc>
            </w:tr>
          </w:tbl>
          <w:p>
            <w:pPr>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 xml:space="preserve"> 4、固废控制标准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一般工业固体废物</w:t>
            </w:r>
            <w:r>
              <w:rPr>
                <w:rFonts w:hint="eastAsia" w:ascii="Times New Roman" w:hAnsi="Times New Roman" w:cs="Times New Roman"/>
                <w:color w:val="auto"/>
                <w:sz w:val="24"/>
                <w:szCs w:val="24"/>
                <w:lang w:eastAsia="zh-CN"/>
              </w:rPr>
              <w:t>贮存</w:t>
            </w:r>
            <w:r>
              <w:rPr>
                <w:rFonts w:hint="default" w:ascii="Times New Roman" w:hAnsi="Times New Roman" w:cs="Times New Roman"/>
                <w:b/>
                <w:bCs/>
                <w:color w:val="auto"/>
                <w:sz w:val="24"/>
                <w:szCs w:val="24"/>
              </w:rPr>
              <w:t>参照</w:t>
            </w:r>
            <w:r>
              <w:rPr>
                <w:rFonts w:hint="default" w:ascii="Times New Roman" w:hAnsi="Times New Roman" w:cs="Times New Roman"/>
                <w:color w:val="auto"/>
                <w:sz w:val="24"/>
                <w:szCs w:val="24"/>
              </w:rPr>
              <w:t>执行《一般工业固体废物贮存</w:t>
            </w:r>
            <w:r>
              <w:rPr>
                <w:rFonts w:hint="default" w:ascii="Times New Roman" w:hAnsi="Times New Roman" w:cs="Times New Roman"/>
                <w:color w:val="auto"/>
                <w:sz w:val="24"/>
                <w:szCs w:val="24"/>
                <w:lang w:val="en-US" w:eastAsia="zh-CN"/>
              </w:rPr>
              <w:t>和填埋</w:t>
            </w:r>
            <w:r>
              <w:rPr>
                <w:rFonts w:hint="default" w:ascii="Times New Roman" w:hAnsi="Times New Roman" w:cs="Times New Roman"/>
                <w:color w:val="auto"/>
                <w:sz w:val="24"/>
                <w:szCs w:val="24"/>
              </w:rPr>
              <w:t>污染控制标准》（GB18599-20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，贮存过程应满足相应防渗漏、防雨淋、防扬尘等环境保护要求</w:t>
            </w:r>
            <w:r>
              <w:rPr>
                <w:rFonts w:hint="default" w:ascii="Times New Roman" w:hAnsi="Times New Roman" w:cs="Times New Roman"/>
                <w:color w:val="auto"/>
                <w:sz w:val="24"/>
                <w:szCs w:val="24"/>
              </w:rPr>
              <w:t>；危险废物按《危险废物贮存污染控制标准》（GB18597-20</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）执行。</w:t>
            </w:r>
          </w:p>
          <w:p>
            <w:pPr>
              <w:pStyle w:val="29"/>
              <w:ind w:left="0" w:leftChars="0" w:firstLine="0" w:firstLineChars="0"/>
              <w:rPr>
                <w:rFonts w:hint="default"/>
                <w:color w:val="auto"/>
              </w:rPr>
            </w:pPr>
          </w:p>
          <w:p>
            <w:pPr>
              <w:pStyle w:val="32"/>
              <w:rPr>
                <w:rFonts w:hint="default"/>
                <w:color w:val="auto"/>
              </w:rPr>
            </w:pPr>
          </w:p>
          <w:p>
            <w:pPr>
              <w:pStyle w:val="32"/>
              <w:rPr>
                <w:rFonts w:hint="default"/>
                <w:color w:val="auto"/>
              </w:rPr>
            </w:pPr>
          </w:p>
          <w:p>
            <w:pPr>
              <w:pStyle w:val="32"/>
              <w:rPr>
                <w:rFonts w:hint="default"/>
                <w:color w:val="auto"/>
              </w:rPr>
            </w:pPr>
          </w:p>
          <w:p>
            <w:pPr>
              <w:pStyle w:val="32"/>
              <w:rPr>
                <w:rFonts w:hint="default"/>
                <w:color w:val="auto"/>
              </w:rPr>
            </w:pPr>
          </w:p>
          <w:p>
            <w:pPr>
              <w:pStyle w:val="32"/>
              <w:rPr>
                <w:rFonts w:hint="default"/>
                <w:color w:val="auto"/>
              </w:rPr>
            </w:pPr>
          </w:p>
          <w:p>
            <w:pPr>
              <w:pStyle w:val="32"/>
              <w:rPr>
                <w:rFonts w:hint="default"/>
                <w:color w:val="auto"/>
              </w:rPr>
            </w:pPr>
          </w:p>
          <w:p>
            <w:pPr>
              <w:pStyle w:val="32"/>
              <w:rPr>
                <w:rFonts w:hint="default"/>
                <w:color w:val="auto"/>
              </w:rPr>
            </w:pPr>
          </w:p>
          <w:p>
            <w:pPr>
              <w:pStyle w:val="32"/>
              <w:ind w:left="0" w:leftChars="0" w:firstLine="0" w:firstLineChars="0"/>
              <w:rPr>
                <w:rFonts w:hint="default"/>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总量控制指标</w:t>
            </w:r>
          </w:p>
        </w:tc>
        <w:tc>
          <w:tcPr>
            <w:tcW w:w="8637" w:type="dxa"/>
            <w:vAlign w:val="center"/>
          </w:tcPr>
          <w:p>
            <w:pPr>
              <w:spacing w:line="360" w:lineRule="auto"/>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（1）废气</w:t>
            </w:r>
          </w:p>
          <w:p>
            <w:pPr>
              <w:autoSpaceDE w:val="0"/>
              <w:autoSpaceDN w:val="0"/>
              <w:adjustRightInd w:val="0"/>
              <w:spacing w:line="360" w:lineRule="auto"/>
              <w:ind w:firstLine="480" w:firstLineChars="200"/>
              <w:rPr>
                <w:rFonts w:hint="eastAsia" w:ascii="宋体" w:hAnsi="宋体" w:eastAsia="宋体" w:cs="宋体"/>
                <w:color w:val="auto"/>
                <w:sz w:val="24"/>
                <w:szCs w:val="24"/>
              </w:rPr>
            </w:pPr>
            <w:r>
              <w:rPr>
                <w:rFonts w:hint="default" w:ascii="Times New Roman" w:hAnsi="Times New Roman" w:cs="Times New Roman"/>
                <w:color w:val="auto"/>
                <w:sz w:val="24"/>
                <w:szCs w:val="24"/>
              </w:rPr>
              <w:t>《关于</w:t>
            </w:r>
            <w:r>
              <w:rPr>
                <w:rFonts w:hint="default" w:ascii="Times New Roman" w:hAnsi="Times New Roman" w:cs="Times New Roman"/>
                <w:color w:val="auto"/>
                <w:sz w:val="24"/>
                <w:szCs w:val="24"/>
                <w:lang w:val="en-US" w:eastAsia="zh-CN"/>
              </w:rPr>
              <w:t>&lt;</w:t>
            </w:r>
            <w:r>
              <w:rPr>
                <w:rFonts w:hint="default" w:ascii="Times New Roman" w:hAnsi="Times New Roman" w:cs="Times New Roman"/>
                <w:color w:val="auto"/>
                <w:sz w:val="24"/>
                <w:szCs w:val="24"/>
              </w:rPr>
              <w:t>进一步加强建设项目新增大气主要污染物总量指标管理工作</w:t>
            </w:r>
            <w:r>
              <w:rPr>
                <w:rFonts w:hint="default" w:ascii="Times New Roman" w:hAnsi="Times New Roman" w:cs="Times New Roman"/>
                <w:color w:val="auto"/>
                <w:sz w:val="24"/>
                <w:szCs w:val="24"/>
                <w:lang w:val="en-US" w:eastAsia="zh-CN"/>
              </w:rPr>
              <w:t>&gt;</w:t>
            </w:r>
            <w:r>
              <w:rPr>
                <w:rFonts w:hint="default" w:ascii="Times New Roman" w:hAnsi="Times New Roman" w:cs="Times New Roman"/>
                <w:color w:val="auto"/>
                <w:sz w:val="24"/>
                <w:szCs w:val="24"/>
              </w:rPr>
              <w:t>的通知》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皖环发</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2017</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19号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安徽省环境保护厅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017年</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3月28日</w:t>
            </w:r>
            <w:r>
              <w:rPr>
                <w:rFonts w:hint="default" w:ascii="Times New Roman" w:hAnsi="Times New Roman" w:cs="Times New Roman"/>
                <w:color w:val="auto"/>
                <w:sz w:val="24"/>
                <w:szCs w:val="24"/>
                <w:lang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为进一步加强大气主要污染物源头管控，有效落实《大气污染防治行动计划》、《建设项目主要污染物排放总量指标审核及管理暂行办法》等，确保大气环境质量改善目标任务顺利完成，现就加强建设项目新增大气主要污染物总量指标管理工作通知如下：</w:t>
            </w:r>
          </w:p>
          <w:p>
            <w:pPr>
              <w:autoSpaceDE w:val="0"/>
              <w:autoSpaceDN w:val="0"/>
              <w:adjustRightInd w:val="0"/>
              <w:spacing w:line="360" w:lineRule="auto"/>
              <w:ind w:firstLine="480" w:firstLineChars="200"/>
              <w:rPr>
                <w:rFonts w:hint="eastAsia" w:ascii="宋体" w:hAnsi="宋体" w:eastAsia="宋体" w:cs="宋体"/>
                <w:color w:val="auto"/>
                <w:sz w:val="24"/>
                <w:szCs w:val="24"/>
              </w:rPr>
            </w:pPr>
            <w:r>
              <w:rPr>
                <w:rFonts w:hint="eastAsia" w:ascii="Times New Roman" w:hAnsi="Times New Roman" w:cs="Times New Roman"/>
                <w:color w:val="auto"/>
                <w:sz w:val="24"/>
                <w:szCs w:val="24"/>
                <w:lang w:eastAsia="zh-CN"/>
              </w:rPr>
              <w:t>一、</w:t>
            </w:r>
            <w:r>
              <w:rPr>
                <w:rFonts w:hint="default" w:ascii="Times New Roman" w:hAnsi="Times New Roman" w:cs="Times New Roman"/>
                <w:color w:val="auto"/>
                <w:sz w:val="24"/>
                <w:szCs w:val="24"/>
              </w:rPr>
              <w:t>自2017年04月起，新增大气主要污染物排放的建设项目环境影响评价文件审批前必须取得的总量指标从两项增加为四项。在氮氧化物（NO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）、二氧化硫（SO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）的基础上增加烟（粉）尘、挥发性有机物（VOCs）两项</w:t>
            </w:r>
            <w:r>
              <w:rPr>
                <w:rFonts w:hint="eastAsia" w:ascii="宋体" w:hAnsi="宋体" w:eastAsia="宋体" w:cs="宋体"/>
                <w:color w:val="auto"/>
                <w:sz w:val="24"/>
                <w:szCs w:val="24"/>
              </w:rPr>
              <w:t>指标。</w:t>
            </w:r>
          </w:p>
          <w:p>
            <w:pPr>
              <w:autoSpaceDE w:val="0"/>
              <w:autoSpaceDN w:val="0"/>
              <w:adjustRightInd w:val="0"/>
              <w:spacing w:line="360" w:lineRule="auto"/>
              <w:ind w:firstLine="480" w:firstLineChars="200"/>
              <w:rPr>
                <w:rFonts w:hint="default" w:ascii="宋体" w:hAnsi="宋体" w:eastAsia="宋体" w:cs="宋体"/>
                <w:color w:val="auto"/>
                <w:sz w:val="24"/>
                <w:szCs w:val="24"/>
                <w:lang w:val="en-US"/>
              </w:rPr>
            </w:pPr>
            <w:r>
              <w:rPr>
                <w:rFonts w:hint="eastAsia" w:ascii="宋体" w:hAnsi="宋体" w:eastAsia="宋体" w:cs="宋体"/>
                <w:color w:val="auto"/>
                <w:sz w:val="24"/>
                <w:szCs w:val="24"/>
                <w:lang w:eastAsia="zh-CN"/>
              </w:rPr>
              <w:t>二、大气主要污染物总量指标实行区域内等量或倍量削减替代。上年度空气质量不达标的城市，相应污染物指标应执行“倍量替代”。其中，上</w:t>
            </w:r>
            <w:r>
              <w:rPr>
                <w:rFonts w:hint="default" w:ascii="Times New Roman" w:hAnsi="Times New Roman" w:eastAsia="宋体" w:cs="Times New Roman"/>
                <w:color w:val="auto"/>
                <w:sz w:val="24"/>
                <w:szCs w:val="24"/>
                <w:lang w:eastAsia="zh-CN"/>
              </w:rPr>
              <w:t>年度</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不达标的城市，新增SO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和VOCs指标均要执行</w:t>
            </w:r>
            <w:r>
              <w:rPr>
                <w:rFonts w:hint="eastAsia" w:asciiTheme="majorEastAsia" w:hAnsiTheme="majorEastAsia" w:eastAsiaTheme="majorEastAsia" w:cstheme="majorEastAsia"/>
                <w:color w:val="auto"/>
                <w:sz w:val="24"/>
                <w:szCs w:val="24"/>
                <w:lang w:val="en-US" w:eastAsia="zh-CN"/>
              </w:rPr>
              <w:t>“倍量替代”。</w:t>
            </w:r>
            <w:r>
              <w:rPr>
                <w:rFonts w:hint="default" w:ascii="Times New Roman" w:hAnsi="Times New Roman" w:eastAsia="宋体" w:cs="Times New Roman"/>
                <w:color w:val="auto"/>
                <w:sz w:val="24"/>
                <w:szCs w:val="24"/>
                <w:lang w:val="en-US" w:eastAsia="zh-CN"/>
              </w:rPr>
              <w:t>上年度PM</w:t>
            </w:r>
            <w:r>
              <w:rPr>
                <w:rFonts w:hint="default" w:ascii="Times New Roman" w:hAnsi="Times New Roman" w:eastAsia="宋体" w:cs="Times New Roman"/>
                <w:color w:val="auto"/>
                <w:sz w:val="24"/>
                <w:szCs w:val="24"/>
                <w:vertAlign w:val="subscript"/>
                <w:lang w:val="en-US" w:eastAsia="zh-CN"/>
              </w:rPr>
              <w:t>10</w:t>
            </w:r>
            <w:r>
              <w:rPr>
                <w:rFonts w:hint="default" w:ascii="Times New Roman" w:hAnsi="Times New Roman" w:eastAsia="宋体" w:cs="Times New Roman"/>
                <w:color w:val="auto"/>
                <w:sz w:val="24"/>
                <w:szCs w:val="24"/>
                <w:lang w:val="en-US" w:eastAsia="zh-CN"/>
              </w:rPr>
              <w:t>不达标的</w:t>
            </w:r>
            <w:r>
              <w:rPr>
                <w:rFonts w:hint="eastAsia" w:ascii="宋体" w:hAnsi="宋体" w:eastAsia="宋体" w:cs="宋体"/>
                <w:color w:val="auto"/>
                <w:sz w:val="24"/>
                <w:szCs w:val="24"/>
                <w:lang w:val="en-US" w:eastAsia="zh-CN"/>
              </w:rPr>
              <w:t>城市，新增烟（粉）尘指标要执行“倍量替代</w:t>
            </w:r>
            <w:r>
              <w:rPr>
                <w:rFonts w:hint="eastAsia" w:ascii="宋体" w:hAnsi="宋体" w:eastAsia="宋体" w:cs="宋体"/>
                <w:color w:val="auto"/>
                <w:sz w:val="24"/>
                <w:szCs w:val="24"/>
                <w:lang w:eastAsia="zh-CN"/>
              </w:rPr>
              <w:t>”。达到超低排放标准的新建火电项目无需执行“倍量替代”。”</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宿州市生态环境局于202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01</w:t>
            </w:r>
            <w:r>
              <w:rPr>
                <w:rFonts w:hint="default" w:ascii="Times New Roman" w:hAnsi="Times New Roman" w:cs="Times New Roman"/>
                <w:color w:val="auto"/>
                <w:sz w:val="24"/>
                <w:szCs w:val="24"/>
                <w:lang w:val="en-US" w:eastAsia="zh-CN"/>
              </w:rPr>
              <w:t>月</w:t>
            </w:r>
            <w:r>
              <w:rPr>
                <w:rFonts w:hint="eastAsia" w:ascii="Times New Roman" w:hAnsi="Times New Roman" w:cs="Times New Roman"/>
                <w:color w:val="auto"/>
                <w:sz w:val="24"/>
                <w:szCs w:val="24"/>
                <w:lang w:val="en-US" w:eastAsia="zh-CN"/>
              </w:rPr>
              <w:t>26日</w:t>
            </w:r>
            <w:r>
              <w:rPr>
                <w:rFonts w:hint="default" w:ascii="Times New Roman" w:hAnsi="Times New Roman" w:cs="Times New Roman"/>
                <w:color w:val="auto"/>
                <w:sz w:val="24"/>
                <w:szCs w:val="24"/>
                <w:lang w:val="en-US" w:eastAsia="zh-CN"/>
              </w:rPr>
              <w:t>下达了《</w:t>
            </w:r>
            <w:r>
              <w:rPr>
                <w:rFonts w:hint="eastAsia" w:ascii="Times New Roman" w:hAnsi="Times New Roman" w:cs="Times New Roman"/>
                <w:color w:val="auto"/>
                <w:sz w:val="24"/>
                <w:szCs w:val="24"/>
                <w:lang w:eastAsia="zh-CN"/>
              </w:rPr>
              <w:t>安徽戈巴迪智能装备股份有限公司年产500套矿山电厂环保降尘设备6000台矿山皮带输送类配套设备项目</w:t>
            </w:r>
            <w:r>
              <w:rPr>
                <w:rFonts w:hint="default" w:ascii="Times New Roman" w:hAnsi="Times New Roman" w:cs="Times New Roman"/>
                <w:color w:val="auto"/>
                <w:sz w:val="24"/>
                <w:szCs w:val="24"/>
                <w:lang w:val="en-US" w:eastAsia="zh-CN"/>
              </w:rPr>
              <w:t>主要污染物排放总量指标核定表（试行）》：</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烟（粉）尘</w:t>
            </w:r>
            <w:r>
              <w:rPr>
                <w:rFonts w:hint="eastAsia" w:ascii="Times New Roman" w:hAnsi="Times New Roman" w:cs="Times New Roman"/>
                <w:color w:val="auto"/>
                <w:sz w:val="24"/>
                <w:szCs w:val="24"/>
                <w:lang w:val="en-US" w:eastAsia="zh-CN"/>
              </w:rPr>
              <w:t>0.9930</w:t>
            </w:r>
            <w:r>
              <w:rPr>
                <w:rFonts w:hint="default" w:ascii="Times New Roman" w:hAnsi="Times New Roman" w:cs="Times New Roman"/>
                <w:color w:val="auto"/>
                <w:sz w:val="24"/>
                <w:szCs w:val="24"/>
                <w:lang w:val="en-US" w:eastAsia="zh-CN"/>
              </w:rPr>
              <w:t>吨/</w:t>
            </w:r>
            <w:r>
              <w:rPr>
                <w:rFonts w:hint="default" w:ascii="Times New Roman" w:hAnsi="Times New Roman" w:eastAsia="宋体" w:cs="Times New Roman"/>
                <w:color w:val="auto"/>
                <w:sz w:val="24"/>
                <w:szCs w:val="24"/>
                <w:lang w:val="en-US" w:eastAsia="zh-CN"/>
              </w:rPr>
              <w:t>年、挥发性有机物</w:t>
            </w:r>
            <w:r>
              <w:rPr>
                <w:rFonts w:hint="eastAsia" w:ascii="Times New Roman" w:hAnsi="Times New Roman" w:eastAsia="宋体" w:cs="Times New Roman"/>
                <w:color w:val="auto"/>
                <w:sz w:val="24"/>
                <w:szCs w:val="24"/>
                <w:lang w:val="en-US" w:eastAsia="zh-CN"/>
              </w:rPr>
              <w:t>0.2963</w:t>
            </w:r>
            <w:r>
              <w:rPr>
                <w:rFonts w:hint="default" w:ascii="Times New Roman" w:hAnsi="Times New Roman" w:eastAsia="宋体" w:cs="Times New Roman"/>
                <w:color w:val="auto"/>
                <w:sz w:val="24"/>
                <w:szCs w:val="24"/>
                <w:lang w:val="en-US" w:eastAsia="zh-CN"/>
              </w:rPr>
              <w:t>吨/年、二氧化硫</w:t>
            </w:r>
            <w:r>
              <w:rPr>
                <w:rFonts w:hint="eastAsia" w:ascii="Times New Roman" w:hAnsi="Times New Roman" w:eastAsia="宋体" w:cs="Times New Roman"/>
                <w:color w:val="auto"/>
                <w:sz w:val="24"/>
                <w:szCs w:val="24"/>
                <w:lang w:val="en-US" w:eastAsia="zh-CN"/>
              </w:rPr>
              <w:t>0.0800</w:t>
            </w:r>
            <w:r>
              <w:rPr>
                <w:rFonts w:hint="default" w:ascii="Times New Roman" w:hAnsi="Times New Roman" w:eastAsia="宋体" w:cs="Times New Roman"/>
                <w:color w:val="auto"/>
                <w:sz w:val="24"/>
                <w:szCs w:val="24"/>
                <w:lang w:val="en-US" w:eastAsia="zh-CN"/>
              </w:rPr>
              <w:t>吨/年、氮氧化物0.</w:t>
            </w:r>
            <w:r>
              <w:rPr>
                <w:rFonts w:hint="eastAsia" w:ascii="Times New Roman" w:hAnsi="Times New Roman" w:eastAsia="宋体" w:cs="Times New Roman"/>
                <w:color w:val="auto"/>
                <w:sz w:val="24"/>
                <w:szCs w:val="24"/>
                <w:lang w:val="en-US" w:eastAsia="zh-CN"/>
              </w:rPr>
              <w:t>1872</w:t>
            </w:r>
            <w:r>
              <w:rPr>
                <w:rFonts w:hint="default" w:ascii="Times New Roman" w:hAnsi="Times New Roman" w:eastAsia="宋体" w:cs="Times New Roman"/>
                <w:color w:val="auto"/>
                <w:sz w:val="24"/>
                <w:szCs w:val="24"/>
                <w:lang w:val="en-US" w:eastAsia="zh-CN"/>
              </w:rPr>
              <w:t>吨/</w:t>
            </w:r>
            <w:r>
              <w:rPr>
                <w:rFonts w:hint="eastAsia" w:ascii="宋体" w:hAnsi="宋体" w:eastAsia="宋体" w:cs="宋体"/>
                <w:color w:val="auto"/>
                <w:sz w:val="24"/>
                <w:szCs w:val="24"/>
                <w:lang w:val="en-US" w:eastAsia="zh-CN"/>
              </w:rPr>
              <w:t>年”。</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主要污染物排放总量指标重新报批前后变化情况一览表见表3.2</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w:t>
            </w:r>
          </w:p>
          <w:p>
            <w:pPr>
              <w:spacing w:line="24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表3.2</w:t>
            </w: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 xml:space="preserve">  主要污染物排放总量指标重新报批前后变化情况一览表</w:t>
            </w:r>
          </w:p>
          <w:tbl>
            <w:tblPr>
              <w:tblStyle w:val="2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9"/>
              <w:gridCol w:w="2339"/>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重新报批前</w:t>
                  </w:r>
                  <w:r>
                    <w:rPr>
                      <w:rFonts w:hint="eastAsia" w:ascii="Times New Roman" w:hAnsi="Times New Roman" w:cs="Times New Roman"/>
                      <w:color w:val="auto"/>
                      <w:sz w:val="21"/>
                      <w:szCs w:val="21"/>
                      <w:vertAlign w:val="baseline"/>
                      <w:lang w:val="en-US" w:eastAsia="zh-CN"/>
                    </w:rPr>
                    <w:t>排放量</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重新报批后</w:t>
                  </w:r>
                  <w:r>
                    <w:rPr>
                      <w:rFonts w:hint="eastAsia" w:ascii="Times New Roman" w:hAnsi="Times New Roman" w:cs="Times New Roman"/>
                      <w:color w:val="auto"/>
                      <w:sz w:val="21"/>
                      <w:szCs w:val="21"/>
                      <w:vertAlign w:val="baseline"/>
                      <w:lang w:val="en-US" w:eastAsia="zh-CN"/>
                    </w:rPr>
                    <w:t>排放量</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0.4785</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0.51165</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+0.03315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挥发性有机物</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0.1920</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0.21332</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二氧化硫</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0.00800</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氮氧化物</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0.18720</w:t>
                  </w:r>
                </w:p>
              </w:tc>
              <w:tc>
                <w:tcPr>
                  <w:tcW w:w="1559" w:type="dxa"/>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+0.18720</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重新报批后：</w:t>
            </w:r>
            <w:r>
              <w:rPr>
                <w:rFonts w:hint="default" w:ascii="Times New Roman" w:hAnsi="Times New Roman" w:cs="Times New Roman"/>
                <w:color w:val="auto"/>
                <w:sz w:val="24"/>
                <w:szCs w:val="24"/>
                <w:lang w:val="en-US" w:eastAsia="zh-CN"/>
              </w:rPr>
              <w:t>挥发性有机物</w:t>
            </w:r>
            <w:r>
              <w:rPr>
                <w:rFonts w:hint="eastAsia" w:ascii="Times New Roman" w:hAnsi="Times New Roman" w:cs="Times New Roman"/>
                <w:color w:val="auto"/>
                <w:sz w:val="24"/>
                <w:szCs w:val="24"/>
                <w:lang w:val="en-US" w:eastAsia="zh-CN"/>
              </w:rPr>
              <w:t>最终排放量为0.21332</w:t>
            </w:r>
            <w:r>
              <w:rPr>
                <w:rFonts w:hint="default" w:ascii="Times New Roman" w:hAnsi="Times New Roman" w:cs="Times New Roman"/>
                <w:color w:val="auto"/>
                <w:sz w:val="24"/>
                <w:szCs w:val="24"/>
                <w:lang w:val="en-US" w:eastAsia="zh-CN"/>
              </w:rPr>
              <w:t>t/a，颗粒物</w:t>
            </w:r>
            <w:r>
              <w:rPr>
                <w:rFonts w:hint="eastAsia" w:ascii="Times New Roman" w:hAnsi="Times New Roman" w:cs="Times New Roman"/>
                <w:color w:val="auto"/>
                <w:sz w:val="24"/>
                <w:szCs w:val="24"/>
                <w:lang w:val="en-US" w:eastAsia="zh-CN"/>
              </w:rPr>
              <w:t>最终排放量0.51165</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二氧化硫</w:t>
            </w:r>
            <w:r>
              <w:rPr>
                <w:rFonts w:hint="eastAsia" w:ascii="Times New Roman" w:hAnsi="Times New Roman" w:cs="Times New Roman"/>
                <w:color w:val="auto"/>
                <w:sz w:val="24"/>
                <w:szCs w:val="24"/>
                <w:lang w:val="en-US" w:eastAsia="zh-CN"/>
              </w:rPr>
              <w:t>最终排放量为0.0080</w:t>
            </w:r>
            <w:r>
              <w:rPr>
                <w:rFonts w:hint="default" w:ascii="Times New Roman" w:hAnsi="Times New Roman" w:cs="Times New Roman"/>
                <w:color w:val="auto"/>
                <w:sz w:val="24"/>
                <w:szCs w:val="24"/>
                <w:lang w:val="en-US" w:eastAsia="zh-CN"/>
              </w:rPr>
              <w:t>t/a，</w:t>
            </w:r>
            <w:r>
              <w:rPr>
                <w:rFonts w:hint="default" w:ascii="Times New Roman" w:hAnsi="Times New Roman" w:eastAsia="宋体" w:cs="Times New Roman"/>
                <w:color w:val="auto"/>
                <w:sz w:val="24"/>
                <w:szCs w:val="24"/>
                <w:lang w:val="en-US" w:eastAsia="zh-CN"/>
              </w:rPr>
              <w:t>氮氧化物</w:t>
            </w:r>
            <w:r>
              <w:rPr>
                <w:rFonts w:hint="eastAsia" w:ascii="Times New Roman" w:hAnsi="Times New Roman" w:cs="Times New Roman"/>
                <w:color w:val="auto"/>
                <w:sz w:val="24"/>
                <w:szCs w:val="24"/>
                <w:lang w:val="en-US" w:eastAsia="zh-CN"/>
              </w:rPr>
              <w:t>最终排放量0.1872</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，满足宿州市生态环境局</w:t>
            </w:r>
            <w:r>
              <w:rPr>
                <w:rFonts w:hint="default" w:ascii="Times New Roman" w:hAnsi="Times New Roman" w:cs="Times New Roman"/>
                <w:color w:val="auto"/>
                <w:sz w:val="24"/>
                <w:szCs w:val="24"/>
                <w:lang w:val="en-US" w:eastAsia="zh-CN"/>
              </w:rPr>
              <w:t>给与本项目主要污染物排放容量</w:t>
            </w:r>
            <w:r>
              <w:rPr>
                <w:rFonts w:hint="eastAsia" w:ascii="Times New Roman" w:hAnsi="Times New Roman" w:cs="Times New Roman"/>
                <w:color w:val="auto"/>
                <w:sz w:val="24"/>
                <w:szCs w:val="24"/>
                <w:lang w:val="en-US" w:eastAsia="zh-CN"/>
              </w:rPr>
              <w:t>。</w:t>
            </w:r>
          </w:p>
          <w:p>
            <w:pPr>
              <w:pStyle w:val="29"/>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（2）废水</w:t>
            </w:r>
          </w:p>
          <w:p>
            <w:pPr>
              <w:pStyle w:val="29"/>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本项目总量控制因子为COD及NH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-N。项目污染物的总量控制目标值，是经处理达标后排放的污染物总量。由于本项目生活污水经预处理</w:t>
            </w:r>
            <w:r>
              <w:rPr>
                <w:rFonts w:hint="eastAsia" w:cs="Times New Roman"/>
                <w:color w:val="auto"/>
                <w:sz w:val="24"/>
                <w:szCs w:val="24"/>
                <w:lang w:eastAsia="zh-CN"/>
              </w:rPr>
              <w:t>达标后</w:t>
            </w:r>
            <w:r>
              <w:rPr>
                <w:rFonts w:hint="default" w:ascii="Times New Roman" w:hAnsi="Times New Roman" w:cs="Times New Roman"/>
                <w:color w:val="auto"/>
                <w:sz w:val="24"/>
                <w:szCs w:val="24"/>
              </w:rPr>
              <w:t>接管至</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rPr>
              <w:t>。因此，本项目COD、NH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-N总量控制指标统一纳入</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lang w:eastAsia="zh-CN"/>
              </w:rPr>
              <w:t>总量</w:t>
            </w:r>
            <w:r>
              <w:rPr>
                <w:rFonts w:hint="default" w:ascii="Times New Roman" w:hAnsi="Times New Roman" w:cs="Times New Roman"/>
                <w:color w:val="auto"/>
                <w:sz w:val="24"/>
                <w:szCs w:val="24"/>
              </w:rPr>
              <w:t>，无需另行申请总量指标。</w:t>
            </w: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p>
            <w:pPr>
              <w:pStyle w:val="32"/>
              <w:ind w:left="0" w:leftChars="0" w:firstLine="0" w:firstLineChars="0"/>
              <w:rPr>
                <w:color w:val="auto"/>
              </w:rPr>
            </w:pPr>
          </w:p>
        </w:tc>
      </w:tr>
    </w:tbl>
    <w:p>
      <w:pPr>
        <w:spacing w:line="240" w:lineRule="auto"/>
        <w:jc w:val="left"/>
        <w:rPr>
          <w:rFonts w:hint="default"/>
          <w:b/>
          <w:bCs/>
          <w:color w:val="auto"/>
          <w:sz w:val="28"/>
          <w:szCs w:val="28"/>
          <w:lang w:val="en-US" w:eastAsia="zh-CN"/>
        </w:rPr>
      </w:pPr>
      <w:r>
        <w:rPr>
          <w:rFonts w:hint="eastAsia"/>
          <w:b/>
          <w:bCs/>
          <w:color w:val="auto"/>
          <w:sz w:val="28"/>
          <w:szCs w:val="28"/>
          <w:lang w:val="en-US" w:eastAsia="zh-CN"/>
        </w:rPr>
        <w:t>四</w:t>
      </w:r>
      <w:r>
        <w:rPr>
          <w:rFonts w:hint="eastAsia"/>
          <w:b/>
          <w:bCs/>
          <w:color w:val="auto"/>
          <w:sz w:val="28"/>
          <w:szCs w:val="28"/>
          <w:lang w:eastAsia="zh-CN"/>
        </w:rPr>
        <w:t>、</w:t>
      </w:r>
      <w:r>
        <w:rPr>
          <w:rFonts w:hint="eastAsia"/>
          <w:b/>
          <w:bCs/>
          <w:color w:val="auto"/>
          <w:sz w:val="28"/>
          <w:szCs w:val="28"/>
          <w:lang w:val="en-US" w:eastAsia="zh-CN"/>
        </w:rPr>
        <w:t>主要环境影响和保护措施</w:t>
      </w:r>
    </w:p>
    <w:tbl>
      <w:tblPr>
        <w:tblStyle w:val="25"/>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97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pPr>
              <w:jc w:val="center"/>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施工期环境保护措施</w:t>
            </w:r>
          </w:p>
        </w:tc>
        <w:tc>
          <w:tcPr>
            <w:tcW w:w="9771" w:type="dxa"/>
            <w:vAlign w:val="center"/>
          </w:tcPr>
          <w:p>
            <w:pPr>
              <w:spacing w:line="360" w:lineRule="auto"/>
              <w:ind w:firstLine="480" w:firstLineChars="200"/>
              <w:rPr>
                <w:rFonts w:hint="eastAsia" w:ascii="Times New Roman" w:hAnsi="Times New Roman" w:eastAsia="宋体"/>
                <w:color w:val="auto"/>
                <w:sz w:val="24"/>
                <w:szCs w:val="24"/>
              </w:rPr>
            </w:pPr>
          </w:p>
          <w:p>
            <w:pPr>
              <w:spacing w:line="360" w:lineRule="auto"/>
              <w:ind w:firstLine="480" w:firstLineChars="200"/>
              <w:rPr>
                <w:rFonts w:hint="eastAsia" w:ascii="Times New Roman" w:hAnsi="Times New Roman" w:eastAsia="宋体"/>
                <w:color w:val="auto"/>
                <w:sz w:val="24"/>
                <w:szCs w:val="24"/>
              </w:rPr>
            </w:pPr>
          </w:p>
          <w:p>
            <w:pPr>
              <w:spacing w:line="360" w:lineRule="auto"/>
              <w:ind w:firstLine="480" w:firstLineChars="200"/>
              <w:rPr>
                <w:rFonts w:hint="eastAsia" w:ascii="Times New Roman" w:hAnsi="Times New Roman" w:eastAsia="宋体"/>
                <w:color w:val="auto"/>
                <w:sz w:val="24"/>
                <w:szCs w:val="24"/>
              </w:rPr>
            </w:pPr>
          </w:p>
          <w:p>
            <w:pPr>
              <w:spacing w:line="360" w:lineRule="auto"/>
              <w:ind w:firstLine="480" w:firstLineChars="200"/>
              <w:rPr>
                <w:rFonts w:hint="eastAsia" w:ascii="Times New Roman" w:hAnsi="Times New Roman" w:eastAsia="宋体"/>
                <w:color w:val="auto"/>
                <w:sz w:val="24"/>
                <w:szCs w:val="24"/>
              </w:rPr>
            </w:pPr>
          </w:p>
          <w:p>
            <w:pPr>
              <w:spacing w:line="360" w:lineRule="auto"/>
              <w:ind w:firstLine="480" w:firstLineChars="200"/>
              <w:rPr>
                <w:rFonts w:hint="eastAsia" w:ascii="Times New Roman" w:hAnsi="Times New Roman" w:eastAsia="宋体"/>
                <w:color w:val="auto"/>
                <w:sz w:val="24"/>
                <w:szCs w:val="24"/>
              </w:rPr>
            </w:pPr>
          </w:p>
          <w:p>
            <w:pPr>
              <w:spacing w:line="360" w:lineRule="auto"/>
              <w:ind w:firstLine="480" w:firstLineChars="200"/>
              <w:rPr>
                <w:rFonts w:hint="eastAsia" w:ascii="Times New Roman" w:hAnsi="Times New Roman" w:eastAsia="宋体"/>
                <w:color w:val="auto"/>
                <w:sz w:val="24"/>
                <w:szCs w:val="24"/>
              </w:rPr>
            </w:pPr>
          </w:p>
          <w:p>
            <w:pPr>
              <w:spacing w:line="360" w:lineRule="auto"/>
              <w:ind w:firstLine="480" w:firstLineChars="200"/>
              <w:rPr>
                <w:rFonts w:hint="eastAsia" w:ascii="Times New Roman" w:hAnsi="Times New Roman" w:eastAsia="宋体"/>
                <w:color w:val="auto"/>
                <w:sz w:val="24"/>
                <w:szCs w:val="24"/>
              </w:rPr>
            </w:pPr>
          </w:p>
          <w:p>
            <w:pPr>
              <w:spacing w:line="360" w:lineRule="auto"/>
              <w:ind w:firstLine="480" w:firstLineChars="200"/>
              <w:rPr>
                <w:rFonts w:hint="eastAsia" w:ascii="Times New Roman" w:hAnsi="Times New Roman" w:eastAsia="宋体"/>
                <w:color w:val="auto"/>
                <w:sz w:val="24"/>
                <w:szCs w:val="24"/>
              </w:rPr>
            </w:pPr>
          </w:p>
          <w:p>
            <w:pPr>
              <w:spacing w:line="360" w:lineRule="auto"/>
              <w:ind w:firstLine="480" w:firstLineChars="200"/>
              <w:rPr>
                <w:rFonts w:hint="eastAsia" w:ascii="Times New Roman" w:hAnsi="Times New Roman" w:eastAsia="宋体"/>
                <w:color w:val="auto"/>
                <w:sz w:val="24"/>
                <w:szCs w:val="24"/>
              </w:rPr>
            </w:pPr>
          </w:p>
          <w:p>
            <w:pPr>
              <w:spacing w:line="360" w:lineRule="auto"/>
              <w:ind w:firstLine="480" w:firstLineChars="200"/>
              <w:rPr>
                <w:rFonts w:hint="eastAsia" w:ascii="Times New Roman" w:hAnsi="Times New Roman" w:eastAsia="宋体"/>
                <w:color w:val="auto"/>
                <w:sz w:val="24"/>
                <w:szCs w:val="24"/>
              </w:rPr>
            </w:pPr>
          </w:p>
          <w:p>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本项目</w:t>
            </w:r>
            <w:r>
              <w:rPr>
                <w:rFonts w:hint="eastAsia" w:ascii="Times New Roman" w:hAnsi="Times New Roman" w:eastAsia="宋体"/>
                <w:color w:val="auto"/>
                <w:sz w:val="24"/>
                <w:szCs w:val="24"/>
                <w:lang w:eastAsia="zh-CN"/>
              </w:rPr>
              <w:t>环评已批复部分建设完毕，其余部分</w:t>
            </w:r>
            <w:r>
              <w:rPr>
                <w:rFonts w:ascii="Times New Roman" w:hAnsi="Times New Roman" w:eastAsia="宋体"/>
                <w:color w:val="auto"/>
                <w:sz w:val="24"/>
                <w:szCs w:val="24"/>
              </w:rPr>
              <w:t>建设单位只需对生产设备</w:t>
            </w:r>
            <w:r>
              <w:rPr>
                <w:rFonts w:hint="eastAsia" w:ascii="Times New Roman" w:hAnsi="Times New Roman" w:eastAsia="宋体"/>
                <w:color w:val="auto"/>
                <w:sz w:val="24"/>
                <w:szCs w:val="24"/>
                <w:lang w:eastAsia="zh-CN"/>
              </w:rPr>
              <w:t>进行</w:t>
            </w:r>
            <w:r>
              <w:rPr>
                <w:rFonts w:ascii="Times New Roman" w:hAnsi="Times New Roman" w:eastAsia="宋体"/>
                <w:color w:val="auto"/>
                <w:sz w:val="24"/>
                <w:szCs w:val="24"/>
              </w:rPr>
              <w:t>安装</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此过程中产生少量的生活垃圾交由环卫部门统一清运处置；生产设备安装过程中会产生噪声，但此过程是短暂的，对周边环境影响不大；生产设备安装会产生少量的工人生活污水，生活污水</w:t>
            </w:r>
            <w:r>
              <w:rPr>
                <w:rFonts w:hint="eastAsia" w:ascii="Times New Roman" w:hAnsi="Times New Roman" w:eastAsia="宋体"/>
                <w:color w:val="auto"/>
                <w:sz w:val="24"/>
                <w:szCs w:val="24"/>
                <w:lang w:eastAsia="zh-CN"/>
              </w:rPr>
              <w:t>依托现有</w:t>
            </w:r>
            <w:r>
              <w:rPr>
                <w:rFonts w:hint="eastAsia" w:ascii="Times New Roman" w:hAnsi="Times New Roman" w:cs="Times New Roman"/>
                <w:color w:val="auto"/>
                <w:sz w:val="24"/>
                <w:szCs w:val="24"/>
                <w:lang w:eastAsia="zh-CN"/>
              </w:rPr>
              <w:t>“隔油池</w:t>
            </w:r>
            <w:r>
              <w:rPr>
                <w:rFonts w:hint="eastAsia" w:ascii="Times New Roman" w:hAnsi="Times New Roman" w:cs="Times New Roman"/>
                <w:color w:val="auto"/>
                <w:sz w:val="24"/>
                <w:szCs w:val="24"/>
                <w:lang w:val="en-US" w:eastAsia="zh-CN"/>
              </w:rPr>
              <w:t>+化粪池</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预</w:t>
            </w:r>
            <w:r>
              <w:rPr>
                <w:rFonts w:hint="default" w:ascii="Times New Roman" w:hAnsi="Times New Roman" w:cs="Times New Roman"/>
                <w:color w:val="auto"/>
                <w:sz w:val="24"/>
                <w:szCs w:val="24"/>
              </w:rPr>
              <w:t>处理达《污水综合排放标准》（GB8978-1996）表4中三级标准及</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rPr>
              <w:t>接管</w:t>
            </w:r>
            <w:r>
              <w:rPr>
                <w:rFonts w:hint="eastAsia" w:ascii="Times New Roman" w:hAnsi="Times New Roman" w:cs="Times New Roman"/>
                <w:color w:val="auto"/>
                <w:sz w:val="24"/>
                <w:szCs w:val="24"/>
                <w:lang w:eastAsia="zh-CN"/>
              </w:rPr>
              <w:t>限值后</w:t>
            </w:r>
            <w:r>
              <w:rPr>
                <w:rFonts w:hint="default" w:ascii="Times New Roman" w:hAnsi="Times New Roman" w:cs="Times New Roman"/>
                <w:color w:val="auto"/>
                <w:sz w:val="24"/>
                <w:szCs w:val="24"/>
              </w:rPr>
              <w:t>排入</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rPr>
              <w:t>处理达《城镇污水处理厂污染物排放标准》（GB18918-2002）表1中一级</w:t>
            </w:r>
            <w:r>
              <w:rPr>
                <w:rFonts w:hint="default" w:ascii="Times New Roman" w:hAnsi="Times New Roman" w:cs="Times New Roman"/>
                <w:color w:val="auto"/>
                <w:sz w:val="24"/>
                <w:szCs w:val="24"/>
                <w:lang w:eastAsia="zh-CN"/>
              </w:rPr>
              <w:t>标准</w:t>
            </w:r>
            <w:r>
              <w:rPr>
                <w:rFonts w:hint="default" w:ascii="Times New Roman" w:hAnsi="Times New Roman" w:cs="Times New Roman"/>
                <w:color w:val="auto"/>
                <w:sz w:val="24"/>
                <w:szCs w:val="24"/>
              </w:rPr>
              <w:t>A标准后排入</w:t>
            </w:r>
            <w:r>
              <w:rPr>
                <w:rFonts w:hint="eastAsia" w:ascii="Times New Roman" w:hAnsi="Times New Roman" w:cs="Times New Roman"/>
                <w:color w:val="auto"/>
                <w:sz w:val="24"/>
                <w:szCs w:val="24"/>
                <w:lang w:eastAsia="zh-CN"/>
              </w:rPr>
              <w:t>倒流河</w:t>
            </w:r>
            <w:r>
              <w:rPr>
                <w:rFonts w:hint="default" w:ascii="Times New Roman" w:hAnsi="Times New Roman" w:cs="Times New Roman"/>
                <w:color w:val="auto"/>
                <w:sz w:val="24"/>
                <w:szCs w:val="24"/>
              </w:rPr>
              <w:t>。</w:t>
            </w:r>
            <w:r>
              <w:rPr>
                <w:rFonts w:ascii="Times New Roman" w:hAnsi="Times New Roman" w:eastAsia="宋体"/>
                <w:color w:val="auto"/>
                <w:sz w:val="24"/>
                <w:szCs w:val="24"/>
              </w:rPr>
              <w:t>。总体来说，项目施工期短暂，对外环境的影响较小。</w:t>
            </w:r>
          </w:p>
          <w:p>
            <w:pPr>
              <w:pStyle w:val="14"/>
              <w:rPr>
                <w:rFonts w:hint="default" w:ascii="Times New Roman" w:hAnsi="Times New Roman" w:cs="Times New Roman"/>
                <w:color w:val="auto"/>
                <w:sz w:val="24"/>
              </w:rPr>
            </w:pPr>
          </w:p>
          <w:p>
            <w:pPr>
              <w:pStyle w:val="14"/>
              <w:rPr>
                <w:rFonts w:hint="default" w:ascii="Times New Roman" w:hAnsi="Times New Roman" w:cs="Times New Roman"/>
                <w:color w:val="auto"/>
                <w:sz w:val="24"/>
              </w:rPr>
            </w:pPr>
          </w:p>
          <w:p>
            <w:pPr>
              <w:rPr>
                <w:rFonts w:hint="default" w:ascii="Times New Roman" w:hAnsi="Times New Roman" w:cs="Times New Roman"/>
                <w:color w:val="auto"/>
                <w:sz w:val="24"/>
              </w:rPr>
            </w:pPr>
          </w:p>
          <w:p>
            <w:pPr>
              <w:pStyle w:val="29"/>
              <w:rPr>
                <w:rFonts w:hint="default" w:ascii="Times New Roman" w:hAnsi="Times New Roman" w:cs="Times New Roman"/>
                <w:color w:val="auto"/>
                <w:sz w:val="24"/>
              </w:rPr>
            </w:pPr>
          </w:p>
          <w:p>
            <w:pPr>
              <w:pStyle w:val="31"/>
              <w:rPr>
                <w:rFonts w:hint="default" w:ascii="Times New Roman" w:hAnsi="Times New Roman" w:cs="Times New Roman"/>
                <w:color w:val="auto"/>
                <w:sz w:val="24"/>
              </w:rPr>
            </w:pPr>
          </w:p>
          <w:p>
            <w:pPr>
              <w:rPr>
                <w:rFonts w:hint="default" w:ascii="Times New Roman" w:hAnsi="Times New Roman" w:cs="Times New Roman"/>
                <w:color w:val="auto"/>
                <w:sz w:val="24"/>
              </w:rPr>
            </w:pPr>
          </w:p>
          <w:p>
            <w:pPr>
              <w:pStyle w:val="29"/>
              <w:rPr>
                <w:rFonts w:hint="default" w:ascii="Times New Roman" w:hAnsi="Times New Roman" w:cs="Times New Roman"/>
                <w:color w:val="auto"/>
                <w:sz w:val="24"/>
              </w:rPr>
            </w:pPr>
          </w:p>
          <w:p>
            <w:pPr>
              <w:pStyle w:val="31"/>
              <w:rPr>
                <w:rFonts w:hint="default" w:ascii="Times New Roman" w:hAnsi="Times New Roman" w:cs="Times New Roman"/>
                <w:color w:val="auto"/>
                <w:sz w:val="24"/>
              </w:rPr>
            </w:pPr>
          </w:p>
          <w:p>
            <w:pPr>
              <w:rPr>
                <w:rFonts w:hint="default" w:ascii="Times New Roman" w:hAnsi="Times New Roman" w:cs="Times New Roman"/>
                <w:color w:val="auto"/>
                <w:sz w:val="24"/>
              </w:rPr>
            </w:pPr>
          </w:p>
          <w:p>
            <w:pPr>
              <w:pStyle w:val="29"/>
              <w:rPr>
                <w:rFonts w:hint="default" w:ascii="Times New Roman" w:hAnsi="Times New Roman" w:cs="Times New Roman"/>
                <w:color w:val="auto"/>
                <w:sz w:val="24"/>
              </w:rPr>
            </w:pPr>
          </w:p>
          <w:p>
            <w:pPr>
              <w:pStyle w:val="32"/>
              <w:rPr>
                <w:rFonts w:hint="default" w:ascii="Times New Roman" w:hAnsi="Times New Roman" w:cs="Times New Roman"/>
                <w:color w:val="auto"/>
                <w:sz w:val="24"/>
              </w:rPr>
            </w:pPr>
          </w:p>
          <w:p>
            <w:pPr>
              <w:pStyle w:val="32"/>
              <w:ind w:left="0" w:leftChars="0" w:firstLine="0" w:firstLineChars="0"/>
              <w:rPr>
                <w:rFonts w:hint="default" w:ascii="Times New Roman" w:hAnsi="Times New Roman" w:cs="Times New Roman"/>
                <w:color w:val="auto"/>
                <w:sz w:val="24"/>
              </w:rPr>
            </w:pPr>
          </w:p>
          <w:p>
            <w:pPr>
              <w:pStyle w:val="35"/>
              <w:ind w:left="0" w:leftChars="0" w:firstLine="0" w:firstLineChars="0"/>
              <w:rPr>
                <w:rFonts w:hint="default" w:ascii="Times New Roman" w:hAnsi="Times New Roman" w:cs="Times New Roman"/>
                <w:color w:val="auto"/>
                <w:sz w:val="24"/>
                <w:szCs w:val="24"/>
              </w:rPr>
            </w:pPr>
          </w:p>
        </w:tc>
      </w:tr>
    </w:tbl>
    <w:p>
      <w:pPr>
        <w:jc w:val="center"/>
        <w:rPr>
          <w:rFonts w:hint="eastAsia"/>
          <w:color w:val="auto"/>
          <w:sz w:val="21"/>
          <w:szCs w:val="21"/>
          <w:vertAlign w:val="baseline"/>
          <w:lang w:val="en-US" w:eastAsia="zh-CN"/>
        </w:rPr>
      </w:pPr>
      <w:r>
        <w:rPr>
          <w:rFonts w:hint="eastAsia"/>
          <w:color w:val="auto"/>
          <w:sz w:val="21"/>
          <w:szCs w:val="21"/>
          <w:vertAlign w:val="baseline"/>
          <w:lang w:val="en-US" w:eastAsia="zh-CN"/>
        </w:rPr>
        <w:br w:type="page"/>
      </w:r>
    </w:p>
    <w:tbl>
      <w:tblPr>
        <w:tblStyle w:val="25"/>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4"/>
        <w:gridCol w:w="97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40" w:hRule="atLeast"/>
          <w:jc w:val="center"/>
        </w:trPr>
        <w:tc>
          <w:tcPr>
            <w:tcW w:w="434" w:type="dxa"/>
            <w:vAlign w:val="center"/>
          </w:tcPr>
          <w:p>
            <w:pPr>
              <w:jc w:val="center"/>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运营期环境影响和保护措施</w:t>
            </w:r>
          </w:p>
        </w:tc>
        <w:tc>
          <w:tcPr>
            <w:tcW w:w="9771" w:type="dxa"/>
            <w:vAlign w:val="center"/>
          </w:tcPr>
          <w:p>
            <w:pPr>
              <w:pStyle w:val="45"/>
              <w:spacing w:line="360" w:lineRule="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1、大气</w:t>
            </w:r>
          </w:p>
          <w:p>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lang w:eastAsia="zh-CN"/>
              </w:rPr>
              <w:t>本</w:t>
            </w:r>
            <w:r>
              <w:rPr>
                <w:rFonts w:ascii="Times New Roman" w:hAnsi="Times New Roman" w:cs="Times New Roman"/>
                <w:color w:val="auto"/>
                <w:sz w:val="24"/>
              </w:rPr>
              <w:t>项目</w:t>
            </w:r>
            <w:r>
              <w:rPr>
                <w:rFonts w:hint="eastAsia"/>
                <w:color w:val="auto"/>
                <w:sz w:val="24"/>
                <w:szCs w:val="24"/>
                <w:lang w:eastAsia="zh-CN"/>
              </w:rPr>
              <w:t>废气污染源源强核算结果及相关参数一览表</w:t>
            </w:r>
            <w:r>
              <w:rPr>
                <w:rFonts w:ascii="Times New Roman" w:hAnsi="Times New Roman" w:cs="Times New Roman"/>
                <w:color w:val="auto"/>
                <w:sz w:val="24"/>
              </w:rPr>
              <w:t>见表4.</w:t>
            </w:r>
            <w:r>
              <w:rPr>
                <w:rFonts w:hint="eastAsia" w:ascii="Times New Roman" w:hAnsi="Times New Roman" w:cs="Times New Roman"/>
                <w:color w:val="auto"/>
                <w:sz w:val="24"/>
                <w:lang w:val="en-US" w:eastAsia="zh-CN"/>
              </w:rPr>
              <w:t>1</w:t>
            </w:r>
            <w:r>
              <w:rPr>
                <w:rFonts w:ascii="Times New Roman" w:hAnsi="Times New Roman" w:cs="Times New Roman"/>
                <w:color w:val="auto"/>
                <w:sz w:val="24"/>
              </w:rPr>
              <w:t>。</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lang w:eastAsia="zh-CN"/>
              </w:rPr>
              <w:t>本</w:t>
            </w:r>
            <w:r>
              <w:rPr>
                <w:rFonts w:ascii="Times New Roman" w:hAnsi="Times New Roman" w:cs="Times New Roman"/>
                <w:b/>
                <w:bCs/>
                <w:color w:val="auto"/>
                <w:sz w:val="24"/>
              </w:rPr>
              <w:t>项目</w:t>
            </w:r>
            <w:r>
              <w:rPr>
                <w:rFonts w:hint="eastAsia"/>
                <w:b/>
                <w:bCs/>
                <w:color w:val="auto"/>
                <w:sz w:val="24"/>
                <w:szCs w:val="24"/>
                <w:lang w:eastAsia="zh-CN"/>
              </w:rPr>
              <w:t>废气污染源源强核算结果及相关参数一览表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83"/>
              <w:gridCol w:w="429"/>
              <w:gridCol w:w="483"/>
              <w:gridCol w:w="484"/>
              <w:gridCol w:w="484"/>
              <w:gridCol w:w="484"/>
              <w:gridCol w:w="484"/>
              <w:gridCol w:w="484"/>
              <w:gridCol w:w="484"/>
              <w:gridCol w:w="484"/>
              <w:gridCol w:w="484"/>
              <w:gridCol w:w="485"/>
              <w:gridCol w:w="485"/>
              <w:gridCol w:w="485"/>
              <w:gridCol w:w="486"/>
              <w:gridCol w:w="486"/>
              <w:gridCol w:w="486"/>
              <w:gridCol w:w="487"/>
              <w:gridCol w:w="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restart"/>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产污环节</w:t>
                  </w:r>
                </w:p>
              </w:tc>
              <w:tc>
                <w:tcPr>
                  <w:tcW w:w="483" w:type="dxa"/>
                  <w:vMerge w:val="restart"/>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污染物种类</w:t>
                  </w:r>
                </w:p>
              </w:tc>
              <w:tc>
                <w:tcPr>
                  <w:tcW w:w="429" w:type="dxa"/>
                  <w:vMerge w:val="restart"/>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核算方法</w:t>
                  </w:r>
                </w:p>
              </w:tc>
              <w:tc>
                <w:tcPr>
                  <w:tcW w:w="1451" w:type="dxa"/>
                  <w:gridSpan w:val="3"/>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污染物产生</w:t>
                  </w:r>
                </w:p>
              </w:tc>
              <w:tc>
                <w:tcPr>
                  <w:tcW w:w="484" w:type="dxa"/>
                  <w:vMerge w:val="restart"/>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排放方式</w:t>
                  </w:r>
                </w:p>
              </w:tc>
              <w:tc>
                <w:tcPr>
                  <w:tcW w:w="2420" w:type="dxa"/>
                  <w:gridSpan w:val="5"/>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治理</w:t>
                  </w:r>
                  <w:r>
                    <w:rPr>
                      <w:rFonts w:hint="eastAsia" w:ascii="Times New Roman" w:hAnsi="Times New Roman" w:eastAsia="宋体" w:cs="Times New Roman"/>
                      <w:b/>
                      <w:bCs/>
                      <w:color w:val="auto"/>
                      <w:sz w:val="15"/>
                      <w:szCs w:val="15"/>
                      <w:lang w:val="en-US" w:eastAsia="zh-CN"/>
                    </w:rPr>
                    <w:t>措施</w:t>
                  </w:r>
                </w:p>
              </w:tc>
              <w:tc>
                <w:tcPr>
                  <w:tcW w:w="1455" w:type="dxa"/>
                  <w:gridSpan w:val="3"/>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污染物排放</w:t>
                  </w:r>
                </w:p>
              </w:tc>
              <w:tc>
                <w:tcPr>
                  <w:tcW w:w="486" w:type="dxa"/>
                  <w:vMerge w:val="restart"/>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排污口编号</w:t>
                  </w:r>
                </w:p>
              </w:tc>
              <w:tc>
                <w:tcPr>
                  <w:tcW w:w="1947" w:type="dxa"/>
                  <w:gridSpan w:val="4"/>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排放源参数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default" w:ascii="Times New Roman" w:hAnsi="Times New Roman" w:eastAsia="宋体" w:cs="Times New Roman"/>
                      <w:b/>
                      <w:bCs/>
                      <w:color w:val="auto"/>
                      <w:sz w:val="15"/>
                      <w:szCs w:val="15"/>
                    </w:rPr>
                  </w:pPr>
                </w:p>
              </w:tc>
              <w:tc>
                <w:tcPr>
                  <w:tcW w:w="483" w:type="dxa"/>
                  <w:vMerge w:val="continue"/>
                  <w:vAlign w:val="center"/>
                </w:tcPr>
                <w:p>
                  <w:pPr>
                    <w:snapToGrid w:val="0"/>
                    <w:jc w:val="center"/>
                    <w:rPr>
                      <w:rFonts w:hint="default" w:ascii="Times New Roman" w:hAnsi="Times New Roman" w:eastAsia="宋体" w:cs="Times New Roman"/>
                      <w:b/>
                      <w:bCs/>
                      <w:color w:val="auto"/>
                      <w:sz w:val="15"/>
                      <w:szCs w:val="15"/>
                    </w:rPr>
                  </w:pPr>
                </w:p>
              </w:tc>
              <w:tc>
                <w:tcPr>
                  <w:tcW w:w="429" w:type="dxa"/>
                  <w:vMerge w:val="continue"/>
                  <w:vAlign w:val="center"/>
                </w:tcPr>
                <w:p>
                  <w:pPr>
                    <w:snapToGrid w:val="0"/>
                    <w:jc w:val="center"/>
                    <w:rPr>
                      <w:rFonts w:hint="default" w:ascii="Times New Roman" w:hAnsi="Times New Roman" w:eastAsia="宋体" w:cs="Times New Roman"/>
                      <w:b/>
                      <w:bCs/>
                      <w:color w:val="auto"/>
                      <w:sz w:val="15"/>
                      <w:szCs w:val="15"/>
                    </w:rPr>
                  </w:pPr>
                </w:p>
              </w:tc>
              <w:tc>
                <w:tcPr>
                  <w:tcW w:w="483"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产生量/t/a</w:t>
                  </w:r>
                </w:p>
              </w:tc>
              <w:tc>
                <w:tcPr>
                  <w:tcW w:w="484"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产生速率/kg/h</w:t>
                  </w:r>
                </w:p>
              </w:tc>
              <w:tc>
                <w:tcPr>
                  <w:tcW w:w="484" w:type="dxa"/>
                  <w:vAlign w:val="center"/>
                </w:tcPr>
                <w:p>
                  <w:pPr>
                    <w:snapToGrid w:val="0"/>
                    <w:jc w:val="center"/>
                    <w:rPr>
                      <w:rFonts w:hint="default" w:ascii="Times New Roman" w:hAnsi="Times New Roman" w:eastAsia="宋体" w:cs="Times New Roman"/>
                      <w:b/>
                      <w:bCs/>
                      <w:color w:val="auto"/>
                      <w:sz w:val="15"/>
                      <w:szCs w:val="15"/>
                      <w:vertAlign w:val="superscript"/>
                      <w:lang w:val="en-US" w:eastAsia="zh-CN"/>
                    </w:rPr>
                  </w:pPr>
                  <w:r>
                    <w:rPr>
                      <w:rFonts w:hint="eastAsia" w:ascii="Times New Roman" w:hAnsi="Times New Roman" w:eastAsia="宋体" w:cs="Times New Roman"/>
                      <w:b/>
                      <w:bCs/>
                      <w:color w:val="auto"/>
                      <w:sz w:val="15"/>
                      <w:szCs w:val="15"/>
                      <w:lang w:eastAsia="zh-CN"/>
                    </w:rPr>
                    <w:t>产生浓度</w:t>
                  </w:r>
                  <w:r>
                    <w:rPr>
                      <w:rFonts w:hint="eastAsia" w:ascii="Times New Roman" w:hAnsi="Times New Roman" w:eastAsia="宋体" w:cs="Times New Roman"/>
                      <w:b/>
                      <w:bCs/>
                      <w:color w:val="auto"/>
                      <w:sz w:val="15"/>
                      <w:szCs w:val="15"/>
                      <w:lang w:val="en-US" w:eastAsia="zh-CN"/>
                    </w:rPr>
                    <w:t>/mg/m</w:t>
                  </w:r>
                  <w:r>
                    <w:rPr>
                      <w:rFonts w:hint="eastAsia" w:ascii="Times New Roman" w:hAnsi="Times New Roman" w:eastAsia="宋体" w:cs="Times New Roman"/>
                      <w:b/>
                      <w:bCs/>
                      <w:color w:val="auto"/>
                      <w:sz w:val="15"/>
                      <w:szCs w:val="15"/>
                      <w:vertAlign w:val="superscript"/>
                      <w:lang w:val="en-US" w:eastAsia="zh-CN"/>
                    </w:rPr>
                    <w:t>3</w:t>
                  </w:r>
                </w:p>
              </w:tc>
              <w:tc>
                <w:tcPr>
                  <w:tcW w:w="484" w:type="dxa"/>
                  <w:vMerge w:val="continue"/>
                  <w:vAlign w:val="center"/>
                </w:tcPr>
                <w:p>
                  <w:pPr>
                    <w:snapToGrid w:val="0"/>
                    <w:jc w:val="center"/>
                    <w:rPr>
                      <w:rFonts w:hint="default" w:ascii="Times New Roman" w:hAnsi="Times New Roman" w:eastAsia="宋体" w:cs="Times New Roman"/>
                      <w:b/>
                      <w:bCs/>
                      <w:color w:val="auto"/>
                      <w:sz w:val="15"/>
                      <w:szCs w:val="15"/>
                    </w:rPr>
                  </w:pPr>
                </w:p>
              </w:tc>
              <w:tc>
                <w:tcPr>
                  <w:tcW w:w="484"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eastAsia="zh-CN"/>
                    </w:rPr>
                    <w:t>风量</w:t>
                  </w:r>
                  <w:r>
                    <w:rPr>
                      <w:rFonts w:hint="eastAsia" w:ascii="Times New Roman" w:hAnsi="Times New Roman" w:eastAsia="宋体" w:cs="Times New Roman"/>
                      <w:b/>
                      <w:bCs/>
                      <w:color w:val="auto"/>
                      <w:sz w:val="15"/>
                      <w:szCs w:val="15"/>
                      <w:lang w:val="en-US" w:eastAsia="zh-CN"/>
                    </w:rPr>
                    <w:t>m</w:t>
                  </w:r>
                  <w:r>
                    <w:rPr>
                      <w:rFonts w:hint="eastAsia" w:ascii="Times New Roman" w:hAnsi="Times New Roman" w:eastAsia="宋体" w:cs="Times New Roman"/>
                      <w:b/>
                      <w:bCs/>
                      <w:color w:val="auto"/>
                      <w:sz w:val="15"/>
                      <w:szCs w:val="15"/>
                      <w:vertAlign w:val="superscript"/>
                      <w:lang w:val="en-US" w:eastAsia="zh-CN"/>
                    </w:rPr>
                    <w:t>3</w:t>
                  </w:r>
                  <w:r>
                    <w:rPr>
                      <w:rFonts w:hint="eastAsia" w:ascii="Times New Roman" w:hAnsi="Times New Roman" w:eastAsia="宋体" w:cs="Times New Roman"/>
                      <w:b/>
                      <w:bCs/>
                      <w:color w:val="auto"/>
                      <w:sz w:val="15"/>
                      <w:szCs w:val="15"/>
                      <w:lang w:val="en-US" w:eastAsia="zh-CN"/>
                    </w:rPr>
                    <w:t>/h</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治理措施</w:t>
                  </w:r>
                </w:p>
              </w:tc>
              <w:tc>
                <w:tcPr>
                  <w:tcW w:w="484"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eastAsia="zh-CN"/>
                    </w:rPr>
                    <w:t>收集效率</w:t>
                  </w:r>
                  <w:r>
                    <w:rPr>
                      <w:rFonts w:hint="eastAsia" w:ascii="Times New Roman" w:hAnsi="Times New Roman" w:eastAsia="宋体" w:cs="Times New Roman"/>
                      <w:b/>
                      <w:bCs/>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eastAsia="zh-CN"/>
                    </w:rPr>
                    <w:t>处理效率</w:t>
                  </w:r>
                  <w:r>
                    <w:rPr>
                      <w:rFonts w:hint="eastAsia" w:ascii="Times New Roman" w:hAnsi="Times New Roman" w:eastAsia="宋体" w:cs="Times New Roman"/>
                      <w:b/>
                      <w:bCs/>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bCs/>
                      <w:color w:val="auto"/>
                      <w:sz w:val="15"/>
                      <w:szCs w:val="15"/>
                    </w:rPr>
                  </w:pPr>
                  <w:r>
                    <w:rPr>
                      <w:rFonts w:hint="eastAsia" w:ascii="Times New Roman" w:hAnsi="Times New Roman" w:eastAsia="宋体" w:cs="Times New Roman"/>
                      <w:b/>
                      <w:bCs/>
                      <w:color w:val="auto"/>
                      <w:sz w:val="15"/>
                      <w:szCs w:val="15"/>
                      <w:lang w:eastAsia="zh-CN"/>
                    </w:rPr>
                    <w:t>是否为可行技术</w:t>
                  </w:r>
                </w:p>
              </w:tc>
              <w:tc>
                <w:tcPr>
                  <w:tcW w:w="485"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eastAsia="zh-CN"/>
                    </w:rPr>
                    <w:t>排放量</w:t>
                  </w:r>
                  <w:r>
                    <w:rPr>
                      <w:rFonts w:hint="eastAsia" w:ascii="Times New Roman" w:hAnsi="Times New Roman" w:eastAsia="宋体" w:cs="Times New Roman"/>
                      <w:b/>
                      <w:bCs/>
                      <w:color w:val="auto"/>
                      <w:sz w:val="15"/>
                      <w:szCs w:val="15"/>
                      <w:lang w:val="en-US" w:eastAsia="zh-CN"/>
                    </w:rPr>
                    <w:t>t/a</w:t>
                  </w:r>
                </w:p>
              </w:tc>
              <w:tc>
                <w:tcPr>
                  <w:tcW w:w="485"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eastAsia="zh-CN"/>
                    </w:rPr>
                    <w:t>排放速率</w:t>
                  </w:r>
                  <w:r>
                    <w:rPr>
                      <w:rFonts w:hint="eastAsia" w:ascii="Times New Roman" w:hAnsi="Times New Roman" w:eastAsia="宋体" w:cs="Times New Roman"/>
                      <w:b/>
                      <w:bCs/>
                      <w:color w:val="auto"/>
                      <w:sz w:val="15"/>
                      <w:szCs w:val="15"/>
                      <w:lang w:val="en-US" w:eastAsia="zh-CN"/>
                    </w:rPr>
                    <w:t>kg/h</w:t>
                  </w:r>
                </w:p>
              </w:tc>
              <w:tc>
                <w:tcPr>
                  <w:tcW w:w="485" w:type="dxa"/>
                  <w:vAlign w:val="center"/>
                </w:tcPr>
                <w:p>
                  <w:pPr>
                    <w:snapToGrid w:val="0"/>
                    <w:jc w:val="center"/>
                    <w:rPr>
                      <w:rFonts w:hint="default" w:ascii="Times New Roman" w:hAnsi="Times New Roman" w:eastAsia="宋体" w:cs="Times New Roman"/>
                      <w:b/>
                      <w:bCs/>
                      <w:color w:val="auto"/>
                      <w:sz w:val="15"/>
                      <w:szCs w:val="15"/>
                      <w:vertAlign w:val="superscript"/>
                      <w:lang w:val="en-US" w:eastAsia="zh-CN"/>
                    </w:rPr>
                  </w:pPr>
                  <w:r>
                    <w:rPr>
                      <w:rFonts w:hint="eastAsia" w:ascii="Times New Roman" w:hAnsi="Times New Roman" w:eastAsia="宋体" w:cs="Times New Roman"/>
                      <w:b/>
                      <w:bCs/>
                      <w:color w:val="auto"/>
                      <w:sz w:val="15"/>
                      <w:szCs w:val="15"/>
                      <w:lang w:eastAsia="zh-CN"/>
                    </w:rPr>
                    <w:t>浓度</w:t>
                  </w:r>
                  <w:r>
                    <w:rPr>
                      <w:rFonts w:hint="eastAsia" w:ascii="Times New Roman" w:hAnsi="Times New Roman" w:eastAsia="宋体" w:cs="Times New Roman"/>
                      <w:b/>
                      <w:bCs/>
                      <w:color w:val="auto"/>
                      <w:sz w:val="15"/>
                      <w:szCs w:val="15"/>
                      <w:lang w:val="en-US" w:eastAsia="zh-CN"/>
                    </w:rPr>
                    <w:t>mg/m</w:t>
                  </w:r>
                  <w:r>
                    <w:rPr>
                      <w:rFonts w:hint="eastAsia" w:ascii="Times New Roman" w:hAnsi="Times New Roman" w:eastAsia="宋体" w:cs="Times New Roman"/>
                      <w:b/>
                      <w:bCs/>
                      <w:color w:val="auto"/>
                      <w:sz w:val="15"/>
                      <w:szCs w:val="15"/>
                      <w:vertAlign w:val="superscript"/>
                      <w:lang w:val="en-US" w:eastAsia="zh-CN"/>
                    </w:rPr>
                    <w:t>3</w:t>
                  </w:r>
                </w:p>
              </w:tc>
              <w:tc>
                <w:tcPr>
                  <w:tcW w:w="486" w:type="dxa"/>
                  <w:vMerge w:val="continue"/>
                  <w:vAlign w:val="center"/>
                </w:tcPr>
                <w:p>
                  <w:pPr>
                    <w:snapToGrid w:val="0"/>
                    <w:jc w:val="center"/>
                    <w:rPr>
                      <w:rFonts w:hint="default" w:ascii="Times New Roman" w:hAnsi="Times New Roman" w:eastAsia="宋体" w:cs="Times New Roman"/>
                      <w:b/>
                      <w:bCs/>
                      <w:color w:val="auto"/>
                      <w:sz w:val="15"/>
                      <w:szCs w:val="15"/>
                    </w:rPr>
                  </w:pPr>
                </w:p>
              </w:tc>
              <w:tc>
                <w:tcPr>
                  <w:tcW w:w="486"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eastAsia="zh-CN"/>
                    </w:rPr>
                    <w:t>高度</w:t>
                  </w:r>
                  <w:r>
                    <w:rPr>
                      <w:rFonts w:hint="eastAsia" w:ascii="Times New Roman" w:hAnsi="Times New Roman" w:eastAsia="宋体" w:cs="Times New Roman"/>
                      <w:b/>
                      <w:bCs/>
                      <w:color w:val="auto"/>
                      <w:sz w:val="15"/>
                      <w:szCs w:val="15"/>
                      <w:lang w:val="en-US" w:eastAsia="zh-CN"/>
                    </w:rPr>
                    <w:t>/m</w:t>
                  </w:r>
                </w:p>
              </w:tc>
              <w:tc>
                <w:tcPr>
                  <w:tcW w:w="486"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eastAsia="zh-CN"/>
                    </w:rPr>
                    <w:t>内径</w:t>
                  </w:r>
                  <w:r>
                    <w:rPr>
                      <w:rFonts w:hint="eastAsia" w:ascii="Times New Roman" w:hAnsi="Times New Roman" w:eastAsia="宋体" w:cs="Times New Roman"/>
                      <w:b/>
                      <w:bCs/>
                      <w:color w:val="auto"/>
                      <w:sz w:val="15"/>
                      <w:szCs w:val="15"/>
                      <w:lang w:val="en-US" w:eastAsia="zh-CN"/>
                    </w:rPr>
                    <w:t>/m</w:t>
                  </w:r>
                </w:p>
              </w:tc>
              <w:tc>
                <w:tcPr>
                  <w:tcW w:w="487"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温度/℃</w:t>
                  </w:r>
                </w:p>
              </w:tc>
              <w:tc>
                <w:tcPr>
                  <w:tcW w:w="488"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eastAsia="zh-CN"/>
                    </w:rPr>
                    <w:t>排放时间</w:t>
                  </w:r>
                  <w:r>
                    <w:rPr>
                      <w:rFonts w:hint="eastAsia" w:ascii="Times New Roman" w:hAnsi="Times New Roman" w:eastAsia="宋体" w:cs="Times New Roman"/>
                      <w:b/>
                      <w:bCs/>
                      <w:color w:val="auto"/>
                      <w:sz w:val="15"/>
                      <w:szCs w:val="15"/>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激光切割</w:t>
                  </w: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颗粒物</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0.0792</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0.0396</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bCs/>
                      <w:color w:val="auto"/>
                      <w:sz w:val="15"/>
                      <w:szCs w:val="15"/>
                      <w:lang w:eastAsia="zh-CN"/>
                    </w:rPr>
                    <w:t>无组织</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工业集尘器</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80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99</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是</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0.6864</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0.3432</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7"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8"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restart"/>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焊接</w:t>
                  </w:r>
                </w:p>
              </w:tc>
              <w:tc>
                <w:tcPr>
                  <w:tcW w:w="483" w:type="dxa"/>
                  <w:vMerge w:val="restart"/>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颗粒物</w:t>
                  </w:r>
                </w:p>
              </w:tc>
              <w:tc>
                <w:tcPr>
                  <w:tcW w:w="429" w:type="dxa"/>
                  <w:vMerge w:val="restart"/>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0.14704</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0.07352</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7.352</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bCs/>
                      <w:color w:val="auto"/>
                      <w:sz w:val="15"/>
                      <w:szCs w:val="15"/>
                      <w:lang w:val="en-US" w:eastAsia="zh-CN"/>
                    </w:rPr>
                    <w:t>有</w:t>
                  </w:r>
                  <w:r>
                    <w:rPr>
                      <w:rFonts w:hint="eastAsia" w:ascii="Times New Roman" w:hAnsi="Times New Roman" w:eastAsia="宋体" w:cs="Times New Roman"/>
                      <w:b/>
                      <w:bCs/>
                      <w:color w:val="auto"/>
                      <w:sz w:val="15"/>
                      <w:szCs w:val="15"/>
                      <w:lang w:eastAsia="zh-CN"/>
                    </w:rPr>
                    <w:t>组织</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10000</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滤筒除尘器</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80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95</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是</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0.00735</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0.00368</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0.3676</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DA001</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15</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0.5</w:t>
                  </w:r>
                </w:p>
              </w:tc>
              <w:tc>
                <w:tcPr>
                  <w:tcW w:w="487"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25</w:t>
                  </w:r>
                </w:p>
              </w:tc>
              <w:tc>
                <w:tcPr>
                  <w:tcW w:w="488"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3"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29"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0.03676</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0.01838</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无组织</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80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0.03676</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0.01838</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7"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8" w:type="dxa"/>
                  <w:vMerge w:val="continue"/>
                  <w:vAlign w:val="center"/>
                </w:tcPr>
                <w:p>
                  <w:pPr>
                    <w:snapToGrid w:val="0"/>
                    <w:jc w:val="center"/>
                    <w:rPr>
                      <w:rFonts w:hint="default" w:ascii="Times New Roman" w:hAnsi="Times New Roman" w:eastAsia="宋体" w:cs="Times New Roman"/>
                      <w:b w:val="0"/>
                      <w:bCs w:val="0"/>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抛丸</w:t>
                  </w: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颗粒物</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6.57</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3.285</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219</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有组织</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15000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color w:val="auto"/>
                      <w:sz w:val="15"/>
                      <w:szCs w:val="15"/>
                      <w:lang w:val="en-US" w:eastAsia="zh-CN"/>
                    </w:rPr>
                    <w:t>袋式除尘器</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100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95</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是</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0.0657</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0.03285</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2.19</w:t>
                  </w:r>
                </w:p>
              </w:tc>
              <w:tc>
                <w:tcPr>
                  <w:tcW w:w="486"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DA002</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15</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0.6</w:t>
                  </w:r>
                </w:p>
              </w:tc>
              <w:tc>
                <w:tcPr>
                  <w:tcW w:w="487"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25</w:t>
                  </w:r>
                </w:p>
              </w:tc>
              <w:tc>
                <w:tcPr>
                  <w:tcW w:w="488"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大（小）构件喷粉</w:t>
                  </w: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颗粒物</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3.516</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1.758</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70.32</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有组织</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25000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color w:val="auto"/>
                      <w:sz w:val="15"/>
                      <w:szCs w:val="15"/>
                      <w:lang w:val="en-GB" w:eastAsia="zh-CN"/>
                    </w:rPr>
                    <w:t>大旋风粉末回收系统</w:t>
                  </w:r>
                  <w:r>
                    <w:rPr>
                      <w:rFonts w:hint="eastAsia" w:ascii="Times New Roman" w:hAnsi="Times New Roman" w:eastAsia="宋体" w:cs="Times New Roman"/>
                      <w:color w:val="auto"/>
                      <w:sz w:val="15"/>
                      <w:szCs w:val="15"/>
                      <w:lang w:val="en-US" w:eastAsia="zh-CN"/>
                    </w:rPr>
                    <w:t>+袋式除尘器</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90（喷粉柜）/95（喷粉线）</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95</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是</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0.1758</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0.0879</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3.516</w:t>
                  </w:r>
                </w:p>
              </w:tc>
              <w:tc>
                <w:tcPr>
                  <w:tcW w:w="486" w:type="dxa"/>
                  <w:vAlign w:val="center"/>
                </w:tcPr>
                <w:p>
                  <w:pPr>
                    <w:snapToGrid w:val="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DA003</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15</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0.8</w:t>
                  </w:r>
                </w:p>
              </w:tc>
              <w:tc>
                <w:tcPr>
                  <w:tcW w:w="487"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25</w:t>
                  </w:r>
                </w:p>
              </w:tc>
              <w:tc>
                <w:tcPr>
                  <w:tcW w:w="488"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default" w:ascii="Times New Roman" w:hAnsi="Times New Roman" w:eastAsia="宋体" w:cs="Times New Roman"/>
                      <w:b w:val="0"/>
                      <w:bCs w:val="0"/>
                      <w:color w:val="auto"/>
                      <w:sz w:val="15"/>
                      <w:szCs w:val="15"/>
                    </w:rPr>
                  </w:pP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颗粒物</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0.4350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0.2175</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无组织</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0.4350</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0.2175</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7"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8"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restart"/>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固化</w:t>
                  </w: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非甲烷总烃</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0.02304</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0.01152</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3.84</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有组织</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3000</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风冷+两级活性炭吸附箱</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80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80</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是</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0.00461</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0.00230</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0.768</w:t>
                  </w:r>
                </w:p>
              </w:tc>
              <w:tc>
                <w:tcPr>
                  <w:tcW w:w="486"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bCs/>
                      <w:color w:val="auto"/>
                      <w:sz w:val="15"/>
                      <w:szCs w:val="15"/>
                      <w:lang w:val="en-US" w:eastAsia="zh-CN"/>
                    </w:rPr>
                    <w:t>DA004</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15</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0.3</w:t>
                  </w:r>
                </w:p>
              </w:tc>
              <w:tc>
                <w:tcPr>
                  <w:tcW w:w="487"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25</w:t>
                  </w:r>
                </w:p>
              </w:tc>
              <w:tc>
                <w:tcPr>
                  <w:tcW w:w="488"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非甲烷总烃</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0.00576</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0.00288</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无组织</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0.00576</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0.00288</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Merge w:val="continue"/>
                  <w:vAlign w:val="center"/>
                </w:tcPr>
                <w:p>
                  <w:pPr>
                    <w:snapToGrid w:val="0"/>
                    <w:jc w:val="center"/>
                    <w:rPr>
                      <w:rFonts w:hint="default" w:ascii="Times New Roman" w:hAnsi="Times New Roman" w:eastAsia="宋体" w:cs="Times New Roman"/>
                      <w:b w:val="0"/>
                      <w:bCs w:val="0"/>
                      <w:color w:val="auto"/>
                      <w:sz w:val="15"/>
                      <w:szCs w:val="15"/>
                      <w:lang w:val="en-US" w:eastAsia="zh-CN"/>
                    </w:rPr>
                  </w:pP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7"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8" w:type="dxa"/>
                  <w:vMerge w:val="continue"/>
                  <w:vAlign w:val="center"/>
                </w:tcPr>
                <w:p>
                  <w:pPr>
                    <w:snapToGrid w:val="0"/>
                    <w:jc w:val="center"/>
                    <w:rPr>
                      <w:rFonts w:hint="default" w:ascii="Times New Roman" w:hAnsi="Times New Roman" w:eastAsia="宋体" w:cs="Times New Roman"/>
                      <w:b w:val="0"/>
                      <w:bCs w:val="0"/>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颗粒物</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0.0572</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0.0286</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9.53</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有组织</w:t>
                  </w:r>
                </w:p>
              </w:tc>
              <w:tc>
                <w:tcPr>
                  <w:tcW w:w="484"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3000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100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0.0572</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0.0286</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9.53</w:t>
                  </w:r>
                </w:p>
              </w:tc>
              <w:tc>
                <w:tcPr>
                  <w:tcW w:w="486"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15</w:t>
                  </w:r>
                </w:p>
              </w:tc>
              <w:tc>
                <w:tcPr>
                  <w:tcW w:w="486"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0.3</w:t>
                  </w:r>
                </w:p>
              </w:tc>
              <w:tc>
                <w:tcPr>
                  <w:tcW w:w="487"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25</w:t>
                  </w:r>
                </w:p>
              </w:tc>
              <w:tc>
                <w:tcPr>
                  <w:tcW w:w="488" w:type="dxa"/>
                  <w:vMerge w:val="continue"/>
                  <w:vAlign w:val="center"/>
                </w:tcPr>
                <w:p>
                  <w:pPr>
                    <w:snapToGrid w:val="0"/>
                    <w:jc w:val="center"/>
                    <w:rPr>
                      <w:rFonts w:hint="default" w:ascii="Times New Roman" w:hAnsi="Times New Roman" w:eastAsia="宋体" w:cs="Times New Roman"/>
                      <w:b w:val="0"/>
                      <w:bCs w:val="0"/>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二氧化硫</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0.0080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0.004</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1.33</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有组织</w:t>
                  </w:r>
                </w:p>
              </w:tc>
              <w:tc>
                <w:tcPr>
                  <w:tcW w:w="484" w:type="dxa"/>
                  <w:vMerge w:val="continue"/>
                  <w:vAlign w:val="center"/>
                </w:tcPr>
                <w:p>
                  <w:pPr>
                    <w:snapToGrid w:val="0"/>
                    <w:jc w:val="center"/>
                    <w:rPr>
                      <w:rFonts w:hint="default" w:ascii="Times New Roman" w:hAnsi="Times New Roman" w:eastAsia="宋体" w:cs="Times New Roman"/>
                      <w:b w:val="0"/>
                      <w:bCs w:val="0"/>
                      <w:color w:val="auto"/>
                      <w:sz w:val="15"/>
                      <w:szCs w:val="15"/>
                      <w:lang w:val="en-US" w:eastAsia="zh-CN"/>
                    </w:rPr>
                  </w:pP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100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0.0080</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0.004</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1.33</w:t>
                  </w:r>
                </w:p>
              </w:tc>
              <w:tc>
                <w:tcPr>
                  <w:tcW w:w="486" w:type="dxa"/>
                  <w:vMerge w:val="continue"/>
                  <w:vAlign w:val="center"/>
                </w:tcPr>
                <w:p>
                  <w:pPr>
                    <w:snapToGrid w:val="0"/>
                    <w:jc w:val="center"/>
                    <w:rPr>
                      <w:rFonts w:hint="default" w:ascii="Times New Roman" w:hAnsi="Times New Roman" w:eastAsia="宋体" w:cs="Times New Roman"/>
                      <w:b w:val="0"/>
                      <w:bCs w:val="0"/>
                      <w:color w:val="auto"/>
                      <w:sz w:val="15"/>
                      <w:szCs w:val="15"/>
                      <w:lang w:val="en-US" w:eastAsia="zh-CN"/>
                    </w:rPr>
                  </w:pPr>
                </w:p>
              </w:tc>
              <w:tc>
                <w:tcPr>
                  <w:tcW w:w="486"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15</w:t>
                  </w:r>
                </w:p>
              </w:tc>
              <w:tc>
                <w:tcPr>
                  <w:tcW w:w="486" w:type="dxa"/>
                  <w:vMerge w:val="continue"/>
                  <w:vAlign w:val="center"/>
                </w:tcPr>
                <w:p>
                  <w:pPr>
                    <w:snapToGrid w:val="0"/>
                    <w:jc w:val="center"/>
                    <w:rPr>
                      <w:rFonts w:hint="default" w:ascii="Times New Roman" w:hAnsi="Times New Roman" w:eastAsia="宋体" w:cs="Times New Roman"/>
                      <w:b w:val="0"/>
                      <w:bCs w:val="0"/>
                      <w:color w:val="auto"/>
                      <w:sz w:val="15"/>
                      <w:szCs w:val="15"/>
                      <w:lang w:val="en-US" w:eastAsia="zh-CN"/>
                    </w:rPr>
                  </w:pPr>
                </w:p>
              </w:tc>
              <w:tc>
                <w:tcPr>
                  <w:tcW w:w="487"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25</w:t>
                  </w:r>
                </w:p>
              </w:tc>
              <w:tc>
                <w:tcPr>
                  <w:tcW w:w="488" w:type="dxa"/>
                  <w:vMerge w:val="continue"/>
                  <w:vAlign w:val="center"/>
                </w:tcPr>
                <w:p>
                  <w:pPr>
                    <w:snapToGrid w:val="0"/>
                    <w:jc w:val="center"/>
                    <w:rPr>
                      <w:rFonts w:hint="default" w:ascii="Times New Roman" w:hAnsi="Times New Roman" w:eastAsia="宋体" w:cs="Times New Roman"/>
                      <w:b w:val="0"/>
                      <w:bCs w:val="0"/>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氮氧化物</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0.1872</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0.0936</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31.2</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有组织</w:t>
                  </w:r>
                </w:p>
              </w:tc>
              <w:tc>
                <w:tcPr>
                  <w:tcW w:w="484"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低氮燃烧</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100</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是</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0.1872</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0.0936</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31.2</w:t>
                  </w:r>
                </w:p>
              </w:tc>
              <w:tc>
                <w:tcPr>
                  <w:tcW w:w="486"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15</w:t>
                  </w:r>
                </w:p>
              </w:tc>
              <w:tc>
                <w:tcPr>
                  <w:tcW w:w="486"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7"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25</w:t>
                  </w:r>
                </w:p>
              </w:tc>
              <w:tc>
                <w:tcPr>
                  <w:tcW w:w="488" w:type="dxa"/>
                  <w:vMerge w:val="continue"/>
                  <w:vAlign w:val="center"/>
                </w:tcPr>
                <w:p>
                  <w:pPr>
                    <w:snapToGrid w:val="0"/>
                    <w:jc w:val="center"/>
                    <w:rPr>
                      <w:rFonts w:hint="default" w:ascii="Times New Roman" w:hAnsi="Times New Roman" w:eastAsia="宋体" w:cs="Times New Roman"/>
                      <w:b w:val="0"/>
                      <w:bCs w:val="0"/>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eastAsia="zh-CN"/>
                    </w:rPr>
                    <w:t>预烘、浇注、清洗、注塑、</w:t>
                  </w:r>
                  <w:r>
                    <w:rPr>
                      <w:rFonts w:hint="eastAsia" w:ascii="Times New Roman" w:hAnsi="Times New Roman" w:eastAsia="宋体" w:cs="Times New Roman"/>
                      <w:b w:val="0"/>
                      <w:bCs w:val="0"/>
                      <w:color w:val="auto"/>
                      <w:sz w:val="15"/>
                      <w:szCs w:val="15"/>
                      <w:lang w:val="en-US" w:eastAsia="zh-CN"/>
                    </w:rPr>
                    <w:t>硫化</w:t>
                  </w: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非甲烷总烃</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1.04356</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0.43482</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14.494</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有组织</w:t>
                  </w:r>
                </w:p>
              </w:tc>
              <w:tc>
                <w:tcPr>
                  <w:tcW w:w="484"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30000</w:t>
                  </w:r>
                </w:p>
              </w:tc>
              <w:tc>
                <w:tcPr>
                  <w:tcW w:w="484" w:type="dxa"/>
                  <w:vMerge w:val="restart"/>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eastAsia="zh-CN"/>
                    </w:rPr>
                    <w:t>风冷+两级活性炭吸附箱</w:t>
                  </w:r>
                </w:p>
              </w:tc>
              <w:tc>
                <w:tcPr>
                  <w:tcW w:w="484"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80</w:t>
                  </w:r>
                </w:p>
              </w:tc>
              <w:tc>
                <w:tcPr>
                  <w:tcW w:w="484"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80</w:t>
                  </w:r>
                </w:p>
              </w:tc>
              <w:tc>
                <w:tcPr>
                  <w:tcW w:w="484" w:type="dxa"/>
                  <w:vMerge w:val="restart"/>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是</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0.20871</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0.08696</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2.8988</w:t>
                  </w:r>
                </w:p>
              </w:tc>
              <w:tc>
                <w:tcPr>
                  <w:tcW w:w="486"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bCs/>
                      <w:color w:val="auto"/>
                      <w:sz w:val="15"/>
                      <w:szCs w:val="15"/>
                      <w:lang w:val="en-US" w:eastAsia="zh-CN"/>
                    </w:rPr>
                    <w:t>DA005</w:t>
                  </w:r>
                </w:p>
              </w:tc>
              <w:tc>
                <w:tcPr>
                  <w:tcW w:w="486"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15</w:t>
                  </w:r>
                </w:p>
              </w:tc>
              <w:tc>
                <w:tcPr>
                  <w:tcW w:w="486"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0.8</w:t>
                  </w:r>
                </w:p>
              </w:tc>
              <w:tc>
                <w:tcPr>
                  <w:tcW w:w="487"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25</w:t>
                  </w:r>
                </w:p>
              </w:tc>
              <w:tc>
                <w:tcPr>
                  <w:tcW w:w="488" w:type="dxa"/>
                  <w:vMerge w:val="restart"/>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default" w:ascii="Times New Roman" w:hAnsi="Times New Roman" w:cs="Times New Roman"/>
                      <w:b w:val="0"/>
                      <w:bCs w:val="0"/>
                      <w:color w:val="auto"/>
                      <w:sz w:val="15"/>
                      <w:szCs w:val="15"/>
                      <w:lang w:val="en-US" w:eastAsia="zh-CN"/>
                    </w:rPr>
                    <w:t>MDI</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0.072</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0.036</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1.2</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有组织</w:t>
                  </w:r>
                </w:p>
              </w:tc>
              <w:tc>
                <w:tcPr>
                  <w:tcW w:w="484"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4"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4"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4"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4"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0.0144</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0.0072</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0.24</w:t>
                  </w:r>
                </w:p>
              </w:tc>
              <w:tc>
                <w:tcPr>
                  <w:tcW w:w="486" w:type="dxa"/>
                  <w:vMerge w:val="continue"/>
                  <w:vAlign w:val="center"/>
                </w:tcPr>
                <w:p>
                  <w:pPr>
                    <w:snapToGrid w:val="0"/>
                    <w:jc w:val="center"/>
                    <w:rPr>
                      <w:rFonts w:hint="eastAsia" w:ascii="Times New Roman" w:hAnsi="Times New Roman" w:eastAsia="宋体" w:cs="Times New Roman"/>
                      <w:b/>
                      <w:bCs/>
                      <w:color w:val="auto"/>
                      <w:sz w:val="15"/>
                      <w:szCs w:val="15"/>
                      <w:lang w:val="en-US" w:eastAsia="zh-CN"/>
                    </w:rPr>
                  </w:pPr>
                </w:p>
              </w:tc>
              <w:tc>
                <w:tcPr>
                  <w:tcW w:w="486"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6"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7"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8"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3" w:type="dxa"/>
                  <w:vAlign w:val="center"/>
                </w:tcPr>
                <w:p>
                  <w:pPr>
                    <w:snapToGrid w:val="0"/>
                    <w:jc w:val="center"/>
                    <w:rPr>
                      <w:rFonts w:hint="default" w:ascii="Times New Roman" w:hAnsi="Times New Roman" w:cs="Times New Roman"/>
                      <w:b w:val="0"/>
                      <w:bCs w:val="0"/>
                      <w:color w:val="auto"/>
                      <w:sz w:val="15"/>
                      <w:szCs w:val="15"/>
                      <w:lang w:val="en-US" w:eastAsia="zh-CN"/>
                    </w:rPr>
                  </w:pPr>
                  <w:r>
                    <w:rPr>
                      <w:rFonts w:hint="eastAsia" w:ascii="Times New Roman" w:hAnsi="Times New Roman" w:cs="Times New Roman"/>
                      <w:b w:val="0"/>
                      <w:bCs w:val="0"/>
                      <w:color w:val="auto"/>
                      <w:sz w:val="15"/>
                      <w:szCs w:val="15"/>
                      <w:lang w:val="en-US" w:eastAsia="zh-CN"/>
                    </w:rPr>
                    <w:t>二硫化碳</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0.00102</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0.00042</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0.014</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有组织</w:t>
                  </w:r>
                </w:p>
              </w:tc>
              <w:tc>
                <w:tcPr>
                  <w:tcW w:w="484"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4"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4"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4"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4"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0.00020</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0.00008</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0.0028</w:t>
                  </w:r>
                </w:p>
              </w:tc>
              <w:tc>
                <w:tcPr>
                  <w:tcW w:w="486" w:type="dxa"/>
                  <w:vMerge w:val="continue"/>
                  <w:vAlign w:val="center"/>
                </w:tcPr>
                <w:p>
                  <w:pPr>
                    <w:snapToGrid w:val="0"/>
                    <w:jc w:val="center"/>
                    <w:rPr>
                      <w:rFonts w:hint="eastAsia" w:ascii="Times New Roman" w:hAnsi="Times New Roman" w:eastAsia="宋体" w:cs="Times New Roman"/>
                      <w:b/>
                      <w:bCs/>
                      <w:color w:val="auto"/>
                      <w:sz w:val="15"/>
                      <w:szCs w:val="15"/>
                      <w:lang w:val="en-US" w:eastAsia="zh-CN"/>
                    </w:rPr>
                  </w:pPr>
                </w:p>
              </w:tc>
              <w:tc>
                <w:tcPr>
                  <w:tcW w:w="486"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6"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7"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8"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非甲烷总烃</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0.26089</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0.10870</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无组织</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0.26089</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0.10870</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7"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8" w:type="dxa"/>
                  <w:vMerge w:val="continue"/>
                  <w:vAlign w:val="center"/>
                </w:tcPr>
                <w:p>
                  <w:pPr>
                    <w:snapToGrid w:val="0"/>
                    <w:jc w:val="center"/>
                    <w:rPr>
                      <w:rFonts w:hint="default" w:ascii="Times New Roman" w:hAnsi="Times New Roman" w:eastAsia="宋体" w:cs="Times New Roman"/>
                      <w:b w:val="0"/>
                      <w:bCs w:val="0"/>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default" w:ascii="Times New Roman" w:hAnsi="Times New Roman" w:cs="Times New Roman"/>
                      <w:b w:val="0"/>
                      <w:bCs w:val="0"/>
                      <w:color w:val="auto"/>
                      <w:sz w:val="15"/>
                      <w:szCs w:val="15"/>
                      <w:lang w:val="en-US" w:eastAsia="zh-CN"/>
                    </w:rPr>
                    <w:t>MDI</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0.008</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0.004</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无组织</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0.008</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0.004</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7"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8"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snapToGrid w:val="0"/>
                    <w:jc w:val="center"/>
                    <w:rPr>
                      <w:rFonts w:hint="eastAsia" w:ascii="Times New Roman" w:hAnsi="Times New Roman" w:eastAsia="宋体" w:cs="Times New Roman"/>
                      <w:b w:val="0"/>
                      <w:bCs w:val="0"/>
                      <w:color w:val="auto"/>
                      <w:sz w:val="15"/>
                      <w:szCs w:val="15"/>
                      <w:lang w:eastAsia="zh-CN"/>
                    </w:rPr>
                  </w:pPr>
                </w:p>
              </w:tc>
              <w:tc>
                <w:tcPr>
                  <w:tcW w:w="483" w:type="dxa"/>
                  <w:vAlign w:val="center"/>
                </w:tcPr>
                <w:p>
                  <w:pPr>
                    <w:snapToGrid w:val="0"/>
                    <w:jc w:val="center"/>
                    <w:rPr>
                      <w:rFonts w:hint="default" w:ascii="Times New Roman" w:hAnsi="Times New Roman" w:cs="Times New Roman"/>
                      <w:b w:val="0"/>
                      <w:bCs w:val="0"/>
                      <w:color w:val="auto"/>
                      <w:sz w:val="15"/>
                      <w:szCs w:val="15"/>
                      <w:lang w:val="en-US" w:eastAsia="zh-CN"/>
                    </w:rPr>
                  </w:pPr>
                  <w:r>
                    <w:rPr>
                      <w:rFonts w:hint="eastAsia" w:ascii="Times New Roman" w:hAnsi="Times New Roman" w:cs="Times New Roman"/>
                      <w:b w:val="0"/>
                      <w:bCs w:val="0"/>
                      <w:color w:val="auto"/>
                      <w:sz w:val="15"/>
                      <w:szCs w:val="15"/>
                      <w:lang w:val="en-US" w:eastAsia="zh-CN"/>
                    </w:rPr>
                    <w:t>二硫化碳</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0.00026</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0.00011</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c>
                <w:tcPr>
                  <w:tcW w:w="484" w:type="dxa"/>
                  <w:vAlign w:val="center"/>
                </w:tcPr>
                <w:p>
                  <w:pPr>
                    <w:snapToGrid w:val="0"/>
                    <w:jc w:val="center"/>
                    <w:rPr>
                      <w:rFonts w:hint="eastAsia"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eastAsia="zh-CN"/>
                    </w:rPr>
                    <w:t>无组织</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0.00026</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0.00011</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7"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8" w:type="dxa"/>
                  <w:vMerge w:val="continue"/>
                  <w:vAlign w:val="center"/>
                </w:tcPr>
                <w:p>
                  <w:pPr>
                    <w:snapToGrid w:val="0"/>
                    <w:jc w:val="center"/>
                    <w:rPr>
                      <w:rFonts w:hint="eastAsia" w:ascii="Times New Roman" w:hAnsi="Times New Roman" w:eastAsia="宋体" w:cs="Times New Roman"/>
                      <w:b w:val="0"/>
                      <w:bCs w:val="0"/>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木材下料</w:t>
                  </w:r>
                </w:p>
              </w:tc>
              <w:tc>
                <w:tcPr>
                  <w:tcW w:w="483"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颗粒物</w:t>
                  </w:r>
                </w:p>
              </w:tc>
              <w:tc>
                <w:tcPr>
                  <w:tcW w:w="429"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val="0"/>
                      <w:bCs w:val="0"/>
                      <w:color w:val="auto"/>
                      <w:sz w:val="15"/>
                      <w:szCs w:val="15"/>
                      <w:lang w:eastAsia="zh-CN"/>
                    </w:rPr>
                    <w:t>产污系数法</w:t>
                  </w:r>
                </w:p>
              </w:tc>
              <w:tc>
                <w:tcPr>
                  <w:tcW w:w="483"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0.0098</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0.049</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eastAsia="zh-CN"/>
                    </w:rPr>
                  </w:pPr>
                  <w:r>
                    <w:rPr>
                      <w:rFonts w:hint="eastAsia" w:ascii="Times New Roman" w:hAnsi="Times New Roman" w:eastAsia="宋体" w:cs="Times New Roman"/>
                      <w:b/>
                      <w:bCs/>
                      <w:color w:val="auto"/>
                      <w:sz w:val="15"/>
                      <w:szCs w:val="15"/>
                      <w:lang w:eastAsia="zh-CN"/>
                    </w:rPr>
                    <w:t>无组织</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olor w:val="auto"/>
                      <w:sz w:val="15"/>
                      <w:szCs w:val="15"/>
                      <w:lang w:val="en-US" w:eastAsia="zh-CN"/>
                    </w:rPr>
                    <w:t>双桶布袋吸尘机</w:t>
                  </w:r>
                </w:p>
              </w:tc>
              <w:tc>
                <w:tcPr>
                  <w:tcW w:w="484"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80</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4"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0.00196</w:t>
                  </w:r>
                </w:p>
              </w:tc>
              <w:tc>
                <w:tcPr>
                  <w:tcW w:w="485"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0.0098</w:t>
                  </w:r>
                </w:p>
              </w:tc>
              <w:tc>
                <w:tcPr>
                  <w:tcW w:w="485"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6"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7" w:type="dxa"/>
                  <w:vAlign w:val="center"/>
                </w:tcPr>
                <w:p>
                  <w:pPr>
                    <w:snapToGrid w:val="0"/>
                    <w:jc w:val="center"/>
                    <w:rPr>
                      <w:rFonts w:hint="eastAsia"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w:t>
                  </w:r>
                </w:p>
              </w:tc>
              <w:tc>
                <w:tcPr>
                  <w:tcW w:w="488" w:type="dxa"/>
                  <w:vAlign w:val="center"/>
                </w:tcPr>
                <w:p>
                  <w:pPr>
                    <w:snapToGrid w:val="0"/>
                    <w:jc w:val="center"/>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200</w:t>
                  </w:r>
                </w:p>
              </w:tc>
            </w:tr>
          </w:tbl>
          <w:p>
            <w:pPr>
              <w:pStyle w:val="45"/>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1.1源强核算</w:t>
            </w:r>
          </w:p>
          <w:p>
            <w:pPr>
              <w:pStyle w:val="45"/>
              <w:spacing w:line="360" w:lineRule="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en-US" w:eastAsia="zh-CN"/>
              </w:rPr>
              <w:t>1.1.1</w:t>
            </w:r>
            <w:r>
              <w:rPr>
                <w:rFonts w:hint="eastAsia" w:ascii="Times New Roman" w:hAnsi="Times New Roman" w:eastAsia="宋体" w:cs="Times New Roman"/>
                <w:color w:val="auto"/>
                <w:lang w:val="zh-CN"/>
              </w:rPr>
              <w:t>正常工况下废气排放情况</w:t>
            </w:r>
          </w:p>
          <w:p>
            <w:pPr>
              <w:pStyle w:val="45"/>
              <w:spacing w:line="36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激光切割</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eastAsia="zh-CN"/>
              </w:rPr>
              <w:t>颗粒物（</w:t>
            </w:r>
            <w:r>
              <w:rPr>
                <w:rFonts w:hint="eastAsia" w:ascii="Times New Roman" w:hAnsi="Times New Roman" w:eastAsia="宋体" w:cs="Times New Roman"/>
                <w:color w:val="auto"/>
                <w:lang w:val="en-US" w:eastAsia="zh-CN"/>
              </w:rPr>
              <w:t>G</w:t>
            </w:r>
            <w:r>
              <w:rPr>
                <w:rFonts w:hint="eastAsia" w:ascii="Times New Roman" w:hAnsi="Times New Roman" w:eastAsia="宋体" w:cs="Times New Roman"/>
                <w:color w:val="auto"/>
                <w:vertAlign w:val="subscript"/>
                <w:lang w:val="en-US" w:eastAsia="zh-CN"/>
              </w:rPr>
              <w:t>1-1</w:t>
            </w:r>
            <w:r>
              <w:rPr>
                <w:rFonts w:hint="eastAsia" w:ascii="Times New Roman" w:hAnsi="Times New Roman" w:eastAsia="宋体" w:cs="Times New Roman"/>
                <w:color w:val="auto"/>
                <w:lang w:val="en-US" w:eastAsia="zh-CN"/>
              </w:rPr>
              <w:t>、G</w:t>
            </w:r>
            <w:r>
              <w:rPr>
                <w:rFonts w:hint="eastAsia" w:ascii="Times New Roman" w:hAnsi="Times New Roman" w:eastAsia="宋体" w:cs="Times New Roman"/>
                <w:color w:val="auto"/>
                <w:vertAlign w:val="subscript"/>
                <w:lang w:val="en-US" w:eastAsia="zh-CN"/>
              </w:rPr>
              <w:t>4-1</w:t>
            </w:r>
            <w:r>
              <w:rPr>
                <w:rFonts w:hint="eastAsia" w:ascii="Times New Roman" w:hAnsi="Times New Roman" w:eastAsia="宋体" w:cs="Times New Roman"/>
                <w:color w:val="auto"/>
                <w:lang w:eastAsia="zh-CN"/>
              </w:rPr>
              <w:t>）</w:t>
            </w:r>
          </w:p>
          <w:p>
            <w:pPr>
              <w:pStyle w:val="45"/>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激光切割是一种新型光纤激光器输出高能量密度的激光束，并聚集在工件表面上，使工件上被超细焦点光斑照射的区域瞬间熔化、气化，同时通过数控机械系统移动光斑照射位置而实现自动切割的加工方法。</w:t>
            </w:r>
          </w:p>
          <w:p>
            <w:pPr>
              <w:pStyle w:val="45"/>
              <w:spacing w:line="360" w:lineRule="auto"/>
              <w:rPr>
                <w:rFonts w:hint="eastAsia" w:ascii="宋体" w:hAnsi="宋体" w:eastAsia="宋体" w:cs="宋体"/>
                <w:color w:val="auto"/>
                <w:lang w:val="zh-CN"/>
              </w:rPr>
            </w:pPr>
            <w:r>
              <w:rPr>
                <w:rFonts w:hint="default" w:ascii="Times New Roman" w:hAnsi="Times New Roman" w:eastAsia="宋体" w:cs="Times New Roman"/>
                <w:color w:val="auto"/>
                <w:lang w:val="zh-CN"/>
              </w:rPr>
              <w:t>本项目</w:t>
            </w:r>
            <w:r>
              <w:rPr>
                <w:rFonts w:hint="eastAsia" w:ascii="Times New Roman" w:hAnsi="Times New Roman" w:eastAsia="宋体" w:cs="Times New Roman"/>
                <w:color w:val="auto"/>
                <w:lang w:val="en-US" w:eastAsia="zh-CN"/>
              </w:rPr>
              <w:t>激光切割</w:t>
            </w:r>
            <w:r>
              <w:rPr>
                <w:rFonts w:hint="default" w:ascii="Times New Roman" w:hAnsi="Times New Roman" w:eastAsia="宋体" w:cs="Times New Roman"/>
                <w:color w:val="auto"/>
                <w:lang w:val="zh-CN"/>
              </w:rPr>
              <w:t>工序污染物产排系数</w:t>
            </w:r>
            <w:r>
              <w:rPr>
                <w:rFonts w:hint="default" w:ascii="Times New Roman" w:hAnsi="Times New Roman" w:eastAsia="宋体" w:cs="Times New Roman"/>
                <w:b/>
                <w:bCs/>
                <w:color w:val="auto"/>
                <w:lang w:val="zh-CN"/>
              </w:rPr>
              <w:t>参考</w:t>
            </w:r>
            <w:r>
              <w:rPr>
                <w:rFonts w:hint="default" w:ascii="Times New Roman" w:hAnsi="Times New Roman" w:eastAsia="宋体" w:cs="Times New Roman"/>
                <w:color w:val="auto"/>
                <w:lang w:val="zh-CN"/>
              </w:rPr>
              <w:t>《排放源统计调查产排污核算方法和系数手册》中</w:t>
            </w:r>
            <w:r>
              <w:rPr>
                <w:rFonts w:hint="eastAsia" w:ascii="宋体" w:hAnsi="宋体" w:eastAsia="宋体" w:cs="宋体"/>
                <w:color w:val="auto"/>
                <w:lang w:val="zh-CN"/>
              </w:rPr>
              <w:t>“</w:t>
            </w:r>
            <w:r>
              <w:rPr>
                <w:rFonts w:hint="default" w:ascii="Times New Roman" w:hAnsi="Times New Roman" w:eastAsia="宋体" w:cs="Times New Roman"/>
                <w:color w:val="auto"/>
                <w:lang w:val="zh-CN"/>
              </w:rPr>
              <w:t>33金属制品业、34通用设备制造业、35专用设备制造业、36汽车制造业、37铁路、船舶、航空航天和其他运输设备制造业、431金属制品修理、432通用设备修理、433专用设备修理、434铁路、船舶、航空航天等运输设备修理（不包括电镀工艺）行</w:t>
            </w:r>
            <w:r>
              <w:rPr>
                <w:rFonts w:hint="eastAsia" w:ascii="宋体" w:hAnsi="宋体" w:eastAsia="宋体" w:cs="宋体"/>
                <w:color w:val="auto"/>
                <w:lang w:val="zh-CN"/>
              </w:rPr>
              <w:t>业系数表”，</w:t>
            </w:r>
            <w:r>
              <w:rPr>
                <w:rFonts w:hint="default" w:ascii="Times New Roman" w:hAnsi="Times New Roman" w:eastAsia="宋体" w:cs="Times New Roman"/>
                <w:color w:val="auto"/>
                <w:lang w:val="zh-CN"/>
              </w:rPr>
              <w:t>见表</w:t>
            </w:r>
            <w:r>
              <w:rPr>
                <w:rFonts w:hint="default"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t>。</w:t>
            </w:r>
          </w:p>
          <w:p>
            <w:pPr>
              <w:pStyle w:val="45"/>
              <w:spacing w:line="240" w:lineRule="auto"/>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zh-CN"/>
              </w:rPr>
              <w:t>表</w:t>
            </w:r>
            <w:r>
              <w:rPr>
                <w:rFonts w:hint="default" w:ascii="Times New Roman" w:hAnsi="Times New Roman" w:eastAsia="宋体" w:cs="Times New Roman"/>
                <w:b/>
                <w:bCs/>
                <w:color w:val="auto"/>
                <w:lang w:val="en-US" w:eastAsia="zh-CN"/>
              </w:rPr>
              <w:t>4.</w:t>
            </w: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val="en-US" w:eastAsia="zh-CN"/>
              </w:rPr>
              <w:t xml:space="preserve">  06预处理</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070"/>
              <w:gridCol w:w="1070"/>
              <w:gridCol w:w="1071"/>
              <w:gridCol w:w="1071"/>
              <w:gridCol w:w="1072"/>
              <w:gridCol w:w="1072"/>
              <w:gridCol w:w="107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工段名称</w:t>
                  </w:r>
                </w:p>
              </w:tc>
              <w:tc>
                <w:tcPr>
                  <w:tcW w:w="107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产品名称</w:t>
                  </w:r>
                </w:p>
              </w:tc>
              <w:tc>
                <w:tcPr>
                  <w:tcW w:w="107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原料名称</w:t>
                  </w:r>
                </w:p>
              </w:tc>
              <w:tc>
                <w:tcPr>
                  <w:tcW w:w="1071"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工艺名称</w:t>
                  </w:r>
                </w:p>
              </w:tc>
              <w:tc>
                <w:tcPr>
                  <w:tcW w:w="1071"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规模等级</w:t>
                  </w:r>
                </w:p>
              </w:tc>
              <w:tc>
                <w:tcPr>
                  <w:tcW w:w="2144" w:type="dxa"/>
                  <w:gridSpan w:val="2"/>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污染物指标</w:t>
                  </w:r>
                </w:p>
              </w:tc>
              <w:tc>
                <w:tcPr>
                  <w:tcW w:w="1072"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单位</w:t>
                  </w:r>
                </w:p>
              </w:tc>
              <w:tc>
                <w:tcPr>
                  <w:tcW w:w="1072"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下料</w:t>
                  </w:r>
                </w:p>
              </w:tc>
              <w:tc>
                <w:tcPr>
                  <w:tcW w:w="1070"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下料件</w:t>
                  </w:r>
                </w:p>
              </w:tc>
              <w:tc>
                <w:tcPr>
                  <w:tcW w:w="1070"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钢板、铝板、铝合金板、其他金属材料</w:t>
                  </w:r>
                </w:p>
              </w:tc>
              <w:tc>
                <w:tcPr>
                  <w:tcW w:w="1071"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等离子切割</w:t>
                  </w:r>
                </w:p>
              </w:tc>
              <w:tc>
                <w:tcPr>
                  <w:tcW w:w="1071"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所有规模</w:t>
                  </w:r>
                </w:p>
              </w:tc>
              <w:tc>
                <w:tcPr>
                  <w:tcW w:w="1072"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废气</w:t>
                  </w:r>
                </w:p>
              </w:tc>
              <w:tc>
                <w:tcPr>
                  <w:tcW w:w="1072"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072"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千克/吨-原料</w:t>
                  </w:r>
                </w:p>
              </w:tc>
              <w:tc>
                <w:tcPr>
                  <w:tcW w:w="1072"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Merge w:val="continue"/>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70" w:type="dxa"/>
                  <w:vMerge w:val="continue"/>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70" w:type="dxa"/>
                  <w:vMerge w:val="continue"/>
                  <w:vAlign w:val="center"/>
                </w:tcPr>
                <w:p>
                  <w:pPr>
                    <w:autoSpaceDE w:val="0"/>
                    <w:autoSpaceDN w:val="0"/>
                    <w:adjustRightInd w:val="0"/>
                    <w:jc w:val="center"/>
                    <w:rPr>
                      <w:rFonts w:hint="default" w:ascii="Times New Roman" w:hAnsi="Times New Roman" w:cs="Times New Roman"/>
                      <w:color w:val="auto"/>
                      <w:sz w:val="21"/>
                      <w:szCs w:val="21"/>
                      <w:lang w:val="en-US" w:eastAsia="zh-CN"/>
                    </w:rPr>
                  </w:pPr>
                </w:p>
              </w:tc>
              <w:tc>
                <w:tcPr>
                  <w:tcW w:w="1071" w:type="dxa"/>
                  <w:vMerge w:val="continue"/>
                  <w:vAlign w:val="center"/>
                </w:tcPr>
                <w:p>
                  <w:pPr>
                    <w:autoSpaceDE w:val="0"/>
                    <w:autoSpaceDN w:val="0"/>
                    <w:adjustRightInd w:val="0"/>
                    <w:jc w:val="center"/>
                    <w:rPr>
                      <w:rFonts w:hint="default" w:ascii="Times New Roman" w:hAnsi="Times New Roman" w:cs="Times New Roman"/>
                      <w:color w:val="auto"/>
                      <w:sz w:val="21"/>
                      <w:szCs w:val="21"/>
                      <w:lang w:val="en-US" w:eastAsia="zh-CN"/>
                    </w:rPr>
                  </w:pPr>
                </w:p>
              </w:tc>
              <w:tc>
                <w:tcPr>
                  <w:tcW w:w="1071" w:type="dxa"/>
                  <w:vMerge w:val="continue"/>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72" w:type="dxa"/>
                  <w:vMerge w:val="continue"/>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72" w:type="dxa"/>
                  <w:vAlign w:val="center"/>
                </w:tcPr>
                <w:p>
                  <w:pPr>
                    <w:autoSpaceDE w:val="0"/>
                    <w:autoSpaceDN w:val="0"/>
                    <w:adjustRightIn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工业废气量</w:t>
                  </w:r>
                </w:p>
              </w:tc>
              <w:tc>
                <w:tcPr>
                  <w:tcW w:w="1072" w:type="dxa"/>
                  <w:vAlign w:val="center"/>
                </w:tcPr>
                <w:p>
                  <w:pPr>
                    <w:autoSpaceDE w:val="0"/>
                    <w:autoSpaceDN w:val="0"/>
                    <w:adjustRightIn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立方米/吨-原料</w:t>
                  </w:r>
                </w:p>
              </w:tc>
              <w:tc>
                <w:tcPr>
                  <w:tcW w:w="1072"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4635</w:t>
                  </w:r>
                </w:p>
              </w:tc>
            </w:tr>
          </w:tbl>
          <w:p>
            <w:pPr>
              <w:pStyle w:val="45"/>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本项目设有</w:t>
            </w:r>
            <w:r>
              <w:rPr>
                <w:rFonts w:hint="eastAsia" w:ascii="Times New Roman" w:hAnsi="Times New Roman" w:eastAsia="宋体" w:cs="Times New Roman"/>
                <w:color w:val="auto"/>
                <w:sz w:val="24"/>
                <w:szCs w:val="24"/>
                <w:lang w:val="en-US" w:eastAsia="zh-CN"/>
              </w:rPr>
              <w:t>1台</w:t>
            </w:r>
            <w:r>
              <w:rPr>
                <w:rFonts w:hint="eastAsia" w:ascii="宋体" w:hAnsi="宋体" w:eastAsia="宋体" w:cs="宋体"/>
                <w:b w:val="0"/>
                <w:bCs w:val="0"/>
                <w:color w:val="auto"/>
                <w:sz w:val="24"/>
                <w:szCs w:val="24"/>
                <w:vertAlign w:val="baseline"/>
                <w:lang w:val="en-US" w:eastAsia="zh-CN"/>
              </w:rPr>
              <w:t>光纤激光切割机（</w:t>
            </w:r>
            <w:r>
              <w:rPr>
                <w:rFonts w:hint="default" w:ascii="Times New Roman" w:hAnsi="Times New Roman" w:eastAsia="宋体" w:cs="Times New Roman"/>
                <w:b w:val="0"/>
                <w:bCs w:val="0"/>
                <w:color w:val="auto"/>
                <w:sz w:val="24"/>
                <w:szCs w:val="24"/>
                <w:vertAlign w:val="baseline"/>
                <w:lang w:val="en-US" w:eastAsia="zh-CN"/>
              </w:rPr>
              <w:t>型号：G6025S 30</w:t>
            </w:r>
            <w:r>
              <w:rPr>
                <w:rFonts w:hint="eastAsia" w:ascii="宋体" w:hAnsi="宋体" w:eastAsia="宋体" w:cs="宋体"/>
                <w:b w:val="0"/>
                <w:bCs w:val="0"/>
                <w:color w:val="auto"/>
                <w:sz w:val="24"/>
                <w:szCs w:val="24"/>
                <w:vertAlign w:val="baseline"/>
                <w:lang w:val="en-US" w:eastAsia="zh-CN"/>
              </w:rPr>
              <w:t>）</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激光切割</w:t>
            </w:r>
            <w:r>
              <w:rPr>
                <w:rFonts w:hint="eastAsia" w:ascii="Times New Roman" w:hAnsi="Times New Roman" w:eastAsia="宋体" w:cs="Times New Roman"/>
                <w:color w:val="auto"/>
                <w:sz w:val="24"/>
                <w:szCs w:val="24"/>
                <w:lang w:eastAsia="zh-CN"/>
              </w:rPr>
              <w:t>工序会产生颗粒物。</w:t>
            </w:r>
            <w:r>
              <w:rPr>
                <w:rFonts w:hint="eastAsia" w:ascii="宋体" w:hAnsi="宋体" w:eastAsia="宋体" w:cs="宋体"/>
                <w:b w:val="0"/>
                <w:bCs w:val="0"/>
                <w:color w:val="auto"/>
                <w:sz w:val="24"/>
                <w:szCs w:val="24"/>
                <w:vertAlign w:val="baseline"/>
                <w:lang w:val="en-US" w:eastAsia="zh-CN"/>
              </w:rPr>
              <w:t>光纤激光切割机配套</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工业集尘器</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型号：TODC-8B</w:t>
            </w:r>
            <w:r>
              <w:rPr>
                <w:rFonts w:hint="eastAsia" w:ascii="Times New Roman" w:hAnsi="Times New Roman" w:eastAsia="宋体" w:cs="Times New Roman"/>
                <w:color w:val="auto"/>
                <w:sz w:val="24"/>
                <w:szCs w:val="24"/>
                <w:lang w:eastAsia="zh-CN"/>
              </w:rPr>
              <w:t>）”对下料</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颗粒物进行</w:t>
            </w:r>
            <w:r>
              <w:rPr>
                <w:rFonts w:hint="eastAsia" w:ascii="Times New Roman" w:hAnsi="Times New Roman" w:eastAsia="宋体" w:cs="Times New Roman"/>
                <w:color w:val="auto"/>
                <w:sz w:val="24"/>
                <w:szCs w:val="24"/>
                <w:lang w:val="en-US" w:eastAsia="zh-CN"/>
              </w:rPr>
              <w:t>收集</w:t>
            </w:r>
            <w:r>
              <w:rPr>
                <w:rFonts w:hint="eastAsia" w:ascii="Times New Roman" w:hAnsi="Times New Roman" w:eastAsia="宋体" w:cs="Times New Roman"/>
                <w:color w:val="auto"/>
                <w:sz w:val="24"/>
                <w:szCs w:val="24"/>
                <w:lang w:eastAsia="zh-CN"/>
              </w:rPr>
              <w:t>处理</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工业集尘器</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型号：TODC-8B</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过滤</w:t>
            </w:r>
            <w:r>
              <w:rPr>
                <w:rFonts w:hint="default" w:ascii="Times New Roman" w:hAnsi="Times New Roman" w:eastAsia="宋体" w:cs="Times New Roman"/>
                <w:color w:val="auto"/>
                <w:sz w:val="24"/>
                <w:szCs w:val="24"/>
                <w:lang w:val="en-GB"/>
              </w:rPr>
              <w:t>效率</w:t>
            </w:r>
            <w:r>
              <w:rPr>
                <w:rFonts w:hint="eastAsia" w:ascii="Times New Roman" w:hAnsi="Times New Roman" w:eastAsia="宋体" w:cs="Times New Roman"/>
                <w:color w:val="auto"/>
                <w:sz w:val="24"/>
                <w:szCs w:val="24"/>
                <w:lang w:val="en-GB" w:eastAsia="zh-CN"/>
              </w:rPr>
              <w:t>设计为</w:t>
            </w:r>
            <w:r>
              <w:rPr>
                <w:rFonts w:hint="default" w:ascii="Times New Roman" w:hAnsi="Times New Roman" w:eastAsia="宋体" w:cs="Times New Roman"/>
                <w:color w:val="auto"/>
                <w:sz w:val="24"/>
                <w:szCs w:val="24"/>
                <w:lang w:val="en-GB"/>
              </w:rPr>
              <w:t>9</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GB"/>
              </w:rPr>
              <w:t>%，</w:t>
            </w:r>
            <w:r>
              <w:rPr>
                <w:rFonts w:hint="eastAsia" w:ascii="Times New Roman" w:hAnsi="Times New Roman" w:eastAsia="宋体" w:cs="Times New Roman"/>
                <w:color w:val="auto"/>
                <w:sz w:val="24"/>
                <w:szCs w:val="24"/>
                <w:lang w:val="en-GB" w:eastAsia="zh-CN"/>
              </w:rPr>
              <w:t>收集效率设计为</w:t>
            </w:r>
            <w:r>
              <w:rPr>
                <w:rFonts w:hint="eastAsia" w:ascii="Times New Roman" w:hAnsi="Times New Roman" w:eastAsia="宋体" w:cs="Times New Roman"/>
                <w:color w:val="auto"/>
                <w:sz w:val="24"/>
                <w:szCs w:val="24"/>
                <w:lang w:val="en-US" w:eastAsia="zh-CN"/>
              </w:rPr>
              <w:t>80%，</w:t>
            </w:r>
            <w:r>
              <w:rPr>
                <w:rFonts w:hint="eastAsia" w:ascii="Times New Roman" w:hAnsi="Times New Roman" w:eastAsia="宋体" w:cs="Times New Roman"/>
                <w:color w:val="auto"/>
                <w:sz w:val="24"/>
                <w:szCs w:val="24"/>
                <w:lang w:eastAsia="zh-CN"/>
              </w:rPr>
              <w:t>下料工序</w:t>
            </w:r>
            <w:r>
              <w:rPr>
                <w:rFonts w:hint="default" w:ascii="Times New Roman" w:hAnsi="Times New Roman" w:eastAsia="宋体" w:cs="Times New Roman"/>
                <w:color w:val="auto"/>
                <w:sz w:val="24"/>
                <w:szCs w:val="24"/>
              </w:rPr>
              <w:t>年运行时间为</w:t>
            </w:r>
            <w:r>
              <w:rPr>
                <w:rFonts w:hint="eastAsia" w:ascii="Times New Roman" w:hAnsi="Times New Roman" w:eastAsia="宋体" w:cs="Times New Roman"/>
                <w:color w:val="auto"/>
                <w:sz w:val="24"/>
                <w:szCs w:val="24"/>
                <w:lang w:val="en-US" w:eastAsia="zh-CN"/>
              </w:rPr>
              <w:t>2000</w:t>
            </w:r>
            <w:r>
              <w:rPr>
                <w:rFonts w:hint="default" w:ascii="Times New Roman" w:hAnsi="Times New Roman" w:eastAsia="宋体" w:cs="Times New Roman"/>
                <w:color w:val="auto"/>
                <w:sz w:val="24"/>
                <w:szCs w:val="24"/>
              </w:rPr>
              <w:t>h</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设计</w:t>
            </w:r>
            <w:r>
              <w:rPr>
                <w:rFonts w:hint="eastAsia" w:ascii="Times New Roman" w:hAnsi="Times New Roman" w:eastAsia="宋体" w:cs="Times New Roman"/>
                <w:color w:val="auto"/>
                <w:sz w:val="24"/>
                <w:szCs w:val="24"/>
                <w:lang w:eastAsia="zh-CN"/>
              </w:rPr>
              <w:t>风量为</w:t>
            </w:r>
            <w:r>
              <w:rPr>
                <w:rFonts w:hint="eastAsia" w:ascii="Times New Roman" w:hAnsi="Times New Roman" w:eastAsia="宋体" w:cs="Times New Roman"/>
                <w:color w:val="auto"/>
                <w:sz w:val="24"/>
                <w:szCs w:val="24"/>
                <w:lang w:val="en-US" w:eastAsia="zh-CN"/>
              </w:rPr>
              <w:t>9000m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根据建设单位提供的设计资料，本项目需</w:t>
            </w:r>
            <w:r>
              <w:rPr>
                <w:rFonts w:hint="eastAsia" w:ascii="Times New Roman" w:hAnsi="Times New Roman" w:eastAsia="宋体" w:cs="Times New Roman"/>
                <w:color w:val="auto"/>
                <w:sz w:val="24"/>
                <w:szCs w:val="24"/>
                <w:lang w:val="en-US" w:eastAsia="zh-CN"/>
              </w:rPr>
              <w:t>激光切割</w:t>
            </w:r>
            <w:r>
              <w:rPr>
                <w:rFonts w:hint="default"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eastAsia="zh-CN"/>
              </w:rPr>
              <w:t>下料件</w:t>
            </w:r>
            <w:r>
              <w:rPr>
                <w:rFonts w:hint="default" w:ascii="Times New Roman" w:hAnsi="Times New Roman" w:eastAsia="宋体" w:cs="Times New Roman"/>
                <w:color w:val="auto"/>
                <w:sz w:val="24"/>
                <w:szCs w:val="24"/>
                <w:lang w:eastAsia="zh-CN"/>
              </w:rPr>
              <w:t>质量为</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000t/a</w:t>
            </w:r>
            <w:r>
              <w:rPr>
                <w:rFonts w:hint="eastAsia" w:ascii="Times New Roman" w:hAnsi="Times New Roman" w:eastAsia="宋体" w:cs="Times New Roman"/>
                <w:color w:val="auto"/>
                <w:sz w:val="24"/>
                <w:szCs w:val="24"/>
                <w:lang w:val="en-US" w:eastAsia="zh-CN"/>
              </w:rPr>
              <w:t>，则</w:t>
            </w:r>
            <w:r>
              <w:rPr>
                <w:rFonts w:hint="eastAsia" w:ascii="Times New Roman" w:hAnsi="Times New Roman" w:eastAsia="宋体" w:cs="Times New Roman"/>
                <w:color w:val="auto"/>
                <w:sz w:val="24"/>
                <w:szCs w:val="24"/>
                <w:lang w:eastAsia="zh-CN"/>
              </w:rPr>
              <w:t>下料</w:t>
            </w:r>
            <w:r>
              <w:rPr>
                <w:rFonts w:hint="default"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val="en-GB"/>
              </w:rPr>
              <w:t>产生量为</w:t>
            </w:r>
            <w:r>
              <w:rPr>
                <w:rFonts w:hint="eastAsia" w:ascii="Times New Roman" w:hAnsi="Times New Roman" w:eastAsia="宋体" w:cs="Times New Roman"/>
                <w:color w:val="auto"/>
                <w:sz w:val="24"/>
                <w:szCs w:val="24"/>
                <w:lang w:val="en-US" w:eastAsia="zh-CN"/>
              </w:rPr>
              <w:t>3.3</w:t>
            </w:r>
            <w:r>
              <w:rPr>
                <w:rFonts w:hint="default" w:ascii="Times New Roman" w:hAnsi="Times New Roman" w:eastAsia="宋体" w:cs="Times New Roman"/>
                <w:color w:val="auto"/>
                <w:sz w:val="24"/>
                <w:szCs w:val="24"/>
                <w:lang w:val="en-GB"/>
              </w:rPr>
              <w:t>t/a</w:t>
            </w:r>
            <w:r>
              <w:rPr>
                <w:rFonts w:hint="default" w:ascii="Times New Roman" w:hAnsi="Times New Roman" w:eastAsia="宋体" w:cs="Times New Roman"/>
                <w:color w:val="auto"/>
                <w:sz w:val="24"/>
                <w:szCs w:val="24"/>
                <w:lang w:val="en-GB" w:eastAsia="zh-CN"/>
              </w:rPr>
              <w:t>，</w:t>
            </w:r>
            <w:r>
              <w:rPr>
                <w:rFonts w:hint="eastAsia" w:ascii="宋体" w:hAnsi="宋体" w:eastAsia="宋体" w:cs="宋体"/>
                <w:b w:val="0"/>
                <w:bCs w:val="0"/>
                <w:color w:val="auto"/>
                <w:sz w:val="24"/>
                <w:szCs w:val="24"/>
                <w:vertAlign w:val="baseline"/>
                <w:lang w:val="en-US" w:eastAsia="zh-CN"/>
              </w:rPr>
              <w:t>光纤激光切割机</w:t>
            </w:r>
            <w:r>
              <w:rPr>
                <w:rFonts w:hint="default" w:ascii="Times New Roman" w:hAnsi="Times New Roman" w:eastAsia="宋体" w:cs="Times New Roman"/>
                <w:color w:val="auto"/>
                <w:sz w:val="24"/>
                <w:szCs w:val="24"/>
              </w:rPr>
              <w:t>工作台的下方设置收尘罩，通过管路收集到</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工业集尘器</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型号：TODC-8B</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则激光切割-颗粒物排放量为0.6864t/a，于生产车间无组织排放。</w:t>
            </w:r>
          </w:p>
          <w:p>
            <w:pPr>
              <w:pStyle w:val="46"/>
              <w:spacing w:line="360" w:lineRule="auto"/>
              <w:ind w:firstLine="480"/>
              <w:rPr>
                <w:rFonts w:hint="default" w:ascii="Times New Roman" w:hAnsi="Times New Roman" w:cs="Times New Roman"/>
                <w:color w:val="auto"/>
                <w:lang w:val="en-US" w:eastAsia="zh-CN"/>
              </w:rPr>
            </w:pPr>
            <w:r>
              <w:rPr>
                <w:rFonts w:hint="eastAsia"/>
                <w:color w:val="auto"/>
                <w:lang w:val="en-US" w:eastAsia="zh-CN"/>
              </w:rPr>
              <w:t>激光切割废气产生、收集、处理</w:t>
            </w:r>
            <w:r>
              <w:rPr>
                <w:rFonts w:hint="default" w:ascii="Times New Roman" w:hAnsi="Times New Roman" w:cs="Times New Roman"/>
                <w:color w:val="auto"/>
                <w:lang w:val="en-US" w:eastAsia="zh-CN"/>
              </w:rPr>
              <w:t>排放示意图见图4.1。</w:t>
            </w:r>
          </w:p>
          <w:p>
            <w:pPr>
              <w:spacing w:line="360" w:lineRule="auto"/>
              <w:jc w:val="center"/>
              <w:rPr>
                <w:rFonts w:hint="eastAsia" w:ascii="Times New Roman" w:hAnsi="Times New Roman" w:cs="Times New Roman"/>
                <w:color w:val="auto"/>
                <w:sz w:val="24"/>
              </w:rPr>
            </w:pPr>
            <w:r>
              <w:rPr>
                <w:rFonts w:hint="eastAsia" w:ascii="Times New Roman" w:hAnsi="Times New Roman" w:cs="Times New Roman"/>
                <w:color w:val="auto"/>
                <w:sz w:val="24"/>
              </w:rPr>
              <w:object>
                <v:shape id="_x0000_i1029" o:spt="75" type="#_x0000_t75" style="height:34.1pt;width:371.9pt;" o:ole="t" filled="f" o:preferrelative="t" stroked="f" coordsize="21600,21600">
                  <v:path/>
                  <v:fill on="f" focussize="0,0"/>
                  <v:stroke on="f"/>
                  <v:imagedata r:id="rId16" o:title=""/>
                  <o:lock v:ext="edit" aspectratio="t"/>
                  <w10:wrap type="none"/>
                  <w10:anchorlock/>
                </v:shape>
                <o:OLEObject Type="Embed" ProgID="RFFlow4" ShapeID="_x0000_i1029" DrawAspect="Content" ObjectID="_1468075729" r:id="rId15">
                  <o:LockedField>false</o:LockedField>
                </o:OLEObject>
              </w:object>
            </w:r>
          </w:p>
          <w:p>
            <w:pPr>
              <w:spacing w:line="360" w:lineRule="auto"/>
              <w:jc w:val="center"/>
              <w:rPr>
                <w:rFonts w:ascii="Times New Roman" w:hAnsi="Times New Roman" w:cs="Times New Roman"/>
                <w:b/>
                <w:bCs/>
                <w:color w:val="auto"/>
                <w:sz w:val="24"/>
                <w:szCs w:val="24"/>
              </w:rPr>
            </w:pPr>
            <w:r>
              <w:rPr>
                <w:rFonts w:hint="eastAsia" w:ascii="Times New Roman" w:hAnsi="Times New Roman" w:cs="Times New Roman"/>
                <w:b/>
                <w:bCs/>
                <w:color w:val="auto"/>
                <w:sz w:val="24"/>
                <w:szCs w:val="24"/>
              </w:rPr>
              <w:t>图4.1</w:t>
            </w:r>
            <w:r>
              <w:rPr>
                <w:rFonts w:hint="eastAsia" w:ascii="Times New Roman" w:hAnsi="Times New Roman" w:cs="Times New Roman"/>
                <w:b/>
                <w:bCs/>
                <w:color w:val="auto"/>
                <w:sz w:val="24"/>
                <w:szCs w:val="24"/>
                <w:lang w:val="en-US" w:eastAsia="zh-CN"/>
              </w:rPr>
              <w:t xml:space="preserve">  激光切割</w:t>
            </w:r>
            <w:r>
              <w:rPr>
                <w:rFonts w:hint="eastAsia"/>
                <w:b/>
                <w:bCs/>
                <w:color w:val="auto"/>
                <w:sz w:val="24"/>
                <w:szCs w:val="24"/>
                <w:lang w:val="en-US" w:eastAsia="zh-CN"/>
              </w:rPr>
              <w:t>废气产生、收集、处理</w:t>
            </w:r>
            <w:r>
              <w:rPr>
                <w:rFonts w:hint="default" w:ascii="Times New Roman" w:hAnsi="Times New Roman" w:cs="Times New Roman"/>
                <w:b/>
                <w:bCs/>
                <w:color w:val="auto"/>
                <w:sz w:val="24"/>
                <w:szCs w:val="24"/>
                <w:lang w:val="en-US" w:eastAsia="zh-CN"/>
              </w:rPr>
              <w:t>排放示意图</w:t>
            </w:r>
          </w:p>
          <w:p>
            <w:pPr>
              <w:pStyle w:val="46"/>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）焊接</w:t>
            </w:r>
            <w:r>
              <w:rPr>
                <w:rFonts w:hint="default" w:ascii="Times New Roman" w:hAnsi="Times New Roman" w:cs="Times New Roman"/>
                <w:color w:val="auto"/>
                <w:sz w:val="24"/>
                <w:szCs w:val="24"/>
                <w:lang w:val="en-US" w:eastAsia="zh-CN"/>
              </w:rPr>
              <w:t>-颗粒物</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G</w:t>
            </w:r>
            <w:r>
              <w:rPr>
                <w:rFonts w:hint="eastAsia" w:ascii="Times New Roman" w:hAnsi="Times New Roman" w:eastAsia="宋体" w:cs="Times New Roman"/>
                <w:color w:val="auto"/>
                <w:vertAlign w:val="subscript"/>
                <w:lang w:val="en-US" w:eastAsia="zh-CN"/>
              </w:rPr>
              <w:t>1-2</w:t>
            </w:r>
            <w:r>
              <w:rPr>
                <w:rFonts w:hint="eastAsia" w:ascii="Times New Roman" w:hAnsi="Times New Roman" w:eastAsia="宋体" w:cs="Times New Roman"/>
                <w:color w:val="auto"/>
                <w:lang w:val="en-US" w:eastAsia="zh-CN"/>
              </w:rPr>
              <w:t>、G</w:t>
            </w:r>
            <w:r>
              <w:rPr>
                <w:rFonts w:hint="eastAsia" w:ascii="Times New Roman" w:hAnsi="Times New Roman" w:eastAsia="宋体" w:cs="Times New Roman"/>
                <w:color w:val="auto"/>
                <w:vertAlign w:val="subscript"/>
                <w:lang w:val="en-US" w:eastAsia="zh-CN"/>
              </w:rPr>
              <w:t>4-2</w:t>
            </w:r>
            <w:r>
              <w:rPr>
                <w:rFonts w:hint="eastAsia" w:ascii="Times New Roman" w:hAnsi="Times New Roman" w:eastAsia="宋体" w:cs="Times New Roman"/>
                <w:color w:val="auto"/>
                <w:lang w:eastAsia="zh-CN"/>
              </w:rPr>
              <w:t>）</w:t>
            </w:r>
          </w:p>
          <w:p>
            <w:pPr>
              <w:pStyle w:val="46"/>
              <w:spacing w:line="360" w:lineRule="auto"/>
              <w:ind w:firstLine="480"/>
              <w:rPr>
                <w:rFonts w:hint="default" w:ascii="Times New Roman" w:hAnsi="Times New Roman" w:cs="Times New Roman"/>
                <w:color w:val="auto"/>
                <w:sz w:val="24"/>
                <w:szCs w:val="24"/>
                <w:lang w:val="zh-CN"/>
              </w:rPr>
            </w:pPr>
            <w:r>
              <w:rPr>
                <w:rFonts w:hint="eastAsia" w:ascii="宋体" w:hAnsi="宋体" w:eastAsia="宋体" w:cs="宋体"/>
                <w:color w:val="auto"/>
                <w:sz w:val="24"/>
                <w:szCs w:val="24"/>
                <w:lang w:val="zh-CN"/>
              </w:rPr>
              <w:t>本项目焊接工序污染物产排系数</w:t>
            </w:r>
            <w:r>
              <w:rPr>
                <w:rFonts w:hint="eastAsia" w:ascii="宋体" w:hAnsi="宋体" w:eastAsia="宋体" w:cs="宋体"/>
                <w:b/>
                <w:bCs/>
                <w:color w:val="auto"/>
                <w:sz w:val="24"/>
                <w:szCs w:val="24"/>
                <w:lang w:val="zh-CN"/>
              </w:rPr>
              <w:t>参考</w:t>
            </w:r>
            <w:r>
              <w:rPr>
                <w:rFonts w:hint="default" w:ascii="Times New Roman" w:hAnsi="Times New Roman" w:eastAsia="宋体" w:cs="Times New Roman"/>
                <w:color w:val="auto"/>
                <w:sz w:val="24"/>
                <w:szCs w:val="24"/>
                <w:lang w:val="zh-CN"/>
              </w:rPr>
              <w:t>《排放源统计调查产排污核算方法和系数手册》中</w:t>
            </w:r>
            <w:r>
              <w:rPr>
                <w:rFonts w:hint="eastAsia" w:ascii="宋体" w:hAnsi="宋体" w:eastAsia="宋体" w:cs="宋体"/>
                <w:color w:val="auto"/>
                <w:sz w:val="24"/>
                <w:szCs w:val="24"/>
                <w:lang w:val="zh-CN"/>
              </w:rPr>
              <w:t>“</w:t>
            </w:r>
            <w:r>
              <w:rPr>
                <w:rFonts w:hint="default" w:ascii="Times New Roman" w:hAnsi="Times New Roman" w:eastAsia="宋体" w:cs="Times New Roman"/>
                <w:color w:val="auto"/>
                <w:sz w:val="24"/>
                <w:szCs w:val="24"/>
                <w:lang w:val="zh-CN"/>
              </w:rPr>
              <w:t>33金属制品业、34通用设备制造业、35专用设备制造业、36汽车制造业、37铁路、船舶、航空航天和其他运输设备制造业、431金属制品修理、432通用设备修理、433专用设备修理、434铁路、船舶、航空航天等运输设备修理（不包括电镀工艺）行业</w:t>
            </w:r>
            <w:r>
              <w:rPr>
                <w:rFonts w:hint="eastAsia" w:ascii="宋体" w:hAnsi="宋体" w:eastAsia="宋体" w:cs="宋体"/>
                <w:color w:val="auto"/>
                <w:sz w:val="24"/>
                <w:szCs w:val="24"/>
                <w:lang w:val="zh-CN"/>
              </w:rPr>
              <w:t>系数表”，</w:t>
            </w:r>
            <w:r>
              <w:rPr>
                <w:rFonts w:hint="default" w:ascii="Times New Roman" w:hAnsi="Times New Roman" w:eastAsia="宋体" w:cs="Times New Roman"/>
                <w:color w:val="auto"/>
                <w:sz w:val="24"/>
                <w:szCs w:val="24"/>
                <w:lang w:val="zh-CN"/>
              </w:rPr>
              <w:t>见表</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3</w:t>
            </w:r>
            <w:r>
              <w:rPr>
                <w:rFonts w:hint="eastAsia" w:ascii="宋体" w:hAnsi="宋体" w:eastAsia="宋体" w:cs="宋体"/>
                <w:color w:val="auto"/>
                <w:sz w:val="24"/>
                <w:szCs w:val="24"/>
                <w:lang w:val="zh-CN"/>
              </w:rPr>
              <w:t>。</w:t>
            </w:r>
          </w:p>
          <w:p>
            <w:pPr>
              <w:pStyle w:val="45"/>
              <w:spacing w:line="24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zh-CN"/>
              </w:rPr>
              <w:t>表</w:t>
            </w:r>
            <w:r>
              <w:rPr>
                <w:rFonts w:hint="eastAsia" w:ascii="Times New Roman" w:hAnsi="Times New Roman" w:eastAsia="宋体" w:cs="Times New Roman"/>
                <w:b/>
                <w:bCs/>
                <w:color w:val="auto"/>
                <w:sz w:val="24"/>
                <w:szCs w:val="24"/>
                <w:lang w:val="en-US" w:eastAsia="zh-CN"/>
              </w:rPr>
              <w:t>4.3</w:t>
            </w:r>
            <w:r>
              <w:rPr>
                <w:rFonts w:hint="default" w:ascii="Times New Roman" w:hAnsi="Times New Roman" w:eastAsia="宋体" w:cs="Times New Roman"/>
                <w:b/>
                <w:bCs/>
                <w:color w:val="auto"/>
                <w:sz w:val="24"/>
                <w:szCs w:val="24"/>
                <w:lang w:val="en-US" w:eastAsia="zh-CN"/>
              </w:rPr>
              <w:t xml:space="preserve">  09焊接</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70"/>
              <w:gridCol w:w="1070"/>
              <w:gridCol w:w="1070"/>
              <w:gridCol w:w="1071"/>
              <w:gridCol w:w="1072"/>
              <w:gridCol w:w="1072"/>
              <w:gridCol w:w="107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工段名称</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产品名称</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原料名称</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工艺名称</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规模等级</w:t>
                  </w:r>
                </w:p>
              </w:tc>
              <w:tc>
                <w:tcPr>
                  <w:tcW w:w="2080" w:type="dxa"/>
                  <w:gridSpan w:val="2"/>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污染物指标</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单位</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焊接</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焊接件</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实芯焊丝</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二氧化碳保护焊、埋弧焊、氩弧焊</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所有规模</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千克/吨-原料</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9.19</w:t>
                  </w:r>
                </w:p>
              </w:tc>
            </w:tr>
          </w:tbl>
          <w:p>
            <w:pPr>
              <w:pStyle w:val="45"/>
              <w:keepNext w:val="0"/>
              <w:keepLines w:val="0"/>
              <w:pageBreakBefore w:val="0"/>
              <w:widowControl w:val="0"/>
              <w:kinsoku/>
              <w:wordWrap/>
              <w:overflowPunct/>
              <w:topLinePunct w:val="0"/>
              <w:bidi w:val="0"/>
              <w:snapToGrid/>
              <w:spacing w:line="336" w:lineRule="auto"/>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根据建设单位提供的资料，实芯焊丝用量为</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0t/a，由表4.3可知，焊接-颗粒物产生量为0.</w:t>
            </w:r>
            <w:r>
              <w:rPr>
                <w:rFonts w:hint="eastAsia" w:ascii="Times New Roman" w:hAnsi="Times New Roman" w:eastAsia="宋体" w:cs="Times New Roman"/>
                <w:color w:val="auto"/>
                <w:sz w:val="24"/>
                <w:szCs w:val="24"/>
                <w:lang w:val="en-US" w:eastAsia="zh-CN"/>
              </w:rPr>
              <w:t>1838</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每个焊接工位配套集气罩，集气罩收集的颗粒物经由管道进入</w:t>
            </w:r>
            <w:r>
              <w:rPr>
                <w:rFonts w:hint="eastAsia" w:ascii="Times New Roman" w:hAnsi="Times New Roman" w:eastAsia="宋体" w:cs="Times New Roman"/>
                <w:color w:val="auto"/>
                <w:sz w:val="24"/>
                <w:szCs w:val="24"/>
                <w:lang w:eastAsia="zh-CN"/>
              </w:rPr>
              <w:t>“滤筒除尘器”</w:t>
            </w:r>
            <w:r>
              <w:rPr>
                <w:rFonts w:hint="eastAsia" w:ascii="Times New Roman" w:hAnsi="Times New Roman" w:eastAsia="宋体" w:cs="Times New Roman"/>
                <w:color w:val="auto"/>
                <w:sz w:val="24"/>
                <w:szCs w:val="24"/>
                <w:lang w:val="en-US" w:eastAsia="zh-CN"/>
              </w:rPr>
              <w:t>处理</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配套风机风量为</w:t>
            </w:r>
            <w:r>
              <w:rPr>
                <w:rFonts w:hint="eastAsia" w:ascii="Times New Roman" w:hAnsi="Times New Roman" w:eastAsia="宋体" w:cs="Times New Roman"/>
                <w:color w:val="auto"/>
                <w:sz w:val="24"/>
                <w:szCs w:val="24"/>
                <w:lang w:val="en-US" w:eastAsia="zh-CN"/>
              </w:rPr>
              <w:t>10000m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lang w:eastAsia="zh-CN"/>
              </w:rPr>
              <w:t>“滤筒除尘器”</w:t>
            </w:r>
            <w:r>
              <w:rPr>
                <w:rFonts w:hint="default" w:ascii="Times New Roman" w:hAnsi="Times New Roman" w:eastAsia="宋体" w:cs="Times New Roman"/>
                <w:color w:val="auto"/>
                <w:sz w:val="24"/>
                <w:szCs w:val="24"/>
                <w:lang w:val="en-GB"/>
              </w:rPr>
              <w:t>除尘效率</w:t>
            </w:r>
            <w:r>
              <w:rPr>
                <w:rFonts w:hint="eastAsia" w:ascii="Times New Roman" w:hAnsi="Times New Roman" w:eastAsia="宋体" w:cs="Times New Roman"/>
                <w:color w:val="auto"/>
                <w:sz w:val="24"/>
                <w:szCs w:val="24"/>
                <w:lang w:val="en-GB" w:eastAsia="zh-CN"/>
              </w:rPr>
              <w:t>设计</w:t>
            </w:r>
            <w:r>
              <w:rPr>
                <w:rFonts w:hint="default" w:ascii="Times New Roman" w:hAnsi="Times New Roman" w:eastAsia="宋体" w:cs="Times New Roman"/>
                <w:color w:val="auto"/>
                <w:sz w:val="24"/>
                <w:szCs w:val="24"/>
                <w:lang w:val="en-GB" w:eastAsia="zh-CN"/>
              </w:rPr>
              <w:t>为</w:t>
            </w:r>
            <w:r>
              <w:rPr>
                <w:rFonts w:hint="default" w:ascii="Times New Roman" w:hAnsi="Times New Roman" w:eastAsia="宋体" w:cs="Times New Roman"/>
                <w:color w:val="auto"/>
                <w:sz w:val="24"/>
                <w:szCs w:val="24"/>
                <w:lang w:val="en-GB"/>
              </w:rPr>
              <w:t>9</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GB"/>
              </w:rPr>
              <w:t>%</w:t>
            </w:r>
            <w:r>
              <w:rPr>
                <w:rFonts w:hint="eastAsia" w:ascii="Times New Roman" w:hAnsi="Times New Roman" w:eastAsia="宋体" w:cs="Times New Roman"/>
                <w:color w:val="auto"/>
                <w:sz w:val="24"/>
                <w:szCs w:val="24"/>
                <w:lang w:val="en-GB" w:eastAsia="zh-CN"/>
              </w:rPr>
              <w:t>，</w:t>
            </w:r>
            <w:r>
              <w:rPr>
                <w:rFonts w:hint="eastAsia" w:ascii="Times New Roman" w:hAnsi="Times New Roman" w:eastAsia="宋体" w:cs="Times New Roman"/>
                <w:color w:val="auto"/>
                <w:sz w:val="24"/>
                <w:szCs w:val="24"/>
                <w:lang w:val="en-US" w:eastAsia="zh-CN"/>
              </w:rPr>
              <w:t>集气罩收集效率设计为80%</w:t>
            </w:r>
            <w:r>
              <w:rPr>
                <w:rFonts w:hint="eastAsia"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rPr>
              <w:t>年运行时间</w:t>
            </w:r>
            <w:r>
              <w:rPr>
                <w:rFonts w:hint="eastAsia" w:ascii="Times New Roman" w:hAnsi="Times New Roman" w:eastAsia="宋体" w:cs="Times New Roman"/>
                <w:color w:val="auto"/>
                <w:sz w:val="24"/>
                <w:szCs w:val="24"/>
                <w:lang w:eastAsia="zh-CN"/>
              </w:rPr>
              <w:t>设计</w:t>
            </w:r>
            <w:r>
              <w:rPr>
                <w:rFonts w:hint="default"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rPr>
              <w:t>h。</w:t>
            </w:r>
            <w:r>
              <w:rPr>
                <w:rFonts w:hint="eastAsia" w:ascii="Times New Roman" w:hAnsi="Times New Roman" w:eastAsia="宋体" w:cs="Times New Roman"/>
                <w:color w:val="auto"/>
                <w:sz w:val="24"/>
                <w:szCs w:val="24"/>
                <w:lang w:val="en-US" w:eastAsia="zh-CN"/>
              </w:rPr>
              <w:t>则</w:t>
            </w:r>
            <w:r>
              <w:rPr>
                <w:rFonts w:hint="eastAsia" w:ascii="Times New Roman" w:hAnsi="Times New Roman" w:eastAsia="宋体" w:cs="Times New Roman"/>
                <w:color w:val="auto"/>
                <w:sz w:val="24"/>
                <w:szCs w:val="24"/>
                <w:lang w:eastAsia="zh-CN"/>
              </w:rPr>
              <w:t>颗粒物</w:t>
            </w:r>
            <w:r>
              <w:rPr>
                <w:rFonts w:hint="eastAsia" w:ascii="Times New Roman" w:hAnsi="Times New Roman" w:eastAsia="宋体" w:cs="Times New Roman"/>
                <w:color w:val="auto"/>
                <w:sz w:val="24"/>
                <w:szCs w:val="24"/>
                <w:lang w:val="en-US" w:eastAsia="zh-CN"/>
              </w:rPr>
              <w:t>有组织产生量为0.14704t/a，</w:t>
            </w:r>
            <w:r>
              <w:rPr>
                <w:rFonts w:hint="eastAsia" w:ascii="Times New Roman" w:hAnsi="Times New Roman" w:eastAsia="宋体" w:cs="Times New Roman"/>
                <w:color w:val="auto"/>
                <w:sz w:val="24"/>
                <w:szCs w:val="24"/>
                <w:lang w:eastAsia="zh-CN"/>
              </w:rPr>
              <w:t>产生</w:t>
            </w:r>
            <w:r>
              <w:rPr>
                <w:rFonts w:hint="default" w:ascii="Times New Roman" w:hAnsi="Times New Roman" w:eastAsia="宋体" w:cs="Times New Roman"/>
                <w:color w:val="auto"/>
                <w:sz w:val="24"/>
                <w:szCs w:val="24"/>
              </w:rPr>
              <w:t>速率</w:t>
            </w:r>
            <w:r>
              <w:rPr>
                <w:rFonts w:hint="default"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0.07352</w:t>
            </w:r>
            <w:r>
              <w:rPr>
                <w:rFonts w:hint="default"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lang w:eastAsia="zh-CN"/>
              </w:rPr>
              <w:t>产生</w:t>
            </w:r>
            <w:r>
              <w:rPr>
                <w:rFonts w:hint="default" w:ascii="Times New Roman" w:hAnsi="Times New Roman" w:eastAsia="宋体" w:cs="Times New Roman"/>
                <w:color w:val="auto"/>
                <w:sz w:val="24"/>
                <w:szCs w:val="24"/>
              </w:rPr>
              <w:t>浓度为</w:t>
            </w:r>
            <w:r>
              <w:rPr>
                <w:rFonts w:hint="eastAsia" w:ascii="Times New Roman" w:hAnsi="Times New Roman" w:eastAsia="宋体" w:cs="Times New Roman"/>
                <w:color w:val="auto"/>
                <w:sz w:val="24"/>
                <w:szCs w:val="24"/>
                <w:lang w:val="en-US" w:eastAsia="zh-CN"/>
              </w:rPr>
              <w:t>7.352</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eastAsia="zh-CN"/>
              </w:rPr>
              <w:t>经</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滤筒除尘器</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eastAsia="zh-CN"/>
              </w:rPr>
              <w:t>处理后，颗粒物</w:t>
            </w:r>
            <w:r>
              <w:rPr>
                <w:rFonts w:hint="default" w:ascii="Times New Roman" w:hAnsi="Times New Roman" w:eastAsia="宋体" w:cs="Times New Roman"/>
                <w:b w:val="0"/>
                <w:bCs w:val="0"/>
                <w:color w:val="auto"/>
                <w:sz w:val="24"/>
                <w:szCs w:val="24"/>
              </w:rPr>
              <w:t>排放量</w:t>
            </w:r>
            <w:r>
              <w:rPr>
                <w:rFonts w:hint="eastAsia" w:ascii="Times New Roman" w:hAnsi="Times New Roman" w:eastAsia="宋体" w:cs="Times New Roman"/>
                <w:b w:val="0"/>
                <w:bCs w:val="0"/>
                <w:color w:val="auto"/>
                <w:sz w:val="24"/>
                <w:szCs w:val="24"/>
                <w:lang w:val="en-US" w:eastAsia="zh-CN"/>
              </w:rPr>
              <w:t>约</w:t>
            </w:r>
            <w:r>
              <w:rPr>
                <w:rFonts w:hint="default" w:ascii="Times New Roman" w:hAnsi="Times New Roman" w:eastAsia="宋体" w:cs="Times New Roman"/>
                <w:b w:val="0"/>
                <w:bCs w:val="0"/>
                <w:color w:val="auto"/>
                <w:sz w:val="24"/>
                <w:szCs w:val="24"/>
              </w:rPr>
              <w:t>为</w:t>
            </w:r>
            <w:r>
              <w:rPr>
                <w:rFonts w:hint="eastAsia" w:ascii="Times New Roman" w:hAnsi="Times New Roman" w:eastAsia="宋体" w:cs="Times New Roman"/>
                <w:b w:val="0"/>
                <w:bCs w:val="0"/>
                <w:color w:val="auto"/>
                <w:sz w:val="24"/>
                <w:szCs w:val="24"/>
                <w:lang w:val="en-US" w:eastAsia="zh-CN"/>
              </w:rPr>
              <w:t>0.00735</w:t>
            </w:r>
            <w:r>
              <w:rPr>
                <w:rFonts w:hint="default" w:ascii="Times New Roman" w:hAnsi="Times New Roman" w:eastAsia="宋体" w:cs="Times New Roman"/>
                <w:b w:val="0"/>
                <w:bCs w:val="0"/>
                <w:color w:val="auto"/>
                <w:sz w:val="24"/>
                <w:szCs w:val="24"/>
                <w:lang w:val="en-GB"/>
              </w:rPr>
              <w:t>t/a</w:t>
            </w:r>
            <w:r>
              <w:rPr>
                <w:rFonts w:hint="eastAsia" w:ascii="Times New Roman" w:hAnsi="Times New Roman" w:eastAsia="宋体" w:cs="Times New Roman"/>
                <w:b w:val="0"/>
                <w:bCs w:val="0"/>
                <w:color w:val="auto"/>
                <w:sz w:val="24"/>
                <w:szCs w:val="24"/>
                <w:lang w:val="en-GB" w:eastAsia="zh-CN"/>
              </w:rPr>
              <w:t>，</w:t>
            </w:r>
            <w:r>
              <w:rPr>
                <w:rFonts w:hint="eastAsia" w:ascii="Times New Roman" w:hAnsi="Times New Roman" w:eastAsia="宋体" w:cs="Times New Roman"/>
                <w:color w:val="auto"/>
                <w:sz w:val="24"/>
                <w:szCs w:val="24"/>
                <w:lang w:eastAsia="zh-CN"/>
              </w:rPr>
              <w:t>排放</w:t>
            </w:r>
            <w:r>
              <w:rPr>
                <w:rFonts w:hint="default" w:ascii="Times New Roman" w:hAnsi="Times New Roman" w:eastAsia="宋体" w:cs="Times New Roman"/>
                <w:color w:val="auto"/>
                <w:sz w:val="24"/>
                <w:szCs w:val="24"/>
              </w:rPr>
              <w:t>速率</w:t>
            </w:r>
            <w:r>
              <w:rPr>
                <w:rFonts w:hint="default"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0.00368</w:t>
            </w:r>
            <w:r>
              <w:rPr>
                <w:rFonts w:hint="default"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lang w:eastAsia="zh-CN"/>
              </w:rPr>
              <w:t>排放</w:t>
            </w:r>
            <w:r>
              <w:rPr>
                <w:rFonts w:hint="default" w:ascii="Times New Roman" w:hAnsi="Times New Roman" w:eastAsia="宋体" w:cs="Times New Roman"/>
                <w:color w:val="auto"/>
                <w:sz w:val="24"/>
                <w:szCs w:val="24"/>
              </w:rPr>
              <w:t>浓度为</w:t>
            </w:r>
            <w:r>
              <w:rPr>
                <w:rFonts w:hint="eastAsia" w:ascii="Times New Roman" w:hAnsi="Times New Roman" w:eastAsia="宋体" w:cs="Times New Roman"/>
                <w:color w:val="auto"/>
                <w:sz w:val="24"/>
                <w:szCs w:val="24"/>
                <w:lang w:val="en-US" w:eastAsia="zh-CN"/>
              </w:rPr>
              <w:t>0.3676</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en-GB"/>
              </w:rPr>
              <w:t>。</w:t>
            </w:r>
            <w:r>
              <w:rPr>
                <w:rFonts w:hint="eastAsia" w:ascii="Times New Roman" w:hAnsi="Times New Roman" w:eastAsia="宋体" w:cs="Times New Roman"/>
                <w:color w:val="auto"/>
                <w:sz w:val="24"/>
                <w:szCs w:val="24"/>
                <w:lang w:val="en-US" w:eastAsia="zh-CN"/>
              </w:rPr>
              <w:t>焊接</w:t>
            </w:r>
            <w:r>
              <w:rPr>
                <w:rFonts w:hint="eastAsia" w:ascii="Times New Roman" w:hAnsi="Times New Roman" w:eastAsia="宋体" w:cs="Times New Roman"/>
                <w:color w:val="auto"/>
                <w:sz w:val="24"/>
                <w:szCs w:val="24"/>
                <w:lang w:val="en-GB" w:eastAsia="zh-CN"/>
              </w:rPr>
              <w:t>产生的颗粒物经</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滤筒除尘器</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GB" w:eastAsia="zh-CN"/>
              </w:rPr>
              <w:t>处理后经</w:t>
            </w:r>
            <w:r>
              <w:rPr>
                <w:rFonts w:hint="eastAsia" w:ascii="Times New Roman" w:hAnsi="Times New Roman" w:eastAsia="宋体" w:cs="Times New Roman"/>
                <w:color w:val="auto"/>
                <w:sz w:val="24"/>
                <w:szCs w:val="24"/>
                <w:lang w:val="en-US" w:eastAsia="zh-CN"/>
              </w:rPr>
              <w:t>1根15m高排气筒（</w:t>
            </w:r>
            <w:r>
              <w:rPr>
                <w:rFonts w:hint="eastAsia" w:ascii="Times New Roman" w:hAnsi="Times New Roman" w:eastAsia="宋体" w:cs="Times New Roman"/>
                <w:b/>
                <w:bCs/>
                <w:color w:val="auto"/>
                <w:sz w:val="24"/>
                <w:szCs w:val="24"/>
                <w:lang w:val="en-US" w:eastAsia="zh-CN"/>
              </w:rPr>
              <w:t>DA001</w:t>
            </w:r>
            <w:r>
              <w:rPr>
                <w:rFonts w:hint="eastAsia" w:ascii="Times New Roman" w:hAnsi="Times New Roman" w:eastAsia="宋体" w:cs="Times New Roman"/>
                <w:color w:val="auto"/>
                <w:sz w:val="24"/>
                <w:szCs w:val="24"/>
                <w:lang w:val="en-US" w:eastAsia="zh-CN"/>
              </w:rPr>
              <w:t>）排放。</w:t>
            </w:r>
          </w:p>
          <w:p>
            <w:pPr>
              <w:pStyle w:val="45"/>
              <w:keepNext w:val="0"/>
              <w:keepLines w:val="0"/>
              <w:pageBreakBefore w:val="0"/>
              <w:widowControl w:val="0"/>
              <w:kinsoku/>
              <w:wordWrap/>
              <w:overflowPunct/>
              <w:topLinePunct w:val="0"/>
              <w:bidi w:val="0"/>
              <w:snapToGrid/>
              <w:spacing w:line="336"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未被收集的颗粒物量为0.03676t/a，排放速率为0.01838kg/h。</w:t>
            </w:r>
          </w:p>
          <w:p>
            <w:pPr>
              <w:pStyle w:val="46"/>
              <w:spacing w:line="360" w:lineRule="auto"/>
              <w:ind w:firstLine="480"/>
              <w:rPr>
                <w:rFonts w:hint="default" w:ascii="Times New Roman" w:hAnsi="Times New Roman" w:cs="Times New Roman"/>
                <w:color w:val="auto"/>
                <w:lang w:val="en-US" w:eastAsia="zh-CN"/>
              </w:rPr>
            </w:pPr>
            <w:r>
              <w:rPr>
                <w:rFonts w:hint="eastAsia"/>
                <w:color w:val="auto"/>
                <w:lang w:val="en-US" w:eastAsia="zh-CN"/>
              </w:rPr>
              <w:t>焊接废气产生、收集、处理</w:t>
            </w:r>
            <w:r>
              <w:rPr>
                <w:rFonts w:hint="default" w:ascii="Times New Roman" w:hAnsi="Times New Roman" w:cs="Times New Roman"/>
                <w:color w:val="auto"/>
                <w:lang w:val="en-US" w:eastAsia="zh-CN"/>
              </w:rPr>
              <w:t>排放示意图见图4.1。</w:t>
            </w:r>
          </w:p>
          <w:p>
            <w:pPr>
              <w:spacing w:line="360" w:lineRule="auto"/>
              <w:jc w:val="center"/>
              <w:rPr>
                <w:rFonts w:hint="eastAsia" w:ascii="Times New Roman" w:hAnsi="Times New Roman" w:cs="Times New Roman"/>
                <w:color w:val="auto"/>
                <w:sz w:val="24"/>
              </w:rPr>
            </w:pPr>
            <w:r>
              <w:rPr>
                <w:rFonts w:hint="eastAsia" w:ascii="Times New Roman" w:hAnsi="Times New Roman" w:cs="Times New Roman"/>
                <w:color w:val="auto"/>
                <w:sz w:val="24"/>
              </w:rPr>
              <w:object>
                <v:shape id="_x0000_i1030" o:spt="75" type="#_x0000_t75" style="height:34.1pt;width:408.55pt;" o:ole="t" filled="f" o:preferrelative="t" stroked="f" coordsize="21600,21600">
                  <v:path/>
                  <v:fill on="f" focussize="0,0"/>
                  <v:stroke on="f"/>
                  <v:imagedata r:id="rId18" o:title=""/>
                  <o:lock v:ext="edit" aspectratio="t"/>
                  <w10:wrap type="none"/>
                  <w10:anchorlock/>
                </v:shape>
                <o:OLEObject Type="Embed" ProgID="RFFlow4" ShapeID="_x0000_i1030" DrawAspect="Content" ObjectID="_1468075730" r:id="rId17">
                  <o:LockedField>false</o:LockedField>
                </o:OLEObject>
              </w:object>
            </w:r>
          </w:p>
          <w:p>
            <w:pPr>
              <w:spacing w:line="360" w:lineRule="auto"/>
              <w:jc w:val="center"/>
              <w:rPr>
                <w:rFonts w:ascii="Times New Roman" w:hAnsi="Times New Roman" w:cs="Times New Roman"/>
                <w:b/>
                <w:bCs/>
                <w:color w:val="auto"/>
                <w:sz w:val="24"/>
                <w:szCs w:val="24"/>
              </w:rPr>
            </w:pPr>
            <w:r>
              <w:rPr>
                <w:rFonts w:hint="eastAsia" w:ascii="Times New Roman" w:hAnsi="Times New Roman" w:cs="Times New Roman"/>
                <w:b/>
                <w:bCs/>
                <w:color w:val="auto"/>
                <w:sz w:val="24"/>
                <w:szCs w:val="24"/>
              </w:rPr>
              <w:t>图4</w:t>
            </w:r>
            <w:r>
              <w:rPr>
                <w:rFonts w:hint="eastAsia" w:ascii="Times New Roman" w:hAnsi="Times New Roman" w:cs="Times New Roman"/>
                <w:b/>
                <w:bCs/>
                <w:color w:val="auto"/>
                <w:sz w:val="24"/>
                <w:szCs w:val="24"/>
                <w:lang w:val="en-US" w:eastAsia="zh-CN"/>
              </w:rPr>
              <w:t xml:space="preserve">.2  </w:t>
            </w:r>
            <w:r>
              <w:rPr>
                <w:rFonts w:hint="eastAsia"/>
                <w:b/>
                <w:bCs/>
                <w:color w:val="auto"/>
                <w:sz w:val="24"/>
                <w:szCs w:val="24"/>
                <w:lang w:val="en-US" w:eastAsia="zh-CN"/>
              </w:rPr>
              <w:t>焊接废气产生、收集、处理</w:t>
            </w:r>
            <w:r>
              <w:rPr>
                <w:rFonts w:hint="default" w:ascii="Times New Roman" w:hAnsi="Times New Roman" w:cs="Times New Roman"/>
                <w:b/>
                <w:bCs/>
                <w:color w:val="auto"/>
                <w:sz w:val="24"/>
                <w:szCs w:val="24"/>
                <w:lang w:val="en-US" w:eastAsia="zh-CN"/>
              </w:rPr>
              <w:t>排放示意图</w:t>
            </w:r>
          </w:p>
          <w:p>
            <w:pPr>
              <w:pStyle w:val="45"/>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抛丸</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eastAsia="zh-CN"/>
              </w:rPr>
              <w:t>颗粒物（</w:t>
            </w:r>
            <w:r>
              <w:rPr>
                <w:rFonts w:hint="eastAsia" w:ascii="Times New Roman" w:hAnsi="Times New Roman" w:eastAsia="宋体" w:cs="Times New Roman"/>
                <w:color w:val="auto"/>
                <w:lang w:val="en-US" w:eastAsia="zh-CN"/>
              </w:rPr>
              <w:t>G</w:t>
            </w:r>
            <w:r>
              <w:rPr>
                <w:rFonts w:hint="eastAsia" w:ascii="Times New Roman" w:hAnsi="Times New Roman" w:eastAsia="宋体" w:cs="Times New Roman"/>
                <w:color w:val="auto"/>
                <w:vertAlign w:val="subscript"/>
                <w:lang w:val="en-US" w:eastAsia="zh-CN"/>
              </w:rPr>
              <w:t>1-3</w:t>
            </w:r>
            <w:r>
              <w:rPr>
                <w:rFonts w:hint="eastAsia" w:ascii="Times New Roman" w:hAnsi="Times New Roman" w:eastAsia="宋体" w:cs="Times New Roman"/>
                <w:color w:val="auto"/>
                <w:lang w:val="en-US" w:eastAsia="zh-CN"/>
              </w:rPr>
              <w:t>、G</w:t>
            </w:r>
            <w:r>
              <w:rPr>
                <w:rFonts w:hint="eastAsia" w:ascii="Times New Roman" w:hAnsi="Times New Roman" w:eastAsia="宋体" w:cs="Times New Roman"/>
                <w:color w:val="auto"/>
                <w:vertAlign w:val="subscript"/>
                <w:lang w:val="en-US" w:eastAsia="zh-CN"/>
              </w:rPr>
              <w:t>4-3</w:t>
            </w:r>
            <w:r>
              <w:rPr>
                <w:rFonts w:hint="eastAsia" w:ascii="Times New Roman" w:hAnsi="Times New Roman" w:eastAsia="宋体" w:cs="Times New Roman"/>
                <w:color w:val="auto"/>
                <w:lang w:val="en-US" w:eastAsia="zh-CN"/>
              </w:rPr>
              <w:t>）</w:t>
            </w:r>
          </w:p>
          <w:p>
            <w:pPr>
              <w:pStyle w:val="45"/>
              <w:spacing w:line="360" w:lineRule="auto"/>
              <w:rPr>
                <w:rFonts w:hint="eastAsia" w:ascii="宋体" w:hAnsi="宋体" w:eastAsia="宋体" w:cs="宋体"/>
                <w:color w:val="auto"/>
                <w:lang w:val="zh-CN"/>
              </w:rPr>
            </w:pPr>
            <w:r>
              <w:rPr>
                <w:rFonts w:hint="default" w:ascii="Times New Roman" w:hAnsi="Times New Roman" w:eastAsia="宋体" w:cs="Times New Roman"/>
                <w:color w:val="auto"/>
                <w:lang w:val="zh-CN"/>
              </w:rPr>
              <w:t>本项目</w:t>
            </w:r>
            <w:r>
              <w:rPr>
                <w:rFonts w:hint="eastAsia" w:ascii="Times New Roman" w:hAnsi="Times New Roman" w:eastAsia="宋体" w:cs="Times New Roman"/>
                <w:color w:val="auto"/>
                <w:lang w:val="zh-CN"/>
              </w:rPr>
              <w:t>抛丸</w:t>
            </w:r>
            <w:r>
              <w:rPr>
                <w:rFonts w:hint="default" w:ascii="Times New Roman" w:hAnsi="Times New Roman" w:eastAsia="宋体" w:cs="Times New Roman"/>
                <w:color w:val="auto"/>
                <w:lang w:val="zh-CN"/>
              </w:rPr>
              <w:t>工序污染物产排系数</w:t>
            </w:r>
            <w:r>
              <w:rPr>
                <w:rFonts w:hint="default" w:ascii="Times New Roman" w:hAnsi="Times New Roman" w:eastAsia="宋体" w:cs="Times New Roman"/>
                <w:b/>
                <w:bCs/>
                <w:color w:val="auto"/>
                <w:lang w:val="zh-CN"/>
              </w:rPr>
              <w:t>参考</w:t>
            </w:r>
            <w:r>
              <w:rPr>
                <w:rFonts w:hint="default" w:ascii="Times New Roman" w:hAnsi="Times New Roman" w:eastAsia="宋体" w:cs="Times New Roman"/>
                <w:color w:val="auto"/>
                <w:lang w:val="zh-CN"/>
              </w:rPr>
              <w:t>《排放源统计调查产排污核算方法和系数手册》中</w:t>
            </w:r>
            <w:r>
              <w:rPr>
                <w:rFonts w:hint="eastAsia" w:ascii="宋体" w:hAnsi="宋体" w:eastAsia="宋体" w:cs="宋体"/>
                <w:color w:val="auto"/>
                <w:lang w:val="zh-CN"/>
              </w:rPr>
              <w:t>“</w:t>
            </w:r>
            <w:r>
              <w:rPr>
                <w:rFonts w:hint="default" w:ascii="Times New Roman" w:hAnsi="Times New Roman" w:eastAsia="宋体" w:cs="Times New Roman"/>
                <w:color w:val="auto"/>
                <w:lang w:val="zh-CN"/>
              </w:rPr>
              <w:t>33金属制品业、34通用设备制造业、35专用设备制造业、36汽车制造业、37铁路、船舶、航空航天和其他运输设备制造业、431金属制品修理、432通用设备修理、433专用设备修理、434铁路、船舶、航空航天等运输设备修理（不包括电镀工艺）行</w:t>
            </w:r>
            <w:r>
              <w:rPr>
                <w:rFonts w:hint="eastAsia" w:ascii="宋体" w:hAnsi="宋体" w:eastAsia="宋体" w:cs="宋体"/>
                <w:color w:val="auto"/>
                <w:lang w:val="zh-CN"/>
              </w:rPr>
              <w:t>业系数表”</w:t>
            </w:r>
            <w:r>
              <w:rPr>
                <w:rFonts w:hint="eastAsia" w:ascii="宋体" w:hAnsi="宋体" w:eastAsia="宋体" w:cs="宋体"/>
                <w:color w:val="auto"/>
                <w:sz w:val="24"/>
                <w:szCs w:val="24"/>
                <w:lang w:val="zh-CN"/>
              </w:rPr>
              <w:t>，</w:t>
            </w:r>
            <w:r>
              <w:rPr>
                <w:rFonts w:hint="default" w:ascii="Times New Roman" w:hAnsi="Times New Roman" w:eastAsia="宋体" w:cs="Times New Roman"/>
                <w:color w:val="auto"/>
                <w:sz w:val="24"/>
                <w:szCs w:val="24"/>
                <w:lang w:val="zh-CN"/>
              </w:rPr>
              <w:t>见表</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4</w:t>
            </w:r>
            <w:r>
              <w:rPr>
                <w:rFonts w:hint="eastAsia" w:ascii="宋体" w:hAnsi="宋体" w:eastAsia="宋体" w:cs="宋体"/>
                <w:color w:val="auto"/>
                <w:sz w:val="24"/>
                <w:szCs w:val="24"/>
                <w:lang w:val="zh-CN"/>
              </w:rPr>
              <w:t>。</w:t>
            </w:r>
          </w:p>
          <w:p>
            <w:pPr>
              <w:pStyle w:val="45"/>
              <w:spacing w:line="240" w:lineRule="auto"/>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zh-CN"/>
              </w:rPr>
              <w:t>表</w:t>
            </w:r>
            <w:r>
              <w:rPr>
                <w:rFonts w:hint="default" w:ascii="Times New Roman" w:hAnsi="Times New Roman" w:eastAsia="宋体" w:cs="Times New Roman"/>
                <w:b/>
                <w:bCs/>
                <w:color w:val="auto"/>
                <w:lang w:val="en-US" w:eastAsia="zh-CN"/>
              </w:rPr>
              <w:t>4.</w:t>
            </w:r>
            <w:r>
              <w:rPr>
                <w:rFonts w:hint="eastAsia"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lang w:val="en-US" w:eastAsia="zh-CN"/>
              </w:rPr>
              <w:t xml:space="preserve">  06预处理</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70"/>
              <w:gridCol w:w="1070"/>
              <w:gridCol w:w="1070"/>
              <w:gridCol w:w="1071"/>
              <w:gridCol w:w="1072"/>
              <w:gridCol w:w="1072"/>
              <w:gridCol w:w="107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工段名称</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产品名称</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原料名称</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工艺名称</w:t>
                  </w:r>
                </w:p>
              </w:tc>
              <w:tc>
                <w:tcPr>
                  <w:tcW w:w="1039"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规模等级</w:t>
                  </w:r>
                </w:p>
              </w:tc>
              <w:tc>
                <w:tcPr>
                  <w:tcW w:w="2080" w:type="dxa"/>
                  <w:gridSpan w:val="2"/>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污染物指标</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单位</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预处理</w:t>
                  </w:r>
                </w:p>
              </w:tc>
              <w:tc>
                <w:tcPr>
                  <w:tcW w:w="1039"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干式预处理件</w:t>
                  </w:r>
                </w:p>
              </w:tc>
              <w:tc>
                <w:tcPr>
                  <w:tcW w:w="1039"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钢材（含板材、构件等）、铝材（含板材、构</w:t>
                  </w:r>
                </w:p>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件等）</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铝合金（含板材、构件等）、铁</w:t>
                  </w:r>
                </w:p>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材、其它金属材料</w:t>
                  </w:r>
                </w:p>
              </w:tc>
              <w:tc>
                <w:tcPr>
                  <w:tcW w:w="1039"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抛丸</w:t>
                  </w:r>
                  <w:r>
                    <w:rPr>
                      <w:rFonts w:hint="default" w:ascii="Times New Roman" w:hAnsi="Times New Roman" w:cs="Times New Roman"/>
                      <w:color w:val="auto"/>
                      <w:sz w:val="21"/>
                      <w:szCs w:val="21"/>
                      <w:lang w:val="en-US" w:eastAsia="zh-CN"/>
                    </w:rPr>
                    <w:t>、</w:t>
                  </w:r>
                </w:p>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喷砂、</w:t>
                  </w:r>
                </w:p>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打磨、</w:t>
                  </w:r>
                </w:p>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滚筒</w:t>
                  </w:r>
                </w:p>
                <w:p>
                  <w:pPr>
                    <w:autoSpaceDE w:val="0"/>
                    <w:autoSpaceDN w:val="0"/>
                    <w:adjustRightInd w:val="0"/>
                    <w:jc w:val="center"/>
                    <w:rPr>
                      <w:rFonts w:hint="default" w:ascii="Times New Roman" w:hAnsi="Times New Roman" w:cs="Times New Roman"/>
                      <w:color w:val="auto"/>
                      <w:sz w:val="21"/>
                      <w:szCs w:val="21"/>
                      <w:lang w:val="en-US" w:eastAsia="zh-CN"/>
                    </w:rPr>
                  </w:pPr>
                </w:p>
              </w:tc>
              <w:tc>
                <w:tcPr>
                  <w:tcW w:w="1039"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所有规模</w:t>
                  </w:r>
                </w:p>
              </w:tc>
              <w:tc>
                <w:tcPr>
                  <w:tcW w:w="1040" w:type="dxa"/>
                  <w:vMerge w:val="restart"/>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废气</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千克/吨-原料</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39" w:type="dxa"/>
                  <w:vMerge w:val="continue"/>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39" w:type="dxa"/>
                  <w:vMerge w:val="continue"/>
                  <w:vAlign w:val="center"/>
                </w:tcPr>
                <w:p>
                  <w:pPr>
                    <w:autoSpaceDE w:val="0"/>
                    <w:autoSpaceDN w:val="0"/>
                    <w:adjustRightInd w:val="0"/>
                    <w:jc w:val="center"/>
                    <w:rPr>
                      <w:rFonts w:hint="default" w:ascii="Times New Roman" w:hAnsi="Times New Roman" w:cs="Times New Roman"/>
                      <w:color w:val="auto"/>
                      <w:sz w:val="21"/>
                      <w:szCs w:val="21"/>
                      <w:lang w:val="en-US" w:eastAsia="zh-CN"/>
                    </w:rPr>
                  </w:pPr>
                </w:p>
              </w:tc>
              <w:tc>
                <w:tcPr>
                  <w:tcW w:w="1039" w:type="dxa"/>
                  <w:vMerge w:val="continue"/>
                  <w:vAlign w:val="center"/>
                </w:tcPr>
                <w:p>
                  <w:pPr>
                    <w:autoSpaceDE w:val="0"/>
                    <w:autoSpaceDN w:val="0"/>
                    <w:adjustRightInd w:val="0"/>
                    <w:jc w:val="center"/>
                    <w:rPr>
                      <w:rFonts w:hint="default" w:ascii="Times New Roman" w:hAnsi="Times New Roman" w:cs="Times New Roman"/>
                      <w:color w:val="auto"/>
                      <w:sz w:val="21"/>
                      <w:szCs w:val="21"/>
                      <w:lang w:val="en-US" w:eastAsia="zh-CN"/>
                    </w:rPr>
                  </w:pPr>
                </w:p>
              </w:tc>
              <w:tc>
                <w:tcPr>
                  <w:tcW w:w="1039" w:type="dxa"/>
                  <w:vMerge w:val="continue"/>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40" w:type="dxa"/>
                  <w:vMerge w:val="continue"/>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40" w:type="dxa"/>
                  <w:vAlign w:val="center"/>
                </w:tcPr>
                <w:p>
                  <w:pPr>
                    <w:autoSpaceDE w:val="0"/>
                    <w:autoSpaceDN w:val="0"/>
                    <w:adjustRightIn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工业废气量</w:t>
                  </w:r>
                </w:p>
              </w:tc>
              <w:tc>
                <w:tcPr>
                  <w:tcW w:w="1040" w:type="dxa"/>
                  <w:vAlign w:val="center"/>
                </w:tcPr>
                <w:p>
                  <w:pPr>
                    <w:autoSpaceDE w:val="0"/>
                    <w:autoSpaceDN w:val="0"/>
                    <w:adjustRightIn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立方米/吨-原料</w:t>
                  </w:r>
                </w:p>
              </w:tc>
              <w:tc>
                <w:tcPr>
                  <w:tcW w:w="1040" w:type="dxa"/>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8500</w:t>
                  </w:r>
                </w:p>
              </w:tc>
            </w:tr>
          </w:tbl>
          <w:p>
            <w:pPr>
              <w:pStyle w:val="45"/>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本项目设有</w:t>
            </w:r>
            <w:r>
              <w:rPr>
                <w:rFonts w:hint="eastAsia" w:ascii="Times New Roman" w:hAnsi="Times New Roman" w:eastAsia="宋体" w:cs="Times New Roman"/>
                <w:color w:val="auto"/>
                <w:sz w:val="24"/>
                <w:szCs w:val="24"/>
                <w:lang w:val="en-US" w:eastAsia="zh-CN"/>
              </w:rPr>
              <w:t>1台吊钩式抛丸清理机</w:t>
            </w:r>
            <w:r>
              <w:rPr>
                <w:rFonts w:hint="default" w:ascii="Times New Roman" w:hAnsi="Times New Roman" w:eastAsia="宋体" w:cs="Times New Roman"/>
                <w:color w:val="auto"/>
                <w:sz w:val="24"/>
                <w:szCs w:val="24"/>
              </w:rPr>
              <w:t>，配有</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套“</w:t>
            </w:r>
            <w:r>
              <w:rPr>
                <w:rFonts w:hint="eastAsia" w:ascii="Times New Roman" w:hAnsi="Times New Roman" w:eastAsia="宋体" w:cs="Times New Roman"/>
                <w:color w:val="auto"/>
                <w:sz w:val="24"/>
                <w:szCs w:val="24"/>
                <w:lang w:val="en-US" w:eastAsia="zh-CN"/>
              </w:rPr>
              <w:t>袋式除尘器</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配套风机风量为</w:t>
            </w:r>
            <w:r>
              <w:rPr>
                <w:rFonts w:hint="eastAsia" w:ascii="Times New Roman" w:hAnsi="Times New Roman" w:eastAsia="宋体" w:cs="Times New Roman"/>
                <w:color w:val="auto"/>
                <w:sz w:val="24"/>
                <w:szCs w:val="24"/>
                <w:lang w:val="en-US" w:eastAsia="zh-CN"/>
              </w:rPr>
              <w:t>15000m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袋式除尘器</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GB"/>
              </w:rPr>
              <w:t>除尘效率</w:t>
            </w:r>
            <w:r>
              <w:rPr>
                <w:rFonts w:hint="eastAsia" w:ascii="Times New Roman" w:hAnsi="Times New Roman" w:eastAsia="宋体" w:cs="Times New Roman"/>
                <w:color w:val="auto"/>
                <w:sz w:val="24"/>
                <w:szCs w:val="24"/>
                <w:lang w:val="en-GB" w:eastAsia="zh-CN"/>
              </w:rPr>
              <w:t>设计</w:t>
            </w:r>
            <w:r>
              <w:rPr>
                <w:rFonts w:hint="default" w:ascii="Times New Roman" w:hAnsi="Times New Roman" w:eastAsia="宋体" w:cs="Times New Roman"/>
                <w:color w:val="auto"/>
                <w:sz w:val="24"/>
                <w:szCs w:val="24"/>
                <w:lang w:val="en-GB" w:eastAsia="zh-CN"/>
              </w:rPr>
              <w:t>为</w:t>
            </w:r>
            <w:r>
              <w:rPr>
                <w:rFonts w:hint="default" w:ascii="Times New Roman" w:hAnsi="Times New Roman" w:eastAsia="宋体" w:cs="Times New Roman"/>
                <w:color w:val="auto"/>
                <w:sz w:val="24"/>
                <w:szCs w:val="24"/>
                <w:lang w:val="en-GB"/>
              </w:rPr>
              <w:t>9</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GB"/>
              </w:rPr>
              <w:t>%</w:t>
            </w:r>
            <w:r>
              <w:rPr>
                <w:rFonts w:hint="eastAsia"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rPr>
              <w:t>年运行时间</w:t>
            </w:r>
            <w:r>
              <w:rPr>
                <w:rFonts w:hint="eastAsia" w:ascii="Times New Roman" w:hAnsi="Times New Roman" w:eastAsia="宋体" w:cs="Times New Roman"/>
                <w:color w:val="auto"/>
                <w:sz w:val="24"/>
                <w:szCs w:val="24"/>
                <w:lang w:eastAsia="zh-CN"/>
              </w:rPr>
              <w:t>设计</w:t>
            </w:r>
            <w:r>
              <w:rPr>
                <w:rFonts w:hint="default"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lang w:eastAsia="zh-CN"/>
              </w:rPr>
              <w:t>根据建设单位提供的设计资料，本项目需</w:t>
            </w:r>
            <w:r>
              <w:rPr>
                <w:rFonts w:hint="eastAsia" w:ascii="Times New Roman" w:hAnsi="Times New Roman" w:eastAsia="宋体" w:cs="Times New Roman"/>
                <w:color w:val="auto"/>
                <w:sz w:val="24"/>
                <w:szCs w:val="24"/>
                <w:lang w:eastAsia="zh-CN"/>
              </w:rPr>
              <w:t>抛丸</w:t>
            </w:r>
            <w:r>
              <w:rPr>
                <w:rFonts w:hint="default" w:ascii="Times New Roman" w:hAnsi="Times New Roman" w:eastAsia="宋体" w:cs="Times New Roman"/>
                <w:color w:val="auto"/>
                <w:sz w:val="24"/>
                <w:szCs w:val="24"/>
                <w:lang w:eastAsia="zh-CN"/>
              </w:rPr>
              <w:t>的干式预处理件质量为</w:t>
            </w:r>
            <w:r>
              <w:rPr>
                <w:rFonts w:hint="eastAsia" w:ascii="Times New Roman" w:hAnsi="Times New Roman" w:eastAsia="宋体" w:cs="Times New Roman"/>
                <w:color w:val="auto"/>
                <w:sz w:val="24"/>
                <w:szCs w:val="24"/>
                <w:lang w:val="en-US" w:eastAsia="zh-CN"/>
              </w:rPr>
              <w:t>3000</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lang w:eastAsia="zh-CN"/>
              </w:rPr>
              <w:t>由表</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可知</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抛丸</w:t>
            </w:r>
            <w:r>
              <w:rPr>
                <w:rFonts w:hint="default"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val="en-GB"/>
              </w:rPr>
              <w:t>产生量为</w:t>
            </w:r>
            <w:r>
              <w:rPr>
                <w:rFonts w:hint="eastAsia" w:ascii="Times New Roman" w:hAnsi="Times New Roman" w:eastAsia="宋体" w:cs="Times New Roman"/>
                <w:color w:val="auto"/>
                <w:sz w:val="24"/>
                <w:szCs w:val="24"/>
                <w:lang w:val="en-US" w:eastAsia="zh-CN"/>
              </w:rPr>
              <w:t>6.57</w:t>
            </w:r>
            <w:r>
              <w:rPr>
                <w:rFonts w:hint="default" w:ascii="Times New Roman" w:hAnsi="Times New Roman" w:eastAsia="宋体" w:cs="Times New Roman"/>
                <w:color w:val="auto"/>
                <w:sz w:val="24"/>
                <w:szCs w:val="24"/>
                <w:lang w:val="en-GB"/>
              </w:rPr>
              <w:t>t/a</w:t>
            </w:r>
            <w:r>
              <w:rPr>
                <w:rFonts w:hint="default" w:ascii="Times New Roman" w:hAnsi="Times New Roman" w:eastAsia="宋体" w:cs="Times New Roman"/>
                <w:color w:val="auto"/>
                <w:sz w:val="24"/>
                <w:szCs w:val="24"/>
                <w:lang w:val="en-GB" w:eastAsia="zh-CN"/>
              </w:rPr>
              <w:t>，产生速率为</w:t>
            </w:r>
            <w:r>
              <w:rPr>
                <w:rFonts w:hint="eastAsia" w:ascii="Times New Roman" w:hAnsi="Times New Roman" w:eastAsia="宋体" w:cs="Times New Roman"/>
                <w:color w:val="auto"/>
                <w:sz w:val="24"/>
                <w:szCs w:val="24"/>
                <w:lang w:val="en-US" w:eastAsia="zh-CN"/>
              </w:rPr>
              <w:t>3.285</w:t>
            </w:r>
            <w:r>
              <w:rPr>
                <w:rFonts w:hint="default" w:ascii="Times New Roman" w:hAnsi="Times New Roman" w:eastAsia="宋体" w:cs="Times New Roman"/>
                <w:color w:val="auto"/>
                <w:sz w:val="24"/>
                <w:szCs w:val="24"/>
                <w:lang w:val="en-US" w:eastAsia="zh-CN"/>
              </w:rPr>
              <w:t>kg/h</w:t>
            </w:r>
            <w:r>
              <w:rPr>
                <w:rFonts w:hint="default" w:ascii="Times New Roman" w:hAnsi="Times New Roman" w:eastAsia="宋体" w:cs="Times New Roman"/>
                <w:color w:val="auto"/>
                <w:sz w:val="24"/>
                <w:szCs w:val="24"/>
                <w:lang w:val="en-GB" w:eastAsia="zh-CN"/>
              </w:rPr>
              <w:t>，产生浓度为</w:t>
            </w:r>
            <w:r>
              <w:rPr>
                <w:rFonts w:hint="eastAsia" w:ascii="Times New Roman" w:hAnsi="Times New Roman" w:eastAsia="宋体" w:cs="Times New Roman"/>
                <w:color w:val="auto"/>
                <w:sz w:val="24"/>
                <w:szCs w:val="24"/>
                <w:lang w:val="en-US" w:eastAsia="zh-CN"/>
              </w:rPr>
              <w:t>219</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en-GB" w:eastAsia="zh-CN"/>
              </w:rPr>
              <w:t>；</w:t>
            </w:r>
            <w:r>
              <w:rPr>
                <w:rFonts w:hint="eastAsia" w:ascii="Times New Roman" w:hAnsi="Times New Roman" w:eastAsia="宋体" w:cs="Times New Roman"/>
                <w:color w:val="auto"/>
                <w:sz w:val="24"/>
                <w:szCs w:val="24"/>
                <w:lang w:eastAsia="zh-CN"/>
              </w:rPr>
              <w:t>抛丸</w:t>
            </w:r>
            <w:r>
              <w:rPr>
                <w:rFonts w:hint="default" w:ascii="Times New Roman" w:hAnsi="Times New Roman" w:eastAsia="宋体" w:cs="Times New Roman"/>
                <w:color w:val="auto"/>
                <w:sz w:val="24"/>
                <w:szCs w:val="24"/>
                <w:lang w:eastAsia="zh-CN"/>
              </w:rPr>
              <w:t>产生的颗粒物经</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袋式除尘器</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除尘后，</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排放速率</w:t>
            </w:r>
            <w:r>
              <w:rPr>
                <w:rFonts w:hint="default"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0.16425</w:t>
            </w:r>
            <w:r>
              <w:rPr>
                <w:rFonts w:hint="default" w:ascii="Times New Roman" w:hAnsi="Times New Roman" w:eastAsia="宋体" w:cs="Times New Roman"/>
                <w:color w:val="auto"/>
                <w:sz w:val="24"/>
                <w:szCs w:val="24"/>
              </w:rPr>
              <w:t>kg/h，</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color w:val="auto"/>
                <w:sz w:val="24"/>
                <w:szCs w:val="24"/>
              </w:rPr>
              <w:t>浓度为</w:t>
            </w:r>
            <w:r>
              <w:rPr>
                <w:rFonts w:hint="eastAsia" w:ascii="Times New Roman" w:hAnsi="Times New Roman" w:eastAsia="宋体" w:cs="Times New Roman"/>
                <w:color w:val="auto"/>
                <w:sz w:val="24"/>
                <w:szCs w:val="24"/>
                <w:lang w:val="en-US" w:eastAsia="zh-CN"/>
              </w:rPr>
              <w:t>10.95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，排放量为</w:t>
            </w:r>
            <w:r>
              <w:rPr>
                <w:rFonts w:hint="eastAsia" w:ascii="Times New Roman" w:hAnsi="Times New Roman" w:eastAsia="宋体" w:cs="Times New Roman"/>
                <w:color w:val="auto"/>
                <w:sz w:val="24"/>
                <w:szCs w:val="24"/>
                <w:lang w:val="en-US" w:eastAsia="zh-CN"/>
              </w:rPr>
              <w:t>0.3285</w:t>
            </w:r>
            <w:r>
              <w:rPr>
                <w:rFonts w:hint="default" w:ascii="Times New Roman" w:hAnsi="Times New Roman" w:eastAsia="宋体" w:cs="Times New Roman"/>
                <w:color w:val="auto"/>
                <w:sz w:val="24"/>
                <w:szCs w:val="24"/>
                <w:lang w:val="en-GB"/>
              </w:rPr>
              <w:t>t/a。</w:t>
            </w:r>
            <w:r>
              <w:rPr>
                <w:rFonts w:hint="eastAsia" w:ascii="Times New Roman" w:hAnsi="Times New Roman" w:eastAsia="宋体" w:cs="Times New Roman"/>
                <w:color w:val="auto"/>
                <w:sz w:val="24"/>
                <w:szCs w:val="24"/>
                <w:lang w:eastAsia="zh-CN"/>
              </w:rPr>
              <w:t>抛丸</w:t>
            </w:r>
            <w:r>
              <w:rPr>
                <w:rFonts w:hint="default" w:ascii="Times New Roman" w:hAnsi="Times New Roman" w:eastAsia="宋体" w:cs="Times New Roman"/>
                <w:color w:val="auto"/>
                <w:sz w:val="24"/>
                <w:szCs w:val="24"/>
                <w:lang w:val="en-GB" w:eastAsia="zh-CN"/>
              </w:rPr>
              <w:t>产生的颗粒物经</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袋式除尘器</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处理后经1根15m高排气筒（</w:t>
            </w:r>
            <w:r>
              <w:rPr>
                <w:rFonts w:hint="default" w:ascii="Times New Roman" w:hAnsi="Times New Roman" w:eastAsia="宋体" w:cs="Times New Roman"/>
                <w:b/>
                <w:bCs/>
                <w:color w:val="auto"/>
                <w:sz w:val="24"/>
                <w:szCs w:val="24"/>
                <w:lang w:val="en-US" w:eastAsia="zh-CN"/>
              </w:rPr>
              <w:t>DA00</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color w:val="auto"/>
                <w:sz w:val="24"/>
                <w:szCs w:val="24"/>
                <w:lang w:val="en-US" w:eastAsia="zh-CN"/>
              </w:rPr>
              <w:t>）排放。</w:t>
            </w:r>
          </w:p>
          <w:p>
            <w:pPr>
              <w:pStyle w:val="46"/>
              <w:spacing w:line="360" w:lineRule="auto"/>
              <w:ind w:firstLine="480"/>
              <w:rPr>
                <w:rFonts w:hint="default" w:ascii="Times New Roman" w:hAnsi="Times New Roman" w:cs="Times New Roman"/>
                <w:color w:val="auto"/>
                <w:lang w:val="en-US" w:eastAsia="zh-CN"/>
              </w:rPr>
            </w:pPr>
            <w:r>
              <w:rPr>
                <w:rFonts w:hint="eastAsia"/>
                <w:color w:val="auto"/>
                <w:lang w:val="en-US" w:eastAsia="zh-CN"/>
              </w:rPr>
              <w:t>抛丸废气产生、收集、处理</w:t>
            </w:r>
            <w:r>
              <w:rPr>
                <w:rFonts w:hint="default" w:ascii="Times New Roman" w:hAnsi="Times New Roman" w:cs="Times New Roman"/>
                <w:color w:val="auto"/>
                <w:lang w:val="en-US" w:eastAsia="zh-CN"/>
              </w:rPr>
              <w:t>排放示意图见图4.1。</w:t>
            </w:r>
          </w:p>
          <w:p>
            <w:pPr>
              <w:spacing w:line="360" w:lineRule="auto"/>
              <w:jc w:val="center"/>
              <w:rPr>
                <w:rFonts w:hint="eastAsia" w:ascii="Times New Roman" w:hAnsi="Times New Roman" w:cs="Times New Roman"/>
                <w:color w:val="auto"/>
                <w:sz w:val="24"/>
              </w:rPr>
            </w:pPr>
            <w:r>
              <w:rPr>
                <w:rFonts w:hint="eastAsia" w:ascii="Times New Roman" w:hAnsi="Times New Roman" w:cs="Times New Roman"/>
                <w:color w:val="auto"/>
                <w:sz w:val="24"/>
              </w:rPr>
              <w:object>
                <v:shape id="_x0000_i1031" o:spt="75" type="#_x0000_t75" style="height:34.1pt;width:335.35pt;" o:ole="t" filled="f" o:preferrelative="t" stroked="f" coordsize="21600,21600">
                  <v:path/>
                  <v:fill on="f" focussize="0,0"/>
                  <v:stroke on="f"/>
                  <v:imagedata r:id="rId20" o:title=""/>
                  <o:lock v:ext="edit" aspectratio="t"/>
                  <w10:wrap type="none"/>
                  <w10:anchorlock/>
                </v:shape>
                <o:OLEObject Type="Embed" ProgID="RFFlow4" ShapeID="_x0000_i1031" DrawAspect="Content" ObjectID="_1468075731" r:id="rId19">
                  <o:LockedField>false</o:LockedField>
                </o:OLEObject>
              </w:object>
            </w:r>
          </w:p>
          <w:p>
            <w:pPr>
              <w:spacing w:line="360" w:lineRule="auto"/>
              <w:jc w:val="center"/>
              <w:rPr>
                <w:rFonts w:ascii="Times New Roman" w:hAnsi="Times New Roman" w:cs="Times New Roman"/>
                <w:b/>
                <w:bCs/>
                <w:color w:val="auto"/>
                <w:sz w:val="24"/>
                <w:szCs w:val="24"/>
              </w:rPr>
            </w:pPr>
            <w:r>
              <w:rPr>
                <w:rFonts w:hint="eastAsia" w:ascii="Times New Roman" w:hAnsi="Times New Roman" w:cs="Times New Roman"/>
                <w:b/>
                <w:bCs/>
                <w:color w:val="auto"/>
                <w:sz w:val="24"/>
                <w:szCs w:val="24"/>
              </w:rPr>
              <w:t>图4</w:t>
            </w:r>
            <w:r>
              <w:rPr>
                <w:rFonts w:hint="eastAsia" w:ascii="Times New Roman" w:hAnsi="Times New Roman" w:cs="Times New Roman"/>
                <w:b/>
                <w:bCs/>
                <w:color w:val="auto"/>
                <w:sz w:val="24"/>
                <w:szCs w:val="24"/>
                <w:lang w:val="en-US" w:eastAsia="zh-CN"/>
              </w:rPr>
              <w:t xml:space="preserve">.3  </w:t>
            </w:r>
            <w:r>
              <w:rPr>
                <w:rFonts w:hint="eastAsia"/>
                <w:b/>
                <w:bCs/>
                <w:color w:val="auto"/>
                <w:sz w:val="24"/>
                <w:szCs w:val="24"/>
                <w:lang w:val="en-US" w:eastAsia="zh-CN"/>
              </w:rPr>
              <w:t>抛丸废气产生、收集、处理</w:t>
            </w:r>
            <w:r>
              <w:rPr>
                <w:rFonts w:hint="default" w:ascii="Times New Roman" w:hAnsi="Times New Roman" w:cs="Times New Roman"/>
                <w:b/>
                <w:bCs/>
                <w:color w:val="auto"/>
                <w:sz w:val="24"/>
                <w:szCs w:val="24"/>
                <w:lang w:val="en-US" w:eastAsia="zh-CN"/>
              </w:rPr>
              <w:t>排放示意图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喷粉-颗粒物（G</w:t>
            </w:r>
            <w:r>
              <w:rPr>
                <w:rFonts w:hint="eastAsia" w:ascii="Times New Roman" w:hAnsi="Times New Roman" w:cs="Times New Roman"/>
                <w:color w:val="auto"/>
                <w:sz w:val="24"/>
                <w:szCs w:val="24"/>
                <w:vertAlign w:val="subscript"/>
                <w:lang w:val="en-US" w:eastAsia="zh-CN"/>
              </w:rPr>
              <w:t>1-4</w:t>
            </w:r>
            <w:r>
              <w:rPr>
                <w:rFonts w:hint="eastAsia" w:ascii="Times New Roman" w:hAnsi="Times New Roman" w:cs="Times New Roman"/>
                <w:color w:val="auto"/>
                <w:sz w:val="24"/>
                <w:szCs w:val="24"/>
                <w:lang w:val="en-US" w:eastAsia="zh-CN"/>
              </w:rPr>
              <w:t>、G</w:t>
            </w:r>
            <w:r>
              <w:rPr>
                <w:rFonts w:hint="eastAsia" w:ascii="Times New Roman" w:hAnsi="Times New Roman" w:cs="Times New Roman"/>
                <w:color w:val="auto"/>
                <w:sz w:val="24"/>
                <w:szCs w:val="24"/>
                <w:vertAlign w:val="subscript"/>
                <w:lang w:val="en-US" w:eastAsia="zh-CN"/>
              </w:rPr>
              <w:t>4-4</w:t>
            </w:r>
            <w:r>
              <w:rPr>
                <w:rFonts w:hint="eastAsia" w:ascii="Times New Roman" w:hAnsi="Times New Roman" w:cs="Times New Roman"/>
                <w:color w:val="auto"/>
                <w:sz w:val="24"/>
                <w:szCs w:val="24"/>
                <w:lang w:val="en-US" w:eastAsia="zh-CN"/>
              </w:rPr>
              <w:t>）</w:t>
            </w:r>
          </w:p>
          <w:p>
            <w:pPr>
              <w:pStyle w:val="45"/>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Times New Roman" w:hAnsi="Times New Roman" w:eastAsia="宋体" w:cs="Times New Roman"/>
                <w:bCs/>
                <w:color w:val="auto"/>
                <w:sz w:val="24"/>
                <w:szCs w:val="24"/>
                <w:lang w:val="zh-CN"/>
              </w:rPr>
            </w:pPr>
            <w:r>
              <w:rPr>
                <w:rFonts w:hint="eastAsia" w:ascii="Times New Roman" w:hAnsi="Times New Roman" w:eastAsia="宋体" w:cs="Times New Roman"/>
                <w:bCs/>
                <w:color w:val="auto"/>
                <w:sz w:val="24"/>
                <w:szCs w:val="24"/>
                <w:lang w:val="zh-CN"/>
              </w:rPr>
              <w:t>本项目喷塑工序污染物产排系数</w:t>
            </w:r>
            <w:r>
              <w:rPr>
                <w:rFonts w:hint="eastAsia" w:ascii="Times New Roman" w:hAnsi="Times New Roman" w:eastAsia="宋体" w:cs="Times New Roman"/>
                <w:b/>
                <w:bCs w:val="0"/>
                <w:color w:val="auto"/>
                <w:sz w:val="24"/>
                <w:szCs w:val="24"/>
                <w:lang w:val="zh-CN"/>
              </w:rPr>
              <w:t>参考</w:t>
            </w:r>
            <w:r>
              <w:rPr>
                <w:rFonts w:hint="eastAsia" w:ascii="Times New Roman" w:hAnsi="Times New Roman" w:eastAsia="宋体" w:cs="Times New Roman"/>
                <w:bCs/>
                <w:color w:val="auto"/>
                <w:sz w:val="24"/>
                <w:szCs w:val="24"/>
                <w:lang w:val="zh-CN"/>
              </w:rPr>
              <w:t>《排放源统计调查产排污核算方法和系数手册》中“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表”</w:t>
            </w:r>
            <w:r>
              <w:rPr>
                <w:rFonts w:hint="eastAsia" w:ascii="宋体" w:hAnsi="宋体" w:eastAsia="宋体" w:cs="宋体"/>
                <w:color w:val="auto"/>
                <w:sz w:val="24"/>
                <w:szCs w:val="24"/>
                <w:lang w:val="zh-CN"/>
              </w:rPr>
              <w:t>，</w:t>
            </w:r>
            <w:r>
              <w:rPr>
                <w:rFonts w:hint="default" w:ascii="Times New Roman" w:hAnsi="Times New Roman" w:eastAsia="宋体" w:cs="Times New Roman"/>
                <w:color w:val="auto"/>
                <w:sz w:val="24"/>
                <w:szCs w:val="24"/>
                <w:lang w:val="zh-CN"/>
              </w:rPr>
              <w:t>见表</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5</w:t>
            </w:r>
            <w:r>
              <w:rPr>
                <w:rFonts w:hint="eastAsia" w:ascii="宋体" w:hAnsi="宋体" w:eastAsia="宋体" w:cs="宋体"/>
                <w:color w:val="auto"/>
                <w:sz w:val="24"/>
                <w:szCs w:val="24"/>
                <w:lang w:val="zh-CN"/>
              </w:rPr>
              <w:t>。</w:t>
            </w:r>
          </w:p>
          <w:p>
            <w:pPr>
              <w:pStyle w:val="45"/>
              <w:spacing w:line="240" w:lineRule="auto"/>
              <w:ind w:left="0" w:leftChars="0" w:firstLine="0" w:firstLineChars="0"/>
              <w:jc w:val="center"/>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zh-CN"/>
              </w:rPr>
              <w:t>表</w:t>
            </w:r>
            <w:r>
              <w:rPr>
                <w:rFonts w:hint="eastAsia" w:ascii="Times New Roman" w:hAnsi="Times New Roman" w:eastAsia="宋体" w:cs="Times New Roman"/>
                <w:b/>
                <w:bCs w:val="0"/>
                <w:color w:val="auto"/>
                <w:sz w:val="24"/>
                <w:szCs w:val="24"/>
                <w:lang w:val="en-US" w:eastAsia="zh-CN"/>
              </w:rPr>
              <w:t>4.5  14涂装</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70"/>
              <w:gridCol w:w="1070"/>
              <w:gridCol w:w="1070"/>
              <w:gridCol w:w="1071"/>
              <w:gridCol w:w="1072"/>
              <w:gridCol w:w="1072"/>
              <w:gridCol w:w="107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工段名称</w:t>
                  </w:r>
                </w:p>
              </w:tc>
              <w:tc>
                <w:tcPr>
                  <w:tcW w:w="1070"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产品名称</w:t>
                  </w:r>
                </w:p>
              </w:tc>
              <w:tc>
                <w:tcPr>
                  <w:tcW w:w="1070"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原料名称</w:t>
                  </w:r>
                </w:p>
              </w:tc>
              <w:tc>
                <w:tcPr>
                  <w:tcW w:w="1070"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工艺名称</w:t>
                  </w:r>
                </w:p>
              </w:tc>
              <w:tc>
                <w:tcPr>
                  <w:tcW w:w="1071"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规模等级</w:t>
                  </w:r>
                </w:p>
              </w:tc>
              <w:tc>
                <w:tcPr>
                  <w:tcW w:w="2144" w:type="dxa"/>
                  <w:gridSpan w:val="2"/>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污染物指标</w:t>
                  </w:r>
                </w:p>
              </w:tc>
              <w:tc>
                <w:tcPr>
                  <w:tcW w:w="1072"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单位</w:t>
                  </w:r>
                </w:p>
              </w:tc>
              <w:tc>
                <w:tcPr>
                  <w:tcW w:w="1072"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restart"/>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涂装</w:t>
                  </w:r>
                </w:p>
              </w:tc>
              <w:tc>
                <w:tcPr>
                  <w:tcW w:w="1070" w:type="dxa"/>
                  <w:vMerge w:val="restart"/>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涂装件</w:t>
                  </w:r>
                </w:p>
              </w:tc>
              <w:tc>
                <w:tcPr>
                  <w:tcW w:w="1070" w:type="dxa"/>
                  <w:vMerge w:val="restart"/>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粉末涂料</w:t>
                  </w:r>
                </w:p>
              </w:tc>
              <w:tc>
                <w:tcPr>
                  <w:tcW w:w="1070" w:type="dxa"/>
                  <w:vMerge w:val="restart"/>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喷塑</w:t>
                  </w:r>
                </w:p>
              </w:tc>
              <w:tc>
                <w:tcPr>
                  <w:tcW w:w="1071" w:type="dxa"/>
                  <w:vMerge w:val="restart"/>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所有规模</w:t>
                  </w:r>
                </w:p>
              </w:tc>
              <w:tc>
                <w:tcPr>
                  <w:tcW w:w="1072" w:type="dxa"/>
                  <w:vMerge w:val="restart"/>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废气</w:t>
                  </w:r>
                </w:p>
              </w:tc>
              <w:tc>
                <w:tcPr>
                  <w:tcW w:w="1072"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072"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千克/吨-原料</w:t>
                  </w:r>
                </w:p>
              </w:tc>
              <w:tc>
                <w:tcPr>
                  <w:tcW w:w="1072"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noWrap w:val="0"/>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70" w:type="dxa"/>
                  <w:vMerge w:val="continue"/>
                  <w:noWrap w:val="0"/>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70" w:type="dxa"/>
                  <w:vMerge w:val="continue"/>
                  <w:noWrap w:val="0"/>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70" w:type="dxa"/>
                  <w:vMerge w:val="continue"/>
                  <w:noWrap w:val="0"/>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71" w:type="dxa"/>
                  <w:vMerge w:val="continue"/>
                  <w:noWrap w:val="0"/>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72" w:type="dxa"/>
                  <w:vMerge w:val="continue"/>
                  <w:noWrap w:val="0"/>
                  <w:vAlign w:val="center"/>
                </w:tcPr>
                <w:p>
                  <w:pPr>
                    <w:autoSpaceDE w:val="0"/>
                    <w:autoSpaceDN w:val="0"/>
                    <w:adjustRightInd w:val="0"/>
                    <w:jc w:val="center"/>
                    <w:rPr>
                      <w:rFonts w:hint="eastAsia" w:ascii="Times New Roman" w:hAnsi="Times New Roman" w:cs="Times New Roman"/>
                      <w:color w:val="auto"/>
                      <w:sz w:val="21"/>
                      <w:szCs w:val="21"/>
                      <w:lang w:val="en-US" w:eastAsia="zh-CN"/>
                    </w:rPr>
                  </w:pPr>
                </w:p>
              </w:tc>
              <w:tc>
                <w:tcPr>
                  <w:tcW w:w="1072" w:type="dxa"/>
                  <w:noWrap w:val="0"/>
                  <w:vAlign w:val="center"/>
                </w:tcPr>
                <w:p>
                  <w:pPr>
                    <w:autoSpaceDE w:val="0"/>
                    <w:autoSpaceDN w:val="0"/>
                    <w:adjustRightIn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工业废气量</w:t>
                  </w:r>
                </w:p>
              </w:tc>
              <w:tc>
                <w:tcPr>
                  <w:tcW w:w="1072"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立方米/吨-原料</w:t>
                  </w:r>
                </w:p>
              </w:tc>
              <w:tc>
                <w:tcPr>
                  <w:tcW w:w="1072" w:type="dxa"/>
                  <w:noWrap w:val="0"/>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53200</w:t>
                  </w:r>
                </w:p>
              </w:tc>
            </w:tr>
          </w:tbl>
          <w:p>
            <w:pPr>
              <w:pStyle w:val="45"/>
              <w:keepNext w:val="0"/>
              <w:keepLines w:val="0"/>
              <w:pageBreakBefore w:val="0"/>
              <w:widowControl w:val="0"/>
              <w:kinsoku/>
              <w:wordWrap/>
              <w:overflowPunct/>
              <w:topLinePunct w:val="0"/>
              <w:bidi w:val="0"/>
              <w:snapToGrid/>
              <w:spacing w:line="336"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本项目设有</w:t>
            </w:r>
            <w:r>
              <w:rPr>
                <w:rFonts w:hint="eastAsia" w:ascii="Times New Roman" w:hAnsi="Times New Roman" w:eastAsia="宋体" w:cs="Times New Roman"/>
                <w:color w:val="auto"/>
                <w:sz w:val="24"/>
                <w:szCs w:val="24"/>
                <w:lang w:eastAsia="zh-CN"/>
              </w:rPr>
              <w:t>一座小构件喷粉柜和大构件喷粉线</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其中大构件喷粉线为全封闭房体，小构件喷粉柜为半封闭房体</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大构件喷粉线</w:t>
            </w:r>
            <w:r>
              <w:rPr>
                <w:rFonts w:hint="eastAsia" w:ascii="Times New Roman" w:hAnsi="Times New Roman" w:eastAsia="宋体" w:cs="Times New Roman"/>
                <w:color w:val="auto"/>
                <w:sz w:val="24"/>
                <w:szCs w:val="24"/>
                <w:lang w:val="en-US" w:eastAsia="zh-CN"/>
              </w:rPr>
              <w:t>粉末涂料使用量为19t/a，</w:t>
            </w:r>
            <w:r>
              <w:rPr>
                <w:rFonts w:hint="eastAsia" w:ascii="Times New Roman" w:hAnsi="Times New Roman" w:eastAsia="宋体" w:cs="Times New Roman"/>
                <w:color w:val="auto"/>
                <w:sz w:val="24"/>
                <w:szCs w:val="24"/>
                <w:lang w:eastAsia="zh-CN"/>
              </w:rPr>
              <w:t>小构件喷粉柜</w:t>
            </w:r>
            <w:r>
              <w:rPr>
                <w:rFonts w:hint="eastAsia" w:ascii="Times New Roman" w:hAnsi="Times New Roman" w:eastAsia="宋体" w:cs="Times New Roman"/>
                <w:color w:val="auto"/>
                <w:sz w:val="24"/>
                <w:szCs w:val="24"/>
                <w:lang w:val="en-US" w:eastAsia="zh-CN"/>
              </w:rPr>
              <w:t>粉末涂料使用量为5.0t/a。</w:t>
            </w:r>
          </w:p>
          <w:p>
            <w:pPr>
              <w:pStyle w:val="45"/>
              <w:keepNext w:val="0"/>
              <w:keepLines w:val="0"/>
              <w:pageBreakBefore w:val="0"/>
              <w:widowControl w:val="0"/>
              <w:kinsoku/>
              <w:wordWrap/>
              <w:overflowPunct/>
              <w:topLinePunct w:val="0"/>
              <w:bidi w:val="0"/>
              <w:snapToGrid/>
              <w:spacing w:line="336" w:lineRule="auto"/>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①小构件喷粉柜</w:t>
            </w:r>
          </w:p>
          <w:p>
            <w:pPr>
              <w:pStyle w:val="45"/>
              <w:keepNext w:val="0"/>
              <w:keepLines w:val="0"/>
              <w:pageBreakBefore w:val="0"/>
              <w:widowControl w:val="0"/>
              <w:kinsoku/>
              <w:wordWrap/>
              <w:overflowPunct/>
              <w:topLinePunct w:val="0"/>
              <w:bidi w:val="0"/>
              <w:snapToGrid/>
              <w:spacing w:line="336"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小构件喷粉柜粉末涂料使用量为</w:t>
            </w:r>
            <w:r>
              <w:rPr>
                <w:rFonts w:hint="eastAsia" w:ascii="Times New Roman" w:hAnsi="Times New Roman" w:eastAsia="宋体" w:cs="Times New Roman"/>
                <w:color w:val="auto"/>
                <w:sz w:val="24"/>
                <w:szCs w:val="24"/>
                <w:lang w:val="en-US" w:eastAsia="zh-CN"/>
              </w:rPr>
              <w:t>5.0t/a，</w:t>
            </w:r>
            <w:r>
              <w:rPr>
                <w:rFonts w:hint="eastAsia" w:ascii="Times New Roman" w:hAnsi="Times New Roman" w:eastAsia="宋体" w:cs="Times New Roman"/>
                <w:color w:val="auto"/>
                <w:sz w:val="24"/>
                <w:szCs w:val="24"/>
                <w:lang w:eastAsia="zh-CN"/>
              </w:rPr>
              <w:t>喷塑</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val="en-GB"/>
              </w:rPr>
              <w:t>产生量为</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GB"/>
              </w:rPr>
              <w:t>t/a</w:t>
            </w:r>
            <w:r>
              <w:rPr>
                <w:rFonts w:hint="eastAsia" w:ascii="Times New Roman" w:hAnsi="Times New Roman" w:eastAsia="宋体" w:cs="Times New Roman"/>
                <w:color w:val="auto"/>
                <w:sz w:val="24"/>
                <w:szCs w:val="24"/>
                <w:lang w:val="en-GB" w:eastAsia="zh-CN"/>
              </w:rPr>
              <w:t>，喷粉柜设置抽风装置，收集效率设计为</w:t>
            </w:r>
            <w:r>
              <w:rPr>
                <w:rFonts w:hint="eastAsia" w:ascii="Times New Roman" w:hAnsi="Times New Roman" w:eastAsia="宋体" w:cs="Times New Roman"/>
                <w:color w:val="auto"/>
                <w:sz w:val="24"/>
                <w:szCs w:val="24"/>
                <w:lang w:val="en-US" w:eastAsia="zh-CN"/>
              </w:rPr>
              <w:t>90%，则颗粒物有组织产生量为1.35t/a。</w:t>
            </w:r>
          </w:p>
          <w:p>
            <w:pPr>
              <w:pStyle w:val="45"/>
              <w:keepNext w:val="0"/>
              <w:keepLines w:val="0"/>
              <w:pageBreakBefore w:val="0"/>
              <w:widowControl w:val="0"/>
              <w:kinsoku/>
              <w:wordWrap/>
              <w:overflowPunct/>
              <w:topLinePunct w:val="0"/>
              <w:bidi w:val="0"/>
              <w:snapToGrid/>
              <w:spacing w:line="336"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根据建设单位提供的设计资料，小构件喷粉柜产生的颗粒物拟并入到大构件喷粉线设置的“袋式除尘器”进行处理（不进入大构件喷粉线设置的粉末回收系统）。</w:t>
            </w:r>
          </w:p>
          <w:p>
            <w:pPr>
              <w:pStyle w:val="45"/>
              <w:keepNext w:val="0"/>
              <w:keepLines w:val="0"/>
              <w:pageBreakBefore w:val="0"/>
              <w:widowControl w:val="0"/>
              <w:kinsoku/>
              <w:wordWrap/>
              <w:overflowPunct/>
              <w:topLinePunct w:val="0"/>
              <w:bidi w:val="0"/>
              <w:snapToGrid/>
              <w:spacing w:line="336" w:lineRule="auto"/>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②大构件喷粉线</w:t>
            </w:r>
          </w:p>
          <w:p>
            <w:pPr>
              <w:pStyle w:val="45"/>
              <w:keepNext w:val="0"/>
              <w:keepLines w:val="0"/>
              <w:pageBreakBefore w:val="0"/>
              <w:widowControl w:val="0"/>
              <w:kinsoku/>
              <w:wordWrap/>
              <w:overflowPunct/>
              <w:topLinePunct w:val="0"/>
              <w:bidi w:val="0"/>
              <w:snapToGrid/>
              <w:spacing w:line="336" w:lineRule="auto"/>
              <w:textAlignment w:val="auto"/>
              <w:rPr>
                <w:rFonts w:hint="eastAsia" w:ascii="Times New Roman" w:hAnsi="Times New Roman" w:eastAsia="宋体" w:cs="Times New Roman"/>
                <w:color w:val="auto"/>
                <w:sz w:val="24"/>
                <w:szCs w:val="24"/>
                <w:lang w:val="en-GB" w:eastAsia="zh-CN"/>
              </w:rPr>
            </w:pPr>
            <w:r>
              <w:rPr>
                <w:rFonts w:hint="eastAsia" w:ascii="Times New Roman" w:hAnsi="Times New Roman" w:eastAsia="宋体" w:cs="Times New Roman"/>
                <w:color w:val="auto"/>
                <w:sz w:val="24"/>
                <w:szCs w:val="24"/>
                <w:lang w:eastAsia="zh-CN"/>
              </w:rPr>
              <w:t>大构件喷粉线粉末涂料使用量为</w:t>
            </w:r>
            <w:r>
              <w:rPr>
                <w:rFonts w:hint="eastAsia" w:ascii="Times New Roman" w:hAnsi="Times New Roman" w:eastAsia="宋体" w:cs="Times New Roman"/>
                <w:color w:val="auto"/>
                <w:sz w:val="24"/>
                <w:szCs w:val="24"/>
                <w:lang w:val="en-US" w:eastAsia="zh-CN"/>
              </w:rPr>
              <w:t>19t/a，</w:t>
            </w:r>
            <w:r>
              <w:rPr>
                <w:rFonts w:hint="eastAsia" w:ascii="Times New Roman" w:hAnsi="Times New Roman" w:eastAsia="宋体" w:cs="Times New Roman"/>
                <w:color w:val="auto"/>
                <w:sz w:val="24"/>
                <w:szCs w:val="24"/>
                <w:lang w:eastAsia="zh-CN"/>
              </w:rPr>
              <w:t>喷塑</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val="en-GB"/>
              </w:rPr>
              <w:t>产生量为</w:t>
            </w:r>
            <w:r>
              <w:rPr>
                <w:rFonts w:hint="eastAsia" w:ascii="Times New Roman" w:hAnsi="Times New Roman" w:eastAsia="宋体" w:cs="Times New Roman"/>
                <w:color w:val="auto"/>
                <w:sz w:val="24"/>
                <w:szCs w:val="24"/>
                <w:lang w:val="en-US" w:eastAsia="zh-CN"/>
              </w:rPr>
              <w:t>5.7</w:t>
            </w:r>
            <w:r>
              <w:rPr>
                <w:rFonts w:hint="default" w:ascii="Times New Roman" w:hAnsi="Times New Roman" w:eastAsia="宋体" w:cs="Times New Roman"/>
                <w:color w:val="auto"/>
                <w:sz w:val="24"/>
                <w:szCs w:val="24"/>
                <w:lang w:val="en-GB"/>
              </w:rPr>
              <w:t>t/a</w:t>
            </w:r>
            <w:r>
              <w:rPr>
                <w:rFonts w:hint="eastAsia" w:ascii="Times New Roman" w:hAnsi="Times New Roman" w:eastAsia="宋体" w:cs="Times New Roman"/>
                <w:color w:val="auto"/>
                <w:sz w:val="24"/>
                <w:szCs w:val="24"/>
                <w:lang w:val="en-GB" w:eastAsia="zh-CN"/>
              </w:rPr>
              <w:t>，收集效率设计为</w:t>
            </w:r>
            <w:r>
              <w:rPr>
                <w:rFonts w:hint="eastAsia" w:ascii="Times New Roman" w:hAnsi="Times New Roman" w:eastAsia="宋体" w:cs="Times New Roman"/>
                <w:color w:val="auto"/>
                <w:sz w:val="24"/>
                <w:szCs w:val="24"/>
                <w:lang w:val="en-US" w:eastAsia="zh-CN"/>
              </w:rPr>
              <w:t>95%，则颗粒物有组织产生量为5.415t/a</w:t>
            </w:r>
            <w:r>
              <w:rPr>
                <w:rFonts w:hint="eastAsia" w:ascii="Times New Roman" w:hAnsi="Times New Roman" w:eastAsia="宋体" w:cs="Times New Roman"/>
                <w:color w:val="auto"/>
                <w:sz w:val="24"/>
                <w:szCs w:val="24"/>
                <w:lang w:val="en-GB" w:eastAsia="zh-CN"/>
              </w:rPr>
              <w:t>。</w:t>
            </w:r>
          </w:p>
          <w:p>
            <w:pPr>
              <w:pStyle w:val="45"/>
              <w:keepNext w:val="0"/>
              <w:keepLines w:val="0"/>
              <w:pageBreakBefore w:val="0"/>
              <w:widowControl w:val="0"/>
              <w:kinsoku/>
              <w:wordWrap/>
              <w:overflowPunct/>
              <w:topLinePunct w:val="0"/>
              <w:bidi w:val="0"/>
              <w:snapToGrid/>
              <w:spacing w:line="336"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小构件喷粉柜及</w:t>
            </w:r>
            <w:r>
              <w:rPr>
                <w:rFonts w:hint="eastAsia" w:ascii="Times New Roman" w:hAnsi="Times New Roman" w:eastAsia="宋体" w:cs="Times New Roman"/>
                <w:color w:val="auto"/>
                <w:sz w:val="24"/>
                <w:szCs w:val="24"/>
                <w:lang w:eastAsia="zh-CN"/>
              </w:rPr>
              <w:t>大构件喷粉线</w:t>
            </w:r>
            <w:r>
              <w:rPr>
                <w:rFonts w:hint="eastAsia" w:ascii="Times New Roman" w:hAnsi="Times New Roman" w:eastAsia="宋体" w:cs="Times New Roman"/>
                <w:color w:val="auto"/>
                <w:sz w:val="24"/>
                <w:szCs w:val="24"/>
                <w:lang w:val="en-GB" w:eastAsia="zh-CN"/>
              </w:rPr>
              <w:t>颗粒物有组织产生总量为</w:t>
            </w:r>
            <w:r>
              <w:rPr>
                <w:rFonts w:hint="eastAsia" w:ascii="Times New Roman" w:hAnsi="Times New Roman" w:eastAsia="宋体" w:cs="Times New Roman"/>
                <w:color w:val="auto"/>
                <w:sz w:val="24"/>
                <w:szCs w:val="24"/>
                <w:lang w:val="en-US" w:eastAsia="zh-CN"/>
              </w:rPr>
              <w:t>6.765t/a，进入</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GB" w:eastAsia="zh-CN"/>
              </w:rPr>
              <w:t>大旋风粉末回收系统</w:t>
            </w:r>
            <w:r>
              <w:rPr>
                <w:rFonts w:hint="eastAsia" w:ascii="Times New Roman" w:hAnsi="Times New Roman" w:eastAsia="宋体" w:cs="Times New Roman"/>
                <w:color w:val="auto"/>
                <w:sz w:val="24"/>
                <w:szCs w:val="24"/>
                <w:lang w:val="en-US" w:eastAsia="zh-CN"/>
              </w:rPr>
              <w:t>+袋式除尘器</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处理达标排放，</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GB" w:eastAsia="zh-CN"/>
              </w:rPr>
              <w:t>大旋风粉末回收系统</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粉末回收效率设计为60%，则大构件喷粉线进入“袋式除尘器”的颗粒物量为2.166t/a，“袋式除尘器”除尘效率为95%，抽风量为25000m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/h，年运行2000h，则进入到“袋式除尘器”颗粒物的量为3.516t/a，</w:t>
            </w:r>
            <w:r>
              <w:rPr>
                <w:rFonts w:hint="eastAsia" w:ascii="Times New Roman" w:hAnsi="Times New Roman" w:eastAsia="宋体" w:cs="Times New Roman"/>
                <w:color w:val="auto"/>
                <w:sz w:val="24"/>
                <w:szCs w:val="24"/>
                <w:lang w:eastAsia="zh-CN"/>
              </w:rPr>
              <w:t>产生</w:t>
            </w:r>
            <w:r>
              <w:rPr>
                <w:rFonts w:hint="default" w:ascii="Times New Roman" w:hAnsi="Times New Roman" w:eastAsia="宋体" w:cs="Times New Roman"/>
                <w:color w:val="auto"/>
                <w:sz w:val="24"/>
                <w:szCs w:val="24"/>
              </w:rPr>
              <w:t>速率</w:t>
            </w:r>
            <w:r>
              <w:rPr>
                <w:rFonts w:hint="default"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1.758</w:t>
            </w:r>
            <w:r>
              <w:rPr>
                <w:rFonts w:hint="default"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lang w:eastAsia="zh-CN"/>
              </w:rPr>
              <w:t>产生</w:t>
            </w:r>
            <w:r>
              <w:rPr>
                <w:rFonts w:hint="default" w:ascii="Times New Roman" w:hAnsi="Times New Roman" w:eastAsia="宋体" w:cs="Times New Roman"/>
                <w:color w:val="auto"/>
                <w:sz w:val="24"/>
                <w:szCs w:val="24"/>
              </w:rPr>
              <w:t>浓度为</w:t>
            </w:r>
            <w:r>
              <w:rPr>
                <w:rFonts w:hint="eastAsia" w:ascii="Times New Roman" w:hAnsi="Times New Roman" w:eastAsia="宋体" w:cs="Times New Roman"/>
                <w:color w:val="auto"/>
                <w:sz w:val="24"/>
                <w:szCs w:val="24"/>
                <w:lang w:val="en-US" w:eastAsia="zh-CN"/>
              </w:rPr>
              <w:t>70.32</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eastAsia="zh-CN"/>
              </w:rPr>
              <w:t>经</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GB" w:eastAsia="zh-CN"/>
              </w:rPr>
              <w:t>大旋风粉末回收系统</w:t>
            </w:r>
            <w:r>
              <w:rPr>
                <w:rFonts w:hint="eastAsia" w:ascii="Times New Roman" w:hAnsi="Times New Roman" w:eastAsia="宋体" w:cs="Times New Roman"/>
                <w:color w:val="auto"/>
                <w:sz w:val="24"/>
                <w:szCs w:val="24"/>
                <w:lang w:val="en-US" w:eastAsia="zh-CN"/>
              </w:rPr>
              <w:t>+袋式除尘器</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b w:val="0"/>
                <w:bCs w:val="0"/>
                <w:color w:val="auto"/>
                <w:sz w:val="24"/>
                <w:szCs w:val="24"/>
                <w:lang w:eastAsia="zh-CN"/>
              </w:rPr>
              <w:t>处理后，颗粒物</w:t>
            </w:r>
            <w:r>
              <w:rPr>
                <w:rFonts w:hint="default" w:ascii="Times New Roman" w:hAnsi="Times New Roman" w:eastAsia="宋体" w:cs="Times New Roman"/>
                <w:b w:val="0"/>
                <w:bCs w:val="0"/>
                <w:color w:val="auto"/>
                <w:sz w:val="24"/>
                <w:szCs w:val="24"/>
              </w:rPr>
              <w:t>排放量为0</w:t>
            </w:r>
            <w:r>
              <w:rPr>
                <w:rFonts w:hint="eastAsia" w:ascii="Times New Roman" w:hAnsi="Times New Roman" w:eastAsia="宋体" w:cs="Times New Roman"/>
                <w:b w:val="0"/>
                <w:bCs w:val="0"/>
                <w:color w:val="auto"/>
                <w:sz w:val="24"/>
                <w:szCs w:val="24"/>
                <w:lang w:val="en-US" w:eastAsia="zh-CN"/>
              </w:rPr>
              <w:t>.1758</w:t>
            </w:r>
            <w:r>
              <w:rPr>
                <w:rFonts w:hint="default" w:ascii="Times New Roman" w:hAnsi="Times New Roman" w:eastAsia="宋体" w:cs="Times New Roman"/>
                <w:b w:val="0"/>
                <w:bCs w:val="0"/>
                <w:color w:val="auto"/>
                <w:sz w:val="24"/>
                <w:szCs w:val="24"/>
                <w:lang w:val="en-GB"/>
              </w:rPr>
              <w:t>t/a</w:t>
            </w:r>
            <w:r>
              <w:rPr>
                <w:rFonts w:hint="eastAsia" w:ascii="Times New Roman" w:hAnsi="Times New Roman" w:eastAsia="宋体" w:cs="Times New Roman"/>
                <w:b w:val="0"/>
                <w:bCs w:val="0"/>
                <w:color w:val="auto"/>
                <w:sz w:val="24"/>
                <w:szCs w:val="24"/>
                <w:lang w:val="en-GB" w:eastAsia="zh-CN"/>
              </w:rPr>
              <w:t>，</w:t>
            </w:r>
            <w:r>
              <w:rPr>
                <w:rFonts w:hint="eastAsia" w:ascii="Times New Roman" w:hAnsi="Times New Roman" w:eastAsia="宋体" w:cs="Times New Roman"/>
                <w:color w:val="auto"/>
                <w:sz w:val="24"/>
                <w:szCs w:val="24"/>
                <w:lang w:eastAsia="zh-CN"/>
              </w:rPr>
              <w:t>排放</w:t>
            </w:r>
            <w:r>
              <w:rPr>
                <w:rFonts w:hint="default" w:ascii="Times New Roman" w:hAnsi="Times New Roman" w:eastAsia="宋体" w:cs="Times New Roman"/>
                <w:color w:val="auto"/>
                <w:sz w:val="24"/>
                <w:szCs w:val="24"/>
              </w:rPr>
              <w:t>速率</w:t>
            </w:r>
            <w:r>
              <w:rPr>
                <w:rFonts w:hint="default"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0.0879</w:t>
            </w:r>
            <w:r>
              <w:rPr>
                <w:rFonts w:hint="default"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lang w:eastAsia="zh-CN"/>
              </w:rPr>
              <w:t>排放</w:t>
            </w:r>
            <w:r>
              <w:rPr>
                <w:rFonts w:hint="default" w:ascii="Times New Roman" w:hAnsi="Times New Roman" w:eastAsia="宋体" w:cs="Times New Roman"/>
                <w:color w:val="auto"/>
                <w:sz w:val="24"/>
                <w:szCs w:val="24"/>
              </w:rPr>
              <w:t>浓度为</w:t>
            </w:r>
            <w:r>
              <w:rPr>
                <w:rFonts w:hint="eastAsia" w:ascii="Times New Roman" w:hAnsi="Times New Roman" w:eastAsia="宋体" w:cs="Times New Roman"/>
                <w:color w:val="auto"/>
                <w:sz w:val="24"/>
                <w:szCs w:val="24"/>
                <w:lang w:val="en-US" w:eastAsia="zh-CN"/>
              </w:rPr>
              <w:t>3.516</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en-GB"/>
              </w:rPr>
              <w:t>。</w:t>
            </w:r>
            <w:r>
              <w:rPr>
                <w:rFonts w:hint="eastAsia" w:ascii="Times New Roman" w:hAnsi="Times New Roman" w:eastAsia="宋体" w:cs="Times New Roman"/>
                <w:color w:val="auto"/>
                <w:sz w:val="24"/>
                <w:szCs w:val="24"/>
                <w:lang w:eastAsia="zh-CN"/>
              </w:rPr>
              <w:t>大构件喷粉线</w:t>
            </w:r>
            <w:r>
              <w:rPr>
                <w:rFonts w:hint="eastAsia" w:ascii="Times New Roman" w:hAnsi="Times New Roman" w:eastAsia="宋体" w:cs="Times New Roman"/>
                <w:color w:val="auto"/>
                <w:sz w:val="24"/>
                <w:szCs w:val="24"/>
                <w:lang w:val="en-GB" w:eastAsia="zh-CN"/>
              </w:rPr>
              <w:t>产生的颗粒物经</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GB" w:eastAsia="zh-CN"/>
              </w:rPr>
              <w:t>大旋风粉末回收系统</w:t>
            </w:r>
            <w:r>
              <w:rPr>
                <w:rFonts w:hint="eastAsia" w:ascii="Times New Roman" w:hAnsi="Times New Roman" w:eastAsia="宋体" w:cs="Times New Roman"/>
                <w:color w:val="auto"/>
                <w:sz w:val="24"/>
                <w:szCs w:val="24"/>
                <w:lang w:val="en-US" w:eastAsia="zh-CN"/>
              </w:rPr>
              <w:t>+袋式除尘器</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GB" w:eastAsia="zh-CN"/>
              </w:rPr>
              <w:t>处理后经</w:t>
            </w:r>
            <w:r>
              <w:rPr>
                <w:rFonts w:hint="eastAsia" w:ascii="Times New Roman" w:hAnsi="Times New Roman" w:eastAsia="宋体" w:cs="Times New Roman"/>
                <w:color w:val="auto"/>
                <w:sz w:val="24"/>
                <w:szCs w:val="24"/>
                <w:lang w:val="en-US" w:eastAsia="zh-CN"/>
              </w:rPr>
              <w:t>1根15m高排气筒（</w:t>
            </w:r>
            <w:r>
              <w:rPr>
                <w:rFonts w:hint="eastAsia" w:ascii="Times New Roman" w:hAnsi="Times New Roman" w:eastAsia="宋体" w:cs="Times New Roman"/>
                <w:b/>
                <w:bCs/>
                <w:color w:val="auto"/>
                <w:sz w:val="24"/>
                <w:szCs w:val="24"/>
                <w:lang w:val="en-US" w:eastAsia="zh-CN"/>
              </w:rPr>
              <w:t>DA003</w:t>
            </w:r>
            <w:r>
              <w:rPr>
                <w:rFonts w:hint="eastAsia" w:ascii="Times New Roman" w:hAnsi="Times New Roman" w:eastAsia="宋体" w:cs="Times New Roman"/>
                <w:color w:val="auto"/>
                <w:sz w:val="24"/>
                <w:szCs w:val="24"/>
                <w:lang w:val="en-US" w:eastAsia="zh-CN"/>
              </w:rPr>
              <w:t>）排放。</w:t>
            </w:r>
          </w:p>
          <w:p>
            <w:pPr>
              <w:pStyle w:val="45"/>
              <w:keepNext w:val="0"/>
              <w:keepLines w:val="0"/>
              <w:pageBreakBefore w:val="0"/>
              <w:widowControl w:val="0"/>
              <w:kinsoku/>
              <w:wordWrap/>
              <w:overflowPunct/>
              <w:topLinePunct w:val="0"/>
              <w:bidi w:val="0"/>
              <w:snapToGrid/>
              <w:spacing w:line="336"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未被收集的颗粒物量为0.435t/a，排放速率为0.2175kg/h。</w:t>
            </w:r>
          </w:p>
          <w:p>
            <w:pPr>
              <w:pStyle w:val="46"/>
              <w:spacing w:line="360" w:lineRule="auto"/>
              <w:ind w:firstLine="480"/>
              <w:rPr>
                <w:rFonts w:hint="default" w:ascii="Times New Roman" w:hAnsi="Times New Roman" w:cs="Times New Roman"/>
                <w:color w:val="auto"/>
                <w:lang w:val="en-US" w:eastAsia="zh-CN"/>
              </w:rPr>
            </w:pPr>
            <w:r>
              <w:rPr>
                <w:rFonts w:hint="eastAsia"/>
                <w:color w:val="auto"/>
                <w:lang w:val="en-US" w:eastAsia="zh-CN"/>
              </w:rPr>
              <w:t>喷粉废气产生、收集、处理</w:t>
            </w:r>
            <w:r>
              <w:rPr>
                <w:rFonts w:hint="default" w:ascii="Times New Roman" w:hAnsi="Times New Roman" w:cs="Times New Roman"/>
                <w:color w:val="auto"/>
                <w:lang w:val="en-US" w:eastAsia="zh-CN"/>
              </w:rPr>
              <w:t>排放示意图见图4.</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w:t>
            </w:r>
          </w:p>
          <w:p>
            <w:pPr>
              <w:spacing w:line="360" w:lineRule="auto"/>
              <w:jc w:val="center"/>
              <w:rPr>
                <w:rFonts w:hint="eastAsia" w:ascii="Times New Roman" w:hAnsi="Times New Roman" w:cs="Times New Roman"/>
                <w:color w:val="auto"/>
                <w:sz w:val="24"/>
              </w:rPr>
            </w:pPr>
            <w:r>
              <w:rPr>
                <w:rFonts w:hint="eastAsia" w:ascii="Times New Roman" w:hAnsi="Times New Roman" w:cs="Times New Roman"/>
                <w:color w:val="auto"/>
                <w:sz w:val="24"/>
              </w:rPr>
              <w:object>
                <v:shape id="_x0000_i1032" o:spt="75" type="#_x0000_t75" style="height:102.1pt;width:461.05pt;" o:ole="t" filled="f" o:preferrelative="t" stroked="f" coordsize="21600,21600">
                  <v:path/>
                  <v:fill on="f" focussize="0,0"/>
                  <v:stroke on="f"/>
                  <v:imagedata r:id="rId22" o:title=""/>
                  <o:lock v:ext="edit" aspectratio="t"/>
                  <w10:wrap type="none"/>
                  <w10:anchorlock/>
                </v:shape>
                <o:OLEObject Type="Embed" ProgID="RFFlow4" ShapeID="_x0000_i1032" DrawAspect="Content" ObjectID="_1468075732" r:id="rId21">
                  <o:LockedField>false</o:LockedField>
                </o:OLEObject>
              </w:object>
            </w:r>
          </w:p>
          <w:p>
            <w:pPr>
              <w:spacing w:line="360" w:lineRule="auto"/>
              <w:jc w:val="center"/>
              <w:rPr>
                <w:rFonts w:ascii="Times New Roman" w:hAnsi="Times New Roman" w:cs="Times New Roman"/>
                <w:b/>
                <w:bCs/>
                <w:color w:val="auto"/>
                <w:sz w:val="24"/>
                <w:szCs w:val="24"/>
              </w:rPr>
            </w:pPr>
            <w:r>
              <w:rPr>
                <w:rFonts w:hint="eastAsia" w:ascii="Times New Roman" w:hAnsi="Times New Roman" w:cs="Times New Roman"/>
                <w:b/>
                <w:bCs/>
                <w:color w:val="auto"/>
                <w:sz w:val="24"/>
                <w:szCs w:val="24"/>
              </w:rPr>
              <w:t>图4</w:t>
            </w:r>
            <w:r>
              <w:rPr>
                <w:rFonts w:hint="eastAsia" w:ascii="Times New Roman" w:hAnsi="Times New Roman" w:cs="Times New Roman"/>
                <w:b/>
                <w:bCs/>
                <w:color w:val="auto"/>
                <w:sz w:val="24"/>
                <w:szCs w:val="24"/>
                <w:lang w:val="en-US" w:eastAsia="zh-CN"/>
              </w:rPr>
              <w:t xml:space="preserve">.4  </w:t>
            </w:r>
            <w:r>
              <w:rPr>
                <w:rFonts w:hint="eastAsia"/>
                <w:b/>
                <w:bCs/>
                <w:color w:val="auto"/>
                <w:sz w:val="24"/>
                <w:szCs w:val="24"/>
                <w:lang w:val="en-US" w:eastAsia="zh-CN"/>
              </w:rPr>
              <w:t>喷粉废气产生、收集、处理</w:t>
            </w:r>
            <w:r>
              <w:rPr>
                <w:rFonts w:hint="default" w:ascii="Times New Roman" w:hAnsi="Times New Roman" w:cs="Times New Roman"/>
                <w:b/>
                <w:bCs/>
                <w:color w:val="auto"/>
                <w:sz w:val="24"/>
                <w:szCs w:val="24"/>
                <w:lang w:val="en-US" w:eastAsia="zh-CN"/>
              </w:rPr>
              <w:t>排放示意图</w:t>
            </w:r>
          </w:p>
          <w:p>
            <w:pPr>
              <w:pStyle w:val="45"/>
              <w:keepNext w:val="0"/>
              <w:keepLines w:val="0"/>
              <w:pageBreakBefore w:val="0"/>
              <w:widowControl w:val="0"/>
              <w:kinsoku/>
              <w:wordWrap/>
              <w:overflowPunct/>
              <w:topLinePunct w:val="0"/>
              <w:bidi w:val="0"/>
              <w:snapToGrid/>
              <w:spacing w:line="336"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旋风布袋二级回收器示意图见图4.5。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rPr>
            </w:pPr>
            <w:r>
              <w:rPr>
                <w:color w:val="auto"/>
              </w:rPr>
              <w:drawing>
                <wp:inline distT="0" distB="0" distL="114300" distR="114300">
                  <wp:extent cx="3657600" cy="2964815"/>
                  <wp:effectExtent l="0" t="0" r="0" b="698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3657600" cy="2964815"/>
                          </a:xfrm>
                          <a:prstGeom prst="rect">
                            <a:avLst/>
                          </a:prstGeom>
                          <a:noFill/>
                          <a:ln>
                            <a:noFill/>
                          </a:ln>
                        </pic:spPr>
                      </pic:pic>
                    </a:graphicData>
                  </a:graphic>
                </wp:inline>
              </w:drawing>
            </w:r>
          </w:p>
          <w:p>
            <w:pPr>
              <w:pStyle w:val="21"/>
              <w:spacing w:line="360" w:lineRule="auto"/>
              <w:jc w:val="center"/>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图4.</w:t>
            </w:r>
            <w:r>
              <w:rPr>
                <w:rFonts w:hint="eastAsia" w:eastAsia="宋体" w:cs="Times New Roman"/>
                <w:b/>
                <w:bCs/>
                <w:color w:val="auto"/>
                <w:kern w:val="2"/>
                <w:sz w:val="24"/>
                <w:szCs w:val="24"/>
                <w:lang w:val="en-US" w:eastAsia="zh-CN" w:bidi="ar-SA"/>
              </w:rPr>
              <w:t>5</w:t>
            </w:r>
            <w:r>
              <w:rPr>
                <w:rFonts w:hint="eastAsia" w:ascii="Times New Roman" w:hAnsi="Times New Roman" w:eastAsia="宋体" w:cs="Times New Roman"/>
                <w:b/>
                <w:bCs/>
                <w:color w:val="auto"/>
                <w:kern w:val="2"/>
                <w:sz w:val="24"/>
                <w:szCs w:val="24"/>
                <w:lang w:val="en-US" w:eastAsia="zh-CN" w:bidi="ar-SA"/>
              </w:rPr>
              <w:t xml:space="preserve">  旋风布袋二级回收器示意图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（5）固化-非甲烷总烃（G</w:t>
            </w:r>
            <w:r>
              <w:rPr>
                <w:rFonts w:hint="eastAsia" w:ascii="Times New Roman" w:hAnsi="Times New Roman" w:eastAsia="宋体" w:cs="Times New Roman"/>
                <w:color w:val="auto"/>
                <w:kern w:val="2"/>
                <w:sz w:val="24"/>
                <w:szCs w:val="24"/>
                <w:vertAlign w:val="subscript"/>
                <w:lang w:val="en-US" w:eastAsia="zh-CN" w:bidi="ar-SA"/>
              </w:rPr>
              <w:t>1-5</w:t>
            </w:r>
            <w:r>
              <w:rPr>
                <w:rFonts w:hint="eastAsia" w:ascii="Times New Roman" w:hAnsi="Times New Roman" w:eastAsia="宋体" w:cs="Times New Roman"/>
                <w:color w:val="auto"/>
                <w:kern w:val="2"/>
                <w:sz w:val="24"/>
                <w:szCs w:val="24"/>
                <w:lang w:val="en-US" w:eastAsia="zh-CN" w:bidi="ar-SA"/>
              </w:rPr>
              <w:t>、G</w:t>
            </w:r>
            <w:r>
              <w:rPr>
                <w:rFonts w:hint="eastAsia" w:ascii="Times New Roman" w:hAnsi="Times New Roman" w:eastAsia="宋体" w:cs="Times New Roman"/>
                <w:color w:val="auto"/>
                <w:kern w:val="2"/>
                <w:sz w:val="24"/>
                <w:szCs w:val="24"/>
                <w:vertAlign w:val="subscript"/>
                <w:lang w:val="en-US" w:eastAsia="zh-CN" w:bidi="ar-SA"/>
              </w:rPr>
              <w:t>4-5</w:t>
            </w:r>
            <w:r>
              <w:rPr>
                <w:rFonts w:hint="eastAsia" w:ascii="Times New Roman" w:hAnsi="Times New Roman" w:eastAsia="宋体" w:cs="Times New Roman"/>
                <w:color w:val="auto"/>
                <w:kern w:val="2"/>
                <w:sz w:val="24"/>
                <w:szCs w:val="24"/>
                <w:lang w:val="en-US" w:eastAsia="zh-CN" w:bidi="ar-SA"/>
              </w:rPr>
              <w:t>）</w:t>
            </w:r>
          </w:p>
          <w:p>
            <w:pPr>
              <w:pStyle w:val="29"/>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喷</w:t>
            </w:r>
            <w:r>
              <w:rPr>
                <w:rFonts w:hint="eastAsia" w:ascii="Times New Roman" w:hAnsi="Times New Roman" w:eastAsia="宋体" w:cs="Times New Roman"/>
                <w:color w:val="auto"/>
                <w:kern w:val="2"/>
                <w:sz w:val="24"/>
                <w:szCs w:val="24"/>
                <w:lang w:val="en-US" w:eastAsia="zh-CN" w:bidi="ar-SA"/>
              </w:rPr>
              <w:t>塑</w:t>
            </w:r>
            <w:r>
              <w:rPr>
                <w:rFonts w:hint="default" w:ascii="Times New Roman" w:hAnsi="Times New Roman" w:eastAsia="宋体" w:cs="Times New Roman"/>
                <w:color w:val="auto"/>
                <w:kern w:val="2"/>
                <w:sz w:val="24"/>
                <w:szCs w:val="24"/>
                <w:lang w:val="en-US" w:eastAsia="zh-CN" w:bidi="ar-SA"/>
              </w:rPr>
              <w:t>后的</w:t>
            </w:r>
            <w:r>
              <w:rPr>
                <w:rFonts w:hint="eastAsia" w:ascii="Times New Roman" w:hAnsi="Times New Roman" w:cs="Times New Roman"/>
                <w:color w:val="auto"/>
                <w:kern w:val="2"/>
                <w:sz w:val="24"/>
                <w:szCs w:val="24"/>
                <w:lang w:val="en-US" w:eastAsia="zh-CN" w:bidi="ar-SA"/>
              </w:rPr>
              <w:t>结构件</w:t>
            </w:r>
            <w:r>
              <w:rPr>
                <w:rFonts w:hint="default" w:ascii="Times New Roman" w:hAnsi="Times New Roman" w:eastAsia="宋体" w:cs="Times New Roman"/>
                <w:color w:val="auto"/>
                <w:kern w:val="2"/>
                <w:sz w:val="24"/>
                <w:szCs w:val="24"/>
                <w:lang w:val="en-US" w:eastAsia="zh-CN" w:bidi="ar-SA"/>
              </w:rPr>
              <w:t>，由于</w:t>
            </w:r>
            <w:r>
              <w:rPr>
                <w:rFonts w:hint="eastAsia" w:ascii="Times New Roman" w:hAnsi="Times New Roman" w:eastAsia="宋体" w:cs="Times New Roman"/>
                <w:color w:val="auto"/>
                <w:kern w:val="2"/>
                <w:sz w:val="24"/>
                <w:szCs w:val="24"/>
                <w:lang w:val="en-US" w:eastAsia="zh-CN" w:bidi="ar-SA"/>
              </w:rPr>
              <w:t>粉末涂料</w:t>
            </w:r>
            <w:r>
              <w:rPr>
                <w:rFonts w:hint="default" w:ascii="Times New Roman" w:hAnsi="Times New Roman" w:eastAsia="宋体" w:cs="Times New Roman"/>
                <w:color w:val="auto"/>
                <w:kern w:val="2"/>
                <w:sz w:val="24"/>
                <w:szCs w:val="24"/>
                <w:lang w:val="en-US" w:eastAsia="zh-CN" w:bidi="ar-SA"/>
              </w:rPr>
              <w:t>的附着强度不够，需在高温下</w:t>
            </w:r>
            <w:r>
              <w:rPr>
                <w:rFonts w:hint="eastAsia" w:ascii="Times New Roman" w:hAnsi="Times New Roman" w:eastAsia="宋体" w:cs="Times New Roman"/>
                <w:color w:val="auto"/>
                <w:kern w:val="2"/>
                <w:sz w:val="24"/>
                <w:szCs w:val="24"/>
                <w:lang w:val="en-US" w:eastAsia="zh-CN" w:bidi="ar-SA"/>
              </w:rPr>
              <w:t>粉末涂料</w:t>
            </w:r>
            <w:r>
              <w:rPr>
                <w:rFonts w:hint="default" w:ascii="Times New Roman" w:hAnsi="Times New Roman" w:eastAsia="宋体" w:cs="Times New Roman"/>
                <w:color w:val="auto"/>
                <w:kern w:val="2"/>
                <w:sz w:val="24"/>
                <w:szCs w:val="24"/>
                <w:lang w:val="en-US" w:eastAsia="zh-CN" w:bidi="ar-SA"/>
              </w:rPr>
              <w:t>熔融附着在</w:t>
            </w:r>
            <w:r>
              <w:rPr>
                <w:rFonts w:hint="eastAsia" w:ascii="Times New Roman" w:hAnsi="Times New Roman" w:cs="Times New Roman"/>
                <w:color w:val="auto"/>
                <w:kern w:val="2"/>
                <w:sz w:val="24"/>
                <w:szCs w:val="24"/>
                <w:lang w:val="en-US" w:eastAsia="zh-CN" w:bidi="ar-SA"/>
              </w:rPr>
              <w:t>结构件</w:t>
            </w:r>
            <w:r>
              <w:rPr>
                <w:rFonts w:hint="default" w:ascii="Times New Roman" w:hAnsi="Times New Roman" w:eastAsia="宋体" w:cs="Times New Roman"/>
                <w:color w:val="auto"/>
                <w:kern w:val="2"/>
                <w:sz w:val="24"/>
                <w:szCs w:val="24"/>
                <w:lang w:val="en-US" w:eastAsia="zh-CN" w:bidi="ar-SA"/>
              </w:rPr>
              <w:t>表面，保证高强度的附着力。</w:t>
            </w:r>
          </w:p>
          <w:p>
            <w:pPr>
              <w:pStyle w:val="45"/>
              <w:keepNext w:val="0"/>
              <w:keepLines w:val="0"/>
              <w:pageBreakBefore w:val="0"/>
              <w:widowControl w:val="0"/>
              <w:kinsoku/>
              <w:wordWrap/>
              <w:overflowPunct/>
              <w:topLinePunct w:val="0"/>
              <w:bidi w:val="0"/>
              <w:snapToGrid/>
              <w:spacing w:line="336" w:lineRule="auto"/>
              <w:textAlignment w:val="auto"/>
              <w:rPr>
                <w:rFonts w:hint="eastAsia" w:ascii="Times New Roman" w:hAnsi="Times New Roman" w:eastAsia="宋体" w:cs="Times New Roman"/>
                <w:bCs/>
                <w:color w:val="auto"/>
                <w:sz w:val="24"/>
                <w:szCs w:val="24"/>
                <w:lang w:val="zh-CN"/>
              </w:rPr>
            </w:pPr>
            <w:r>
              <w:rPr>
                <w:rFonts w:hint="eastAsia" w:ascii="Times New Roman" w:hAnsi="Times New Roman" w:eastAsia="宋体" w:cs="Times New Roman"/>
                <w:color w:val="auto"/>
                <w:kern w:val="2"/>
                <w:sz w:val="24"/>
                <w:szCs w:val="24"/>
                <w:lang w:val="zh-CN" w:eastAsia="zh-CN" w:bidi="ar-SA"/>
              </w:rPr>
              <w:t>本项目固化工序污染物产排系数参考《排放源统计调查产排污核算方法和系数手册》中“33金属制品业、34通用设备制造业、35专</w:t>
            </w:r>
            <w:r>
              <w:rPr>
                <w:rFonts w:hint="eastAsia" w:ascii="Times New Roman" w:hAnsi="Times New Roman" w:eastAsia="宋体" w:cs="Times New Roman"/>
                <w:bCs/>
                <w:color w:val="auto"/>
                <w:sz w:val="24"/>
                <w:szCs w:val="24"/>
                <w:lang w:val="zh-CN"/>
              </w:rPr>
              <w:t>用设备制造业、36汽车制造业、37铁路、船舶、航空航天和其他运输设备制造业、431金属制品修理、432通用设备修理、433专用设备修理、434铁路、船舶、航空航天等运输设备修理（不包括电镀工艺）行业系数表”，见表</w:t>
            </w:r>
            <w:r>
              <w:rPr>
                <w:rFonts w:hint="eastAsia" w:ascii="Times New Roman" w:hAnsi="Times New Roman" w:eastAsia="宋体" w:cs="Times New Roman"/>
                <w:bCs/>
                <w:color w:val="auto"/>
                <w:sz w:val="24"/>
                <w:szCs w:val="24"/>
                <w:lang w:val="en-US" w:eastAsia="zh-CN"/>
              </w:rPr>
              <w:t>4.6</w:t>
            </w:r>
            <w:r>
              <w:rPr>
                <w:rFonts w:hint="eastAsia" w:ascii="Times New Roman" w:hAnsi="Times New Roman" w:eastAsia="宋体" w:cs="Times New Roman"/>
                <w:bCs/>
                <w:color w:val="auto"/>
                <w:sz w:val="24"/>
                <w:szCs w:val="24"/>
                <w:lang w:val="zh-CN"/>
              </w:rPr>
              <w:t>。</w:t>
            </w:r>
          </w:p>
          <w:p>
            <w:pPr>
              <w:pStyle w:val="45"/>
              <w:spacing w:line="240" w:lineRule="auto"/>
              <w:ind w:left="0" w:leftChars="0" w:firstLine="0" w:firstLineChars="0"/>
              <w:jc w:val="center"/>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zh-CN"/>
              </w:rPr>
              <w:t>表</w:t>
            </w:r>
            <w:r>
              <w:rPr>
                <w:rFonts w:hint="eastAsia" w:ascii="Times New Roman" w:hAnsi="Times New Roman" w:eastAsia="宋体" w:cs="Times New Roman"/>
                <w:b/>
                <w:bCs w:val="0"/>
                <w:color w:val="auto"/>
                <w:sz w:val="24"/>
                <w:szCs w:val="24"/>
                <w:lang w:val="en-US" w:eastAsia="zh-CN"/>
              </w:rPr>
              <w:t>4.6  14涂装</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70"/>
              <w:gridCol w:w="1070"/>
              <w:gridCol w:w="1070"/>
              <w:gridCol w:w="1071"/>
              <w:gridCol w:w="1072"/>
              <w:gridCol w:w="1072"/>
              <w:gridCol w:w="107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工段名称</w:t>
                  </w:r>
                </w:p>
              </w:tc>
              <w:tc>
                <w:tcPr>
                  <w:tcW w:w="1070" w:type="dxa"/>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产品名称</w:t>
                  </w:r>
                </w:p>
              </w:tc>
              <w:tc>
                <w:tcPr>
                  <w:tcW w:w="1070" w:type="dxa"/>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原料名称</w:t>
                  </w:r>
                </w:p>
              </w:tc>
              <w:tc>
                <w:tcPr>
                  <w:tcW w:w="1070" w:type="dxa"/>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工艺名称</w:t>
                  </w:r>
                </w:p>
              </w:tc>
              <w:tc>
                <w:tcPr>
                  <w:tcW w:w="1071" w:type="dxa"/>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规模等级</w:t>
                  </w:r>
                </w:p>
              </w:tc>
              <w:tc>
                <w:tcPr>
                  <w:tcW w:w="2144" w:type="dxa"/>
                  <w:gridSpan w:val="2"/>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污染物指标</w:t>
                  </w:r>
                </w:p>
              </w:tc>
              <w:tc>
                <w:tcPr>
                  <w:tcW w:w="1072" w:type="dxa"/>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单位</w:t>
                  </w:r>
                </w:p>
              </w:tc>
              <w:tc>
                <w:tcPr>
                  <w:tcW w:w="1072" w:type="dxa"/>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restart"/>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涂装</w:t>
                  </w:r>
                </w:p>
              </w:tc>
              <w:tc>
                <w:tcPr>
                  <w:tcW w:w="1070" w:type="dxa"/>
                  <w:vMerge w:val="restart"/>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涂装件</w:t>
                  </w:r>
                </w:p>
              </w:tc>
              <w:tc>
                <w:tcPr>
                  <w:tcW w:w="1070" w:type="dxa"/>
                  <w:vMerge w:val="restart"/>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粉末涂料</w:t>
                  </w:r>
                </w:p>
              </w:tc>
              <w:tc>
                <w:tcPr>
                  <w:tcW w:w="1070" w:type="dxa"/>
                  <w:vMerge w:val="restart"/>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喷塑后烘干</w:t>
                  </w:r>
                </w:p>
              </w:tc>
              <w:tc>
                <w:tcPr>
                  <w:tcW w:w="1071" w:type="dxa"/>
                  <w:vMerge w:val="restart"/>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所有规模</w:t>
                  </w:r>
                </w:p>
              </w:tc>
              <w:tc>
                <w:tcPr>
                  <w:tcW w:w="1072" w:type="dxa"/>
                  <w:vMerge w:val="restart"/>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废气</w:t>
                  </w:r>
                </w:p>
              </w:tc>
              <w:tc>
                <w:tcPr>
                  <w:tcW w:w="1072" w:type="dxa"/>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挥发性有机物</w:t>
                  </w:r>
                </w:p>
              </w:tc>
              <w:tc>
                <w:tcPr>
                  <w:tcW w:w="1072" w:type="dxa"/>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千克/吨-原料</w:t>
                  </w:r>
                </w:p>
              </w:tc>
              <w:tc>
                <w:tcPr>
                  <w:tcW w:w="1072" w:type="dxa"/>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noWrap w:val="0"/>
                  <w:vAlign w:val="center"/>
                </w:tcPr>
                <w:p>
                  <w:pPr>
                    <w:pStyle w:val="39"/>
                    <w:rPr>
                      <w:rFonts w:hint="eastAsia" w:ascii="Times New Roman" w:hAnsi="Times New Roman" w:cs="Times New Roman"/>
                      <w:color w:val="auto"/>
                      <w:sz w:val="21"/>
                      <w:szCs w:val="21"/>
                      <w:lang w:val="en-US" w:eastAsia="zh-CN"/>
                    </w:rPr>
                  </w:pPr>
                </w:p>
              </w:tc>
              <w:tc>
                <w:tcPr>
                  <w:tcW w:w="1070" w:type="dxa"/>
                  <w:vMerge w:val="continue"/>
                  <w:noWrap w:val="0"/>
                  <w:vAlign w:val="center"/>
                </w:tcPr>
                <w:p>
                  <w:pPr>
                    <w:pStyle w:val="39"/>
                    <w:rPr>
                      <w:rFonts w:hint="eastAsia" w:ascii="Times New Roman" w:hAnsi="Times New Roman" w:cs="Times New Roman"/>
                      <w:color w:val="auto"/>
                      <w:sz w:val="21"/>
                      <w:szCs w:val="21"/>
                      <w:lang w:val="en-US" w:eastAsia="zh-CN"/>
                    </w:rPr>
                  </w:pPr>
                </w:p>
              </w:tc>
              <w:tc>
                <w:tcPr>
                  <w:tcW w:w="1070" w:type="dxa"/>
                  <w:vMerge w:val="continue"/>
                  <w:noWrap w:val="0"/>
                  <w:vAlign w:val="center"/>
                </w:tcPr>
                <w:p>
                  <w:pPr>
                    <w:pStyle w:val="39"/>
                    <w:rPr>
                      <w:rFonts w:hint="eastAsia" w:ascii="Times New Roman" w:hAnsi="Times New Roman" w:cs="Times New Roman"/>
                      <w:color w:val="auto"/>
                      <w:sz w:val="21"/>
                      <w:szCs w:val="21"/>
                      <w:lang w:val="en-US" w:eastAsia="zh-CN"/>
                    </w:rPr>
                  </w:pPr>
                </w:p>
              </w:tc>
              <w:tc>
                <w:tcPr>
                  <w:tcW w:w="1070" w:type="dxa"/>
                  <w:vMerge w:val="continue"/>
                  <w:noWrap w:val="0"/>
                  <w:vAlign w:val="center"/>
                </w:tcPr>
                <w:p>
                  <w:pPr>
                    <w:pStyle w:val="39"/>
                    <w:rPr>
                      <w:rFonts w:hint="eastAsia" w:ascii="Times New Roman" w:hAnsi="Times New Roman" w:cs="Times New Roman"/>
                      <w:color w:val="auto"/>
                      <w:sz w:val="21"/>
                      <w:szCs w:val="21"/>
                      <w:lang w:val="en-US" w:eastAsia="zh-CN"/>
                    </w:rPr>
                  </w:pPr>
                </w:p>
              </w:tc>
              <w:tc>
                <w:tcPr>
                  <w:tcW w:w="1071" w:type="dxa"/>
                  <w:vMerge w:val="continue"/>
                  <w:noWrap w:val="0"/>
                  <w:vAlign w:val="center"/>
                </w:tcPr>
                <w:p>
                  <w:pPr>
                    <w:pStyle w:val="39"/>
                    <w:rPr>
                      <w:rFonts w:hint="eastAsia" w:ascii="Times New Roman" w:hAnsi="Times New Roman" w:cs="Times New Roman"/>
                      <w:color w:val="auto"/>
                      <w:sz w:val="21"/>
                      <w:szCs w:val="21"/>
                      <w:lang w:val="en-US" w:eastAsia="zh-CN"/>
                    </w:rPr>
                  </w:pPr>
                </w:p>
              </w:tc>
              <w:tc>
                <w:tcPr>
                  <w:tcW w:w="1072" w:type="dxa"/>
                  <w:vMerge w:val="continue"/>
                  <w:noWrap w:val="0"/>
                  <w:vAlign w:val="center"/>
                </w:tcPr>
                <w:p>
                  <w:pPr>
                    <w:pStyle w:val="39"/>
                    <w:rPr>
                      <w:rFonts w:hint="eastAsia" w:ascii="Times New Roman" w:hAnsi="Times New Roman" w:cs="Times New Roman"/>
                      <w:color w:val="auto"/>
                      <w:sz w:val="21"/>
                      <w:szCs w:val="21"/>
                      <w:lang w:val="en-US" w:eastAsia="zh-CN"/>
                    </w:rPr>
                  </w:pPr>
                </w:p>
              </w:tc>
              <w:tc>
                <w:tcPr>
                  <w:tcW w:w="1072" w:type="dxa"/>
                  <w:noWrap w:val="0"/>
                  <w:vAlign w:val="center"/>
                </w:tcPr>
                <w:p>
                  <w:pPr>
                    <w:pStyle w:val="3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工业废气量</w:t>
                  </w:r>
                </w:p>
              </w:tc>
              <w:tc>
                <w:tcPr>
                  <w:tcW w:w="1072" w:type="dxa"/>
                  <w:noWrap w:val="0"/>
                  <w:vAlign w:val="center"/>
                </w:tcPr>
                <w:p>
                  <w:pPr>
                    <w:pStyle w:val="3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立方米/吨-原料</w:t>
                  </w:r>
                </w:p>
              </w:tc>
              <w:tc>
                <w:tcPr>
                  <w:tcW w:w="1072" w:type="dxa"/>
                  <w:noWrap w:val="0"/>
                  <w:vAlign w:val="center"/>
                </w:tcPr>
                <w:p>
                  <w:pPr>
                    <w:pStyle w:val="3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37262</w:t>
                  </w:r>
                </w:p>
              </w:tc>
            </w:tr>
          </w:tbl>
          <w:p>
            <w:pPr>
              <w:spacing w:line="360" w:lineRule="auto"/>
              <w:ind w:firstLine="480" w:firstLineChars="200"/>
              <w:rPr>
                <w:rFonts w:hint="default"/>
                <w:color w:val="auto"/>
                <w:lang w:val="en-US" w:eastAsia="zh-CN"/>
              </w:rPr>
            </w:pPr>
            <w:r>
              <w:rPr>
                <w:rFonts w:hint="eastAsia" w:ascii="Times New Roman" w:hAnsi="Times New Roman" w:eastAsia="宋体" w:cs="Times New Roman"/>
                <w:color w:val="auto"/>
                <w:sz w:val="24"/>
                <w:szCs w:val="24"/>
                <w:lang w:eastAsia="zh-CN"/>
              </w:rPr>
              <w:t>项目运营期</w:t>
            </w:r>
            <w:r>
              <w:rPr>
                <w:rFonts w:hint="default" w:ascii="Times New Roman" w:hAnsi="Times New Roman" w:eastAsia="宋体" w:cs="Times New Roman"/>
                <w:color w:val="auto"/>
                <w:sz w:val="24"/>
                <w:szCs w:val="24"/>
                <w:lang w:eastAsia="zh-CN"/>
              </w:rPr>
              <w:t>粉末涂料使用量为</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lang w:eastAsia="zh-CN"/>
              </w:rPr>
              <w:t>由表</w:t>
            </w:r>
            <w:r>
              <w:rPr>
                <w:rFonts w:hint="eastAsia"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lang w:val="en-US" w:eastAsia="zh-CN"/>
              </w:rPr>
              <w:t>可知</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lang w:val="en-GB"/>
              </w:rPr>
              <w:t>产生量为</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0288</w:t>
            </w:r>
            <w:r>
              <w:rPr>
                <w:rFonts w:hint="default" w:ascii="Times New Roman" w:hAnsi="Times New Roman" w:eastAsia="宋体" w:cs="Times New Roman"/>
                <w:color w:val="auto"/>
                <w:sz w:val="24"/>
                <w:szCs w:val="24"/>
                <w:lang w:val="en-GB"/>
              </w:rPr>
              <w:t>t/a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本项目运营期设置1台烘箱（以电为能源）和1台固化炉（以液化天然气为能源），固化废气统一收集进入“风冷+两级活性炭吸附箱”处理，配套风机风量为3000m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/h，集气系统收集效率设计为80%，“风冷+两级活性炭吸附箱”净化效率设计为80%，则</w:t>
            </w:r>
            <w:r>
              <w:rPr>
                <w:rFonts w:hint="eastAsia" w:ascii="Times New Roman" w:hAnsi="Times New Roman" w:eastAsia="宋体" w:cs="Times New Roman"/>
                <w:color w:val="auto"/>
                <w:sz w:val="24"/>
                <w:lang w:val="en-US" w:eastAsia="zh-CN"/>
              </w:rPr>
              <w:t>非甲烷总烃有组织产生量为0.02304t/a，产生速率为0.01152kg/h，产生浓度为3.84mg/m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；经</w:t>
            </w:r>
            <w:r>
              <w:rPr>
                <w:rFonts w:hint="eastAsia" w:ascii="Times New Roman" w:hAnsi="Times New Roman" w:eastAsia="宋体" w:cs="Times New Roman"/>
                <w:color w:val="auto"/>
                <w:sz w:val="24"/>
                <w:szCs w:val="24"/>
                <w:lang w:val="en-US" w:eastAsia="zh-CN"/>
              </w:rPr>
              <w:t>“风冷+两级活性炭吸附箱”</w:t>
            </w:r>
            <w:r>
              <w:rPr>
                <w:rFonts w:hint="eastAsia" w:ascii="Times New Roman" w:hAnsi="Times New Roman" w:eastAsia="宋体" w:cs="Times New Roman"/>
                <w:color w:val="auto"/>
                <w:sz w:val="24"/>
                <w:lang w:val="en-US" w:eastAsia="zh-CN"/>
              </w:rPr>
              <w:t>净化后，非甲烷总烃有组织排放量为0.00461t/a，排放速率为0.00230kg/h，排放浓度为0.768mg/m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。固化工序废气经处理后由1根15m高排气筒（</w:t>
            </w:r>
            <w:r>
              <w:rPr>
                <w:rFonts w:hint="eastAsia" w:ascii="Times New Roman" w:hAnsi="Times New Roman" w:eastAsia="宋体" w:cs="Times New Roman"/>
                <w:b/>
                <w:bCs/>
                <w:color w:val="auto"/>
                <w:sz w:val="24"/>
                <w:lang w:val="en-US" w:eastAsia="zh-CN"/>
              </w:rPr>
              <w:t>DA004</w:t>
            </w:r>
            <w:r>
              <w:rPr>
                <w:rFonts w:hint="eastAsia" w:ascii="Times New Roman" w:hAnsi="Times New Roman" w:eastAsia="宋体" w:cs="Times New Roman"/>
                <w:color w:val="auto"/>
                <w:sz w:val="24"/>
                <w:lang w:val="en-US" w:eastAsia="zh-CN"/>
              </w:rPr>
              <w:t>）排放。</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集气系统未收集的非甲烷总烃量为0.00576t/a，排放速率为0.00288kg/h。</w:t>
            </w:r>
          </w:p>
          <w:p>
            <w:pPr>
              <w:pStyle w:val="46"/>
              <w:spacing w:line="360" w:lineRule="auto"/>
              <w:ind w:firstLine="480"/>
              <w:rPr>
                <w:rFonts w:hint="default" w:ascii="Times New Roman" w:hAnsi="Times New Roman" w:cs="Times New Roman"/>
                <w:color w:val="auto"/>
                <w:lang w:val="en-US" w:eastAsia="zh-CN"/>
              </w:rPr>
            </w:pPr>
            <w:r>
              <w:rPr>
                <w:rFonts w:hint="eastAsia"/>
                <w:color w:val="auto"/>
                <w:lang w:val="en-US" w:eastAsia="zh-CN"/>
              </w:rPr>
              <w:t>固化废气产生、收集、处理</w:t>
            </w:r>
            <w:r>
              <w:rPr>
                <w:rFonts w:hint="default" w:ascii="Times New Roman" w:hAnsi="Times New Roman" w:cs="Times New Roman"/>
                <w:color w:val="auto"/>
                <w:lang w:val="en-US" w:eastAsia="zh-CN"/>
              </w:rPr>
              <w:t>排放示意图见图4.</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w:t>
            </w:r>
          </w:p>
          <w:p>
            <w:pPr>
              <w:spacing w:line="360" w:lineRule="auto"/>
              <w:jc w:val="center"/>
              <w:rPr>
                <w:rFonts w:hint="eastAsia" w:ascii="Times New Roman" w:hAnsi="Times New Roman" w:cs="Times New Roman"/>
                <w:color w:val="auto"/>
                <w:sz w:val="24"/>
              </w:rPr>
            </w:pPr>
            <w:r>
              <w:rPr>
                <w:rFonts w:hint="eastAsia" w:ascii="Times New Roman" w:hAnsi="Times New Roman" w:cs="Times New Roman"/>
                <w:color w:val="auto"/>
                <w:sz w:val="24"/>
              </w:rPr>
              <w:object>
                <v:shape id="_x0000_i1033" o:spt="75" type="#_x0000_t75" style="height:124.8pt;width:440.55pt;" o:ole="t" filled="f" o:preferrelative="t" stroked="f" coordsize="21600,21600">
                  <v:path/>
                  <v:fill on="f" focussize="0,0"/>
                  <v:stroke on="f"/>
                  <v:imagedata r:id="rId25" o:title=""/>
                  <o:lock v:ext="edit" aspectratio="t"/>
                  <w10:wrap type="none"/>
                  <w10:anchorlock/>
                </v:shape>
                <o:OLEObject Type="Embed" ProgID="RFFlow4" ShapeID="_x0000_i1033" DrawAspect="Content" ObjectID="_1468075733" r:id="rId24">
                  <o:LockedField>false</o:LockedField>
                </o:OLEObject>
              </w:object>
            </w:r>
          </w:p>
          <w:p>
            <w:pPr>
              <w:spacing w:line="360" w:lineRule="auto"/>
              <w:jc w:val="center"/>
              <w:rPr>
                <w:rFonts w:ascii="Times New Roman" w:hAnsi="Times New Roman" w:cs="Times New Roman"/>
                <w:b/>
                <w:bCs/>
                <w:color w:val="auto"/>
                <w:sz w:val="24"/>
                <w:szCs w:val="24"/>
              </w:rPr>
            </w:pPr>
            <w:r>
              <w:rPr>
                <w:rFonts w:hint="eastAsia" w:ascii="Times New Roman" w:hAnsi="Times New Roman" w:cs="Times New Roman"/>
                <w:b/>
                <w:bCs/>
                <w:color w:val="auto"/>
                <w:sz w:val="24"/>
                <w:szCs w:val="24"/>
              </w:rPr>
              <w:t>图4</w:t>
            </w:r>
            <w:r>
              <w:rPr>
                <w:rFonts w:hint="eastAsia" w:ascii="Times New Roman" w:hAnsi="Times New Roman" w:cs="Times New Roman"/>
                <w:b/>
                <w:bCs/>
                <w:color w:val="auto"/>
                <w:sz w:val="24"/>
                <w:szCs w:val="24"/>
                <w:lang w:val="en-US" w:eastAsia="zh-CN"/>
              </w:rPr>
              <w:t xml:space="preserve">.6  </w:t>
            </w:r>
            <w:r>
              <w:rPr>
                <w:rFonts w:hint="eastAsia"/>
                <w:b/>
                <w:bCs/>
                <w:color w:val="auto"/>
                <w:sz w:val="24"/>
                <w:szCs w:val="24"/>
                <w:lang w:val="en-US" w:eastAsia="zh-CN"/>
              </w:rPr>
              <w:t>固化废气产生、收集、处理</w:t>
            </w:r>
            <w:r>
              <w:rPr>
                <w:rFonts w:hint="default" w:ascii="Times New Roman" w:hAnsi="Times New Roman" w:cs="Times New Roman"/>
                <w:b/>
                <w:bCs/>
                <w:color w:val="auto"/>
                <w:sz w:val="24"/>
                <w:szCs w:val="24"/>
                <w:lang w:val="en-US" w:eastAsia="zh-CN"/>
              </w:rPr>
              <w:t>排放示意图</w:t>
            </w:r>
          </w:p>
          <w:p>
            <w:pPr>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zh-CN"/>
              </w:rPr>
              <w:t>（</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val="zh-CN"/>
              </w:rPr>
              <w:t>）天然气燃烧机</w:t>
            </w:r>
            <w:r>
              <w:rPr>
                <w:rFonts w:hint="eastAsia" w:ascii="Times New Roman" w:hAnsi="Times New Roman" w:cs="Times New Roman"/>
                <w:color w:val="auto"/>
                <w:sz w:val="24"/>
                <w:szCs w:val="24"/>
                <w:lang w:val="en-US" w:eastAsia="zh-CN"/>
              </w:rPr>
              <w:t>-颗粒物、二氧化硫、氮氧化物</w:t>
            </w:r>
          </w:p>
          <w:p>
            <w:pPr>
              <w:spacing w:line="360" w:lineRule="auto"/>
              <w:ind w:firstLine="480"/>
              <w:rPr>
                <w:rFonts w:hint="default" w:ascii="Times New Roman" w:hAnsi="Times New Roman" w:cs="Times New Roman"/>
                <w:color w:val="auto"/>
                <w:sz w:val="24"/>
                <w:szCs w:val="24"/>
                <w:lang w:val="en-GB"/>
              </w:rPr>
            </w:pPr>
            <w:r>
              <w:rPr>
                <w:rFonts w:hint="eastAsia" w:ascii="Times New Roman" w:hAnsi="Times New Roman" w:cs="Times New Roman"/>
                <w:color w:val="auto"/>
                <w:sz w:val="24"/>
                <w:szCs w:val="24"/>
                <w:lang w:val="en-US" w:eastAsia="zh-CN"/>
              </w:rPr>
              <w:t>项目喷塑后需固化。</w:t>
            </w:r>
            <w:r>
              <w:rPr>
                <w:rFonts w:hint="eastAsia" w:ascii="Times New Roman" w:hAnsi="Times New Roman" w:cs="Times New Roman"/>
                <w:color w:val="auto"/>
                <w:sz w:val="24"/>
                <w:szCs w:val="24"/>
                <w:lang w:val="en-GB" w:eastAsia="zh-CN"/>
              </w:rPr>
              <w:t>建设单位使用</w:t>
            </w:r>
            <w:r>
              <w:rPr>
                <w:rFonts w:hint="eastAsia" w:ascii="Times New Roman" w:hAnsi="Times New Roman" w:cs="Times New Roman"/>
                <w:color w:val="auto"/>
                <w:sz w:val="24"/>
                <w:szCs w:val="24"/>
                <w:lang w:val="en-US" w:eastAsia="zh-CN"/>
              </w:rPr>
              <w:t>1台</w:t>
            </w:r>
            <w:r>
              <w:rPr>
                <w:rFonts w:hint="eastAsia" w:ascii="Times New Roman" w:hAnsi="Times New Roman" w:cs="Times New Roman"/>
                <w:color w:val="auto"/>
                <w:sz w:val="24"/>
                <w:szCs w:val="24"/>
                <w:lang w:val="en-GB" w:eastAsia="zh-CN"/>
              </w:rPr>
              <w:t>天然气燃烧机（型号：</w:t>
            </w:r>
            <w:r>
              <w:rPr>
                <w:rFonts w:hint="eastAsia" w:ascii="Times New Roman" w:hAnsi="Times New Roman" w:cs="Times New Roman"/>
                <w:color w:val="auto"/>
                <w:sz w:val="24"/>
                <w:szCs w:val="24"/>
                <w:lang w:val="en-US" w:eastAsia="zh-CN"/>
              </w:rPr>
              <w:t>RS100；70万大卡</w:t>
            </w:r>
            <w:r>
              <w:rPr>
                <w:rFonts w:hint="eastAsia" w:ascii="Times New Roman" w:hAnsi="Times New Roman" w:cs="Times New Roman"/>
                <w:color w:val="auto"/>
                <w:sz w:val="24"/>
                <w:szCs w:val="24"/>
                <w:lang w:val="en-GB" w:eastAsia="zh-CN"/>
              </w:rPr>
              <w:t>），天然气燃烧机配套低氮燃烧器，</w:t>
            </w:r>
            <w:r>
              <w:rPr>
                <w:rFonts w:hint="eastAsia" w:ascii="Times New Roman" w:hAnsi="Times New Roman" w:cs="Times New Roman"/>
                <w:color w:val="auto"/>
                <w:sz w:val="24"/>
                <w:szCs w:val="24"/>
                <w:lang w:val="en-US" w:eastAsia="zh-CN"/>
              </w:rPr>
              <w:t>耗气量为100m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/h，</w:t>
            </w:r>
            <w:r>
              <w:rPr>
                <w:rFonts w:hint="eastAsia" w:ascii="Times New Roman" w:hAnsi="Times New Roman" w:cs="Times New Roman"/>
                <w:color w:val="auto"/>
                <w:sz w:val="24"/>
                <w:szCs w:val="24"/>
                <w:lang w:val="en-GB" w:eastAsia="zh-CN"/>
              </w:rPr>
              <w:t>则天然气</w:t>
            </w:r>
            <w:r>
              <w:rPr>
                <w:rFonts w:hint="default" w:ascii="Times New Roman" w:hAnsi="Times New Roman" w:cs="Times New Roman"/>
                <w:color w:val="auto"/>
                <w:sz w:val="24"/>
                <w:szCs w:val="24"/>
                <w:lang w:val="en-GB"/>
              </w:rPr>
              <w:t>燃料消耗量为</w:t>
            </w:r>
            <w:r>
              <w:rPr>
                <w:rFonts w:hint="eastAsia" w:ascii="Times New Roman" w:hAnsi="Times New Roman" w:cs="Times New Roman"/>
                <w:color w:val="auto"/>
                <w:sz w:val="24"/>
                <w:szCs w:val="24"/>
                <w:lang w:val="en-US" w:eastAsia="zh-CN"/>
              </w:rPr>
              <w:t>20万m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GB"/>
              </w:rPr>
              <w:t>/a</w:t>
            </w:r>
            <w:r>
              <w:rPr>
                <w:rFonts w:hint="eastAsia" w:ascii="Times New Roman" w:hAnsi="Times New Roman" w:cs="Times New Roman"/>
                <w:color w:val="auto"/>
                <w:sz w:val="24"/>
                <w:szCs w:val="24"/>
                <w:lang w:val="en-GB" w:eastAsia="zh-CN"/>
              </w:rPr>
              <w:t>（</w:t>
            </w:r>
            <w:r>
              <w:rPr>
                <w:rFonts w:hint="eastAsia" w:ascii="Times New Roman" w:hAnsi="Times New Roman" w:cs="Times New Roman"/>
                <w:color w:val="auto"/>
                <w:sz w:val="24"/>
                <w:szCs w:val="24"/>
                <w:lang w:val="en-US" w:eastAsia="zh-CN"/>
              </w:rPr>
              <w:t>2000h/a</w:t>
            </w:r>
            <w:r>
              <w:rPr>
                <w:rFonts w:hint="eastAsia" w:ascii="Times New Roman" w:hAnsi="Times New Roman" w:cs="Times New Roman"/>
                <w:color w:val="auto"/>
                <w:sz w:val="24"/>
                <w:szCs w:val="24"/>
                <w:lang w:val="en-GB" w:eastAsia="zh-CN"/>
              </w:rPr>
              <w:t>）</w:t>
            </w:r>
            <w:r>
              <w:rPr>
                <w:rFonts w:hint="default" w:ascii="Times New Roman" w:hAnsi="Times New Roman" w:cs="Times New Roman"/>
                <w:color w:val="auto"/>
                <w:sz w:val="24"/>
                <w:szCs w:val="24"/>
                <w:lang w:val="en-GB"/>
              </w:rPr>
              <w:t>。</w:t>
            </w:r>
          </w:p>
          <w:p>
            <w:pPr>
              <w:spacing w:line="360" w:lineRule="auto"/>
              <w:ind w:firstLine="480"/>
              <w:rPr>
                <w:rFonts w:hint="default" w:ascii="Times New Roman" w:hAnsi="Times New Roman" w:cs="Times New Roman"/>
                <w:bCs/>
                <w:color w:val="auto"/>
                <w:sz w:val="24"/>
                <w:szCs w:val="24"/>
              </w:rPr>
            </w:pPr>
            <w:r>
              <w:rPr>
                <w:rFonts w:hint="eastAsia" w:ascii="Times New Roman" w:hAnsi="Times New Roman" w:eastAsia="宋体" w:cs="Times New Roman"/>
                <w:color w:val="auto"/>
                <w:sz w:val="24"/>
                <w:szCs w:val="24"/>
                <w:lang w:eastAsia="zh-CN"/>
              </w:rPr>
              <w:t>天然气燃烧产排系数</w:t>
            </w:r>
            <w:r>
              <w:rPr>
                <w:rFonts w:hint="eastAsia" w:ascii="Times New Roman" w:hAnsi="Times New Roman" w:eastAsia="宋体" w:cs="Times New Roman"/>
                <w:b/>
                <w:bCs/>
                <w:color w:val="auto"/>
                <w:sz w:val="24"/>
                <w:szCs w:val="24"/>
                <w:lang w:eastAsia="zh-CN"/>
              </w:rPr>
              <w:t>参照</w:t>
            </w:r>
            <w:r>
              <w:rPr>
                <w:rFonts w:hint="eastAsia" w:eastAsia="宋体"/>
                <w:color w:val="auto"/>
                <w:sz w:val="24"/>
                <w:szCs w:val="24"/>
                <w:lang w:eastAsia="zh-CN" w:bidi="ar"/>
              </w:rPr>
              <w:t>《</w:t>
            </w:r>
            <w:r>
              <w:rPr>
                <w:rFonts w:hint="eastAsia" w:eastAsia="宋体"/>
                <w:color w:val="auto"/>
                <w:sz w:val="24"/>
                <w:szCs w:val="24"/>
                <w:lang w:val="en-US" w:eastAsia="zh-CN" w:bidi="ar"/>
              </w:rPr>
              <w:t>排污许可证申请与核发技术规范-锅</w:t>
            </w:r>
            <w:r>
              <w:rPr>
                <w:rFonts w:hint="default" w:ascii="Times New Roman" w:hAnsi="Times New Roman" w:eastAsia="宋体" w:cs="Times New Roman"/>
                <w:color w:val="auto"/>
                <w:sz w:val="24"/>
                <w:szCs w:val="24"/>
                <w:lang w:val="en-US" w:eastAsia="zh-CN" w:bidi="ar"/>
              </w:rPr>
              <w:t>炉</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HJ953-2018</w:t>
            </w:r>
            <w:r>
              <w:rPr>
                <w:rFonts w:hint="default" w:ascii="Times New Roman" w:hAnsi="Times New Roman" w:eastAsia="宋体" w:cs="Times New Roman"/>
                <w:color w:val="auto"/>
                <w:sz w:val="24"/>
                <w:szCs w:val="24"/>
                <w:lang w:eastAsia="zh-CN" w:bidi="ar"/>
              </w:rPr>
              <w:t>）</w:t>
            </w:r>
            <w:r>
              <w:rPr>
                <w:rFonts w:hint="eastAsia" w:ascii="宋体" w:hAnsi="宋体" w:eastAsia="宋体" w:cs="宋体"/>
                <w:color w:val="auto"/>
                <w:sz w:val="24"/>
                <w:szCs w:val="24"/>
                <w:lang w:eastAsia="zh-CN" w:bidi="ar"/>
              </w:rPr>
              <w:t>：“</w:t>
            </w:r>
            <w:r>
              <w:rPr>
                <w:rFonts w:hint="eastAsia" w:ascii="宋体" w:hAnsi="宋体" w:eastAsia="宋体" w:cs="宋体"/>
                <w:color w:val="auto"/>
                <w:sz w:val="24"/>
                <w:szCs w:val="24"/>
                <w:lang w:val="en-US" w:eastAsia="zh-CN" w:bidi="ar"/>
              </w:rPr>
              <w:t>附</w:t>
            </w:r>
            <w:r>
              <w:rPr>
                <w:rFonts w:hint="default" w:ascii="Times New Roman" w:hAnsi="Times New Roman" w:eastAsia="宋体" w:cs="Times New Roman"/>
                <w:color w:val="auto"/>
                <w:sz w:val="24"/>
                <w:szCs w:val="24"/>
                <w:lang w:val="en-US" w:eastAsia="zh-CN" w:bidi="ar"/>
              </w:rPr>
              <w:t>录F（资料</w:t>
            </w:r>
            <w:r>
              <w:rPr>
                <w:rFonts w:hint="eastAsia" w:ascii="宋体" w:hAnsi="宋体" w:eastAsia="宋体" w:cs="宋体"/>
                <w:color w:val="auto"/>
                <w:sz w:val="24"/>
                <w:szCs w:val="24"/>
                <w:lang w:val="en-US" w:eastAsia="zh-CN" w:bidi="ar"/>
              </w:rPr>
              <w:t>性附录）锅炉产排污系数</w:t>
            </w:r>
            <w:r>
              <w:rPr>
                <w:rFonts w:hint="eastAsia" w:ascii="宋体" w:hAnsi="宋体" w:eastAsia="宋体" w:cs="宋体"/>
                <w:color w:val="auto"/>
                <w:sz w:val="24"/>
                <w:szCs w:val="24"/>
                <w:lang w:eastAsia="zh-CN" w:bidi="ar"/>
              </w:rPr>
              <w:t>”</w:t>
            </w:r>
            <w:r>
              <w:rPr>
                <w:rFonts w:hint="eastAsia" w:ascii="宋体" w:hAnsi="宋体" w:cs="宋体"/>
                <w:color w:val="auto"/>
                <w:sz w:val="24"/>
                <w:szCs w:val="24"/>
                <w:lang w:bidi="ar"/>
              </w:rPr>
              <w:t>，二氧化硫、氮氧化物</w:t>
            </w:r>
            <w:r>
              <w:rPr>
                <w:rFonts w:hint="eastAsia" w:ascii="宋体" w:hAnsi="宋体" w:cs="宋体"/>
                <w:color w:val="auto"/>
                <w:sz w:val="24"/>
                <w:szCs w:val="24"/>
                <w:lang w:val="en-US" w:eastAsia="zh-CN" w:bidi="ar"/>
              </w:rPr>
              <w:t>及颗粒物</w:t>
            </w:r>
            <w:r>
              <w:rPr>
                <w:color w:val="auto"/>
                <w:sz w:val="24"/>
                <w:szCs w:val="24"/>
                <w:lang w:bidi="ar"/>
              </w:rPr>
              <w:t>量即为各自的产污系数乘以年</w:t>
            </w:r>
            <w:r>
              <w:rPr>
                <w:rFonts w:hint="eastAsia"/>
                <w:color w:val="auto"/>
                <w:sz w:val="24"/>
                <w:szCs w:val="24"/>
                <w:lang w:eastAsia="zh-CN" w:bidi="ar"/>
              </w:rPr>
              <w:t>耗天然气</w:t>
            </w:r>
            <w:r>
              <w:rPr>
                <w:color w:val="auto"/>
                <w:sz w:val="24"/>
                <w:szCs w:val="24"/>
                <w:lang w:bidi="ar"/>
              </w:rPr>
              <w:t>消耗量，产物系</w:t>
            </w:r>
            <w:r>
              <w:rPr>
                <w:rFonts w:hint="default" w:ascii="Times New Roman" w:hAnsi="Times New Roman" w:cs="Times New Roman"/>
                <w:color w:val="auto"/>
                <w:sz w:val="24"/>
                <w:szCs w:val="24"/>
                <w:lang w:bidi="ar"/>
              </w:rPr>
              <w:t>数见下表</w:t>
            </w:r>
            <w:r>
              <w:rPr>
                <w:rFonts w:hint="eastAsia" w:ascii="Times New Roman" w:hAnsi="Times New Roman" w:cs="Times New Roman"/>
                <w:color w:val="auto"/>
                <w:sz w:val="24"/>
                <w:szCs w:val="24"/>
                <w:lang w:val="en-US" w:eastAsia="zh-CN" w:bidi="ar"/>
              </w:rPr>
              <w:t>4.7</w:t>
            </w:r>
            <w:r>
              <w:rPr>
                <w:rFonts w:hint="default" w:ascii="Times New Roman" w:hAnsi="Times New Roman" w:cs="Times New Roman"/>
                <w:color w:val="auto"/>
                <w:sz w:val="24"/>
                <w:szCs w:val="24"/>
                <w:lang w:bidi="ar"/>
              </w:rPr>
              <w:t>。</w:t>
            </w:r>
          </w:p>
          <w:p>
            <w:pPr>
              <w:pStyle w:val="40"/>
              <w:spacing w:line="240" w:lineRule="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bidi="ar"/>
              </w:rPr>
              <w:t>表</w:t>
            </w:r>
            <w:r>
              <w:rPr>
                <w:rFonts w:hint="eastAsia" w:eastAsia="宋体" w:cs="Times New Roman"/>
                <w:b/>
                <w:bCs/>
                <w:color w:val="auto"/>
                <w:sz w:val="24"/>
                <w:lang w:val="en-US" w:eastAsia="zh-CN" w:bidi="ar"/>
              </w:rPr>
              <w:t>4.7</w:t>
            </w:r>
            <w:r>
              <w:rPr>
                <w:rFonts w:hint="default" w:ascii="Times New Roman" w:hAnsi="Times New Roman" w:eastAsia="宋体" w:cs="Times New Roman"/>
                <w:b/>
                <w:bCs/>
                <w:color w:val="auto"/>
                <w:sz w:val="24"/>
                <w:lang w:bidi="ar"/>
              </w:rPr>
              <w:t xml:space="preserve">  </w:t>
            </w:r>
            <w:r>
              <w:rPr>
                <w:rFonts w:hint="eastAsia" w:eastAsia="宋体" w:cs="Times New Roman"/>
                <w:b/>
                <w:bCs/>
                <w:color w:val="auto"/>
                <w:sz w:val="24"/>
                <w:lang w:val="en-US" w:eastAsia="zh-CN" w:bidi="ar"/>
              </w:rPr>
              <w:t>燃气工业锅炉的废气产排污系数表</w:t>
            </w:r>
          </w:p>
          <w:tbl>
            <w:tblPr>
              <w:tblStyle w:val="2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799"/>
              <w:gridCol w:w="620"/>
              <w:gridCol w:w="626"/>
              <w:gridCol w:w="1345"/>
              <w:gridCol w:w="2550"/>
              <w:gridCol w:w="1515"/>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58"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产品名称</w:t>
                  </w:r>
                </w:p>
              </w:tc>
              <w:tc>
                <w:tcPr>
                  <w:tcW w:w="775"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原料名称</w:t>
                  </w:r>
                </w:p>
              </w:tc>
              <w:tc>
                <w:tcPr>
                  <w:tcW w:w="602"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工艺名称</w:t>
                  </w:r>
                </w:p>
              </w:tc>
              <w:tc>
                <w:tcPr>
                  <w:tcW w:w="608"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规模等级</w:t>
                  </w:r>
                </w:p>
              </w:tc>
              <w:tc>
                <w:tcPr>
                  <w:tcW w:w="1305"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污染物</w:t>
                  </w:r>
                </w:p>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指标</w:t>
                  </w:r>
                </w:p>
              </w:tc>
              <w:tc>
                <w:tcPr>
                  <w:tcW w:w="2475"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单位</w:t>
                  </w:r>
                </w:p>
              </w:tc>
              <w:tc>
                <w:tcPr>
                  <w:tcW w:w="1470"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产污系数</w:t>
                  </w:r>
                </w:p>
              </w:tc>
              <w:tc>
                <w:tcPr>
                  <w:tcW w:w="1161" w:type="dxa"/>
                  <w:noWrap w:val="0"/>
                  <w:vAlign w:val="center"/>
                </w:tcPr>
                <w:p>
                  <w:pPr>
                    <w:pStyle w:val="15"/>
                    <w:jc w:val="center"/>
                    <w:rPr>
                      <w:rFonts w:hint="default" w:ascii="Times New Roman" w:hAnsi="Times New Roman"/>
                      <w:bCs/>
                      <w:color w:val="auto"/>
                      <w:szCs w:val="21"/>
                      <w:lang w:val="en-US" w:eastAsia="zh-CN"/>
                    </w:rPr>
                  </w:pPr>
                  <w:r>
                    <w:rPr>
                      <w:rFonts w:hint="eastAsia" w:ascii="Times New Roman" w:hAnsi="Times New Roman"/>
                      <w:bCs/>
                      <w:color w:val="auto"/>
                      <w:szCs w:val="21"/>
                      <w:lang w:val="en-US" w:eastAsia="zh-CN"/>
                    </w:rPr>
                    <w:t>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58" w:type="dxa"/>
                  <w:vMerge w:val="restart"/>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蒸汽/热水/其他</w:t>
                  </w:r>
                </w:p>
              </w:tc>
              <w:tc>
                <w:tcPr>
                  <w:tcW w:w="775" w:type="dxa"/>
                  <w:vMerge w:val="restart"/>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天然气</w:t>
                  </w:r>
                </w:p>
              </w:tc>
              <w:tc>
                <w:tcPr>
                  <w:tcW w:w="602" w:type="dxa"/>
                  <w:vMerge w:val="restart"/>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室燃炉</w:t>
                  </w:r>
                </w:p>
              </w:tc>
              <w:tc>
                <w:tcPr>
                  <w:tcW w:w="608" w:type="dxa"/>
                  <w:vMerge w:val="restart"/>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所有规模</w:t>
                  </w:r>
                </w:p>
              </w:tc>
              <w:tc>
                <w:tcPr>
                  <w:tcW w:w="1305"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工业废气量</w:t>
                  </w:r>
                </w:p>
              </w:tc>
              <w:tc>
                <w:tcPr>
                  <w:tcW w:w="2475"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标立方米/万立方米-原料</w:t>
                  </w:r>
                </w:p>
              </w:tc>
              <w:tc>
                <w:tcPr>
                  <w:tcW w:w="1470"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136259.17</w:t>
                  </w:r>
                </w:p>
              </w:tc>
              <w:tc>
                <w:tcPr>
                  <w:tcW w:w="1161"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136259.17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58" w:type="dxa"/>
                  <w:vMerge w:val="continue"/>
                  <w:noWrap w:val="0"/>
                  <w:vAlign w:val="center"/>
                </w:tcPr>
                <w:p>
                  <w:pPr>
                    <w:pStyle w:val="15"/>
                    <w:jc w:val="center"/>
                    <w:rPr>
                      <w:rFonts w:ascii="Times New Roman" w:hAnsi="Times New Roman"/>
                      <w:bCs/>
                      <w:color w:val="auto"/>
                      <w:szCs w:val="21"/>
                      <w:lang w:eastAsia="zh-CN"/>
                    </w:rPr>
                  </w:pPr>
                </w:p>
              </w:tc>
              <w:tc>
                <w:tcPr>
                  <w:tcW w:w="775" w:type="dxa"/>
                  <w:vMerge w:val="continue"/>
                  <w:noWrap w:val="0"/>
                  <w:vAlign w:val="center"/>
                </w:tcPr>
                <w:p>
                  <w:pPr>
                    <w:pStyle w:val="15"/>
                    <w:jc w:val="center"/>
                    <w:rPr>
                      <w:rFonts w:ascii="Times New Roman" w:hAnsi="Times New Roman"/>
                      <w:bCs/>
                      <w:color w:val="auto"/>
                      <w:szCs w:val="21"/>
                      <w:lang w:eastAsia="zh-CN"/>
                    </w:rPr>
                  </w:pPr>
                </w:p>
              </w:tc>
              <w:tc>
                <w:tcPr>
                  <w:tcW w:w="602" w:type="dxa"/>
                  <w:vMerge w:val="continue"/>
                  <w:noWrap w:val="0"/>
                  <w:vAlign w:val="center"/>
                </w:tcPr>
                <w:p>
                  <w:pPr>
                    <w:pStyle w:val="15"/>
                    <w:jc w:val="center"/>
                    <w:rPr>
                      <w:rFonts w:ascii="Times New Roman" w:hAnsi="Times New Roman"/>
                      <w:bCs/>
                      <w:color w:val="auto"/>
                      <w:szCs w:val="21"/>
                      <w:lang w:eastAsia="zh-CN"/>
                    </w:rPr>
                  </w:pPr>
                </w:p>
              </w:tc>
              <w:tc>
                <w:tcPr>
                  <w:tcW w:w="608" w:type="dxa"/>
                  <w:vMerge w:val="continue"/>
                  <w:noWrap w:val="0"/>
                  <w:vAlign w:val="center"/>
                </w:tcPr>
                <w:p>
                  <w:pPr>
                    <w:pStyle w:val="15"/>
                    <w:jc w:val="center"/>
                    <w:rPr>
                      <w:rFonts w:ascii="Times New Roman" w:hAnsi="Times New Roman"/>
                      <w:bCs/>
                      <w:color w:val="auto"/>
                      <w:szCs w:val="21"/>
                      <w:lang w:eastAsia="zh-CN"/>
                    </w:rPr>
                  </w:pPr>
                </w:p>
              </w:tc>
              <w:tc>
                <w:tcPr>
                  <w:tcW w:w="1305"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二氧化硫</w:t>
                  </w:r>
                </w:p>
              </w:tc>
              <w:tc>
                <w:tcPr>
                  <w:tcW w:w="2475"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千克/万立方米-原料</w:t>
                  </w:r>
                </w:p>
              </w:tc>
              <w:tc>
                <w:tcPr>
                  <w:tcW w:w="1470"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0.02S</w:t>
                  </w:r>
                  <w:r>
                    <w:rPr>
                      <w:rFonts w:ascii="Times New Roman" w:hAnsi="Times New Roman"/>
                      <w:bCs/>
                      <w:color w:val="auto"/>
                      <w:szCs w:val="21"/>
                      <w:vertAlign w:val="superscript"/>
                      <w:lang w:eastAsia="zh-CN"/>
                    </w:rPr>
                    <w:t>①</w:t>
                  </w:r>
                </w:p>
              </w:tc>
              <w:tc>
                <w:tcPr>
                  <w:tcW w:w="1161"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0.02S</w:t>
                  </w:r>
                  <w:r>
                    <w:rPr>
                      <w:rFonts w:ascii="Times New Roman" w:hAnsi="Times New Roman"/>
                      <w:bCs/>
                      <w:color w:val="auto"/>
                      <w:szCs w:val="21"/>
                      <w:vertAlign w:val="superscript"/>
                      <w:lang w:eastAsia="zh-CN"/>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58" w:type="dxa"/>
                  <w:vMerge w:val="continue"/>
                  <w:noWrap w:val="0"/>
                  <w:vAlign w:val="center"/>
                </w:tcPr>
                <w:p>
                  <w:pPr>
                    <w:pStyle w:val="15"/>
                    <w:jc w:val="center"/>
                    <w:rPr>
                      <w:rFonts w:ascii="Times New Roman" w:hAnsi="Times New Roman"/>
                      <w:bCs/>
                      <w:color w:val="auto"/>
                      <w:szCs w:val="21"/>
                      <w:lang w:eastAsia="zh-CN"/>
                    </w:rPr>
                  </w:pPr>
                </w:p>
              </w:tc>
              <w:tc>
                <w:tcPr>
                  <w:tcW w:w="775" w:type="dxa"/>
                  <w:vMerge w:val="continue"/>
                  <w:noWrap w:val="0"/>
                  <w:vAlign w:val="center"/>
                </w:tcPr>
                <w:p>
                  <w:pPr>
                    <w:pStyle w:val="15"/>
                    <w:jc w:val="center"/>
                    <w:rPr>
                      <w:rFonts w:ascii="Times New Roman" w:hAnsi="Times New Roman"/>
                      <w:bCs/>
                      <w:color w:val="auto"/>
                      <w:szCs w:val="21"/>
                      <w:lang w:eastAsia="zh-CN"/>
                    </w:rPr>
                  </w:pPr>
                </w:p>
              </w:tc>
              <w:tc>
                <w:tcPr>
                  <w:tcW w:w="602" w:type="dxa"/>
                  <w:vMerge w:val="continue"/>
                  <w:noWrap w:val="0"/>
                  <w:vAlign w:val="center"/>
                </w:tcPr>
                <w:p>
                  <w:pPr>
                    <w:pStyle w:val="15"/>
                    <w:jc w:val="center"/>
                    <w:rPr>
                      <w:rFonts w:ascii="Times New Roman" w:hAnsi="Times New Roman"/>
                      <w:bCs/>
                      <w:color w:val="auto"/>
                      <w:szCs w:val="21"/>
                      <w:lang w:eastAsia="zh-CN"/>
                    </w:rPr>
                  </w:pPr>
                </w:p>
              </w:tc>
              <w:tc>
                <w:tcPr>
                  <w:tcW w:w="608" w:type="dxa"/>
                  <w:vMerge w:val="continue"/>
                  <w:noWrap w:val="0"/>
                  <w:vAlign w:val="center"/>
                </w:tcPr>
                <w:p>
                  <w:pPr>
                    <w:pStyle w:val="15"/>
                    <w:jc w:val="center"/>
                    <w:rPr>
                      <w:rFonts w:ascii="Times New Roman" w:hAnsi="Times New Roman"/>
                      <w:bCs/>
                      <w:color w:val="auto"/>
                      <w:szCs w:val="21"/>
                      <w:lang w:eastAsia="zh-CN"/>
                    </w:rPr>
                  </w:pPr>
                </w:p>
              </w:tc>
              <w:tc>
                <w:tcPr>
                  <w:tcW w:w="1305"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氮氧化物</w:t>
                  </w:r>
                </w:p>
              </w:tc>
              <w:tc>
                <w:tcPr>
                  <w:tcW w:w="2475"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千克/万立方米-原料</w:t>
                  </w:r>
                </w:p>
              </w:tc>
              <w:tc>
                <w:tcPr>
                  <w:tcW w:w="1470" w:type="dxa"/>
                  <w:noWrap w:val="0"/>
                  <w:vAlign w:val="center"/>
                </w:tcPr>
                <w:p>
                  <w:pPr>
                    <w:pStyle w:val="15"/>
                    <w:jc w:val="center"/>
                    <w:rPr>
                      <w:rFonts w:hint="eastAsia" w:ascii="Times New Roman" w:hAnsi="Times New Roman"/>
                      <w:bCs/>
                      <w:color w:val="auto"/>
                      <w:szCs w:val="21"/>
                      <w:lang w:val="en-US" w:eastAsia="zh-CN"/>
                    </w:rPr>
                  </w:pPr>
                  <w:r>
                    <w:rPr>
                      <w:rFonts w:hint="eastAsia" w:ascii="Times New Roman" w:hAnsi="Times New Roman"/>
                      <w:bCs/>
                      <w:color w:val="auto"/>
                      <w:szCs w:val="21"/>
                      <w:lang w:val="en-US" w:eastAsia="zh-CN"/>
                    </w:rPr>
                    <w:t>9.36</w:t>
                  </w:r>
                </w:p>
                <w:p>
                  <w:pPr>
                    <w:pStyle w:val="15"/>
                    <w:jc w:val="center"/>
                    <w:rPr>
                      <w:rFonts w:hint="default" w:ascii="Times New Roman" w:hAnsi="Times New Roman"/>
                      <w:bCs/>
                      <w:color w:val="auto"/>
                      <w:szCs w:val="21"/>
                      <w:lang w:val="en-US" w:eastAsia="zh-CN"/>
                    </w:rPr>
                  </w:pPr>
                  <w:r>
                    <w:rPr>
                      <w:rFonts w:hint="eastAsia" w:ascii="Times New Roman" w:hAnsi="Times New Roman"/>
                      <w:b/>
                      <w:bCs w:val="0"/>
                      <w:color w:val="auto"/>
                      <w:szCs w:val="21"/>
                      <w:lang w:val="en-US" w:eastAsia="zh-CN"/>
                    </w:rPr>
                    <w:t>（低氮燃烧）</w:t>
                  </w:r>
                </w:p>
              </w:tc>
              <w:tc>
                <w:tcPr>
                  <w:tcW w:w="1161" w:type="dxa"/>
                  <w:noWrap w:val="0"/>
                  <w:vAlign w:val="center"/>
                </w:tcPr>
                <w:p>
                  <w:pPr>
                    <w:pStyle w:val="15"/>
                    <w:jc w:val="center"/>
                    <w:rPr>
                      <w:rFonts w:hint="default" w:ascii="Times New Roman" w:hAnsi="Times New Roman"/>
                      <w:b/>
                      <w:bCs w:val="0"/>
                      <w:color w:val="auto"/>
                      <w:szCs w:val="21"/>
                      <w:lang w:val="en-US" w:eastAsia="zh-CN"/>
                    </w:rPr>
                  </w:pPr>
                  <w:r>
                    <w:rPr>
                      <w:rFonts w:hint="eastAsia" w:ascii="Times New Roman" w:hAnsi="Times New Roman"/>
                      <w:b w:val="0"/>
                      <w:bCs/>
                      <w:color w:val="auto"/>
                      <w:szCs w:val="21"/>
                      <w:lang w:val="en-US" w:eastAsia="zh-CN"/>
                    </w:rPr>
                    <w:t>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58" w:type="dxa"/>
                  <w:vMerge w:val="continue"/>
                  <w:noWrap w:val="0"/>
                  <w:vAlign w:val="center"/>
                </w:tcPr>
                <w:p>
                  <w:pPr>
                    <w:pStyle w:val="15"/>
                    <w:jc w:val="center"/>
                    <w:rPr>
                      <w:rFonts w:ascii="Times New Roman" w:hAnsi="Times New Roman"/>
                      <w:bCs/>
                      <w:color w:val="auto"/>
                      <w:szCs w:val="21"/>
                      <w:lang w:eastAsia="zh-CN"/>
                    </w:rPr>
                  </w:pPr>
                </w:p>
              </w:tc>
              <w:tc>
                <w:tcPr>
                  <w:tcW w:w="775" w:type="dxa"/>
                  <w:vMerge w:val="continue"/>
                  <w:noWrap w:val="0"/>
                  <w:vAlign w:val="center"/>
                </w:tcPr>
                <w:p>
                  <w:pPr>
                    <w:pStyle w:val="15"/>
                    <w:jc w:val="center"/>
                    <w:rPr>
                      <w:rFonts w:ascii="Times New Roman" w:hAnsi="Times New Roman"/>
                      <w:bCs/>
                      <w:color w:val="auto"/>
                      <w:szCs w:val="21"/>
                      <w:lang w:eastAsia="zh-CN"/>
                    </w:rPr>
                  </w:pPr>
                </w:p>
              </w:tc>
              <w:tc>
                <w:tcPr>
                  <w:tcW w:w="602" w:type="dxa"/>
                  <w:vMerge w:val="continue"/>
                  <w:noWrap w:val="0"/>
                  <w:vAlign w:val="center"/>
                </w:tcPr>
                <w:p>
                  <w:pPr>
                    <w:pStyle w:val="15"/>
                    <w:jc w:val="center"/>
                    <w:rPr>
                      <w:rFonts w:ascii="Times New Roman" w:hAnsi="Times New Roman"/>
                      <w:bCs/>
                      <w:color w:val="auto"/>
                      <w:szCs w:val="21"/>
                      <w:lang w:eastAsia="zh-CN"/>
                    </w:rPr>
                  </w:pPr>
                </w:p>
              </w:tc>
              <w:tc>
                <w:tcPr>
                  <w:tcW w:w="608" w:type="dxa"/>
                  <w:vMerge w:val="continue"/>
                  <w:noWrap w:val="0"/>
                  <w:vAlign w:val="center"/>
                </w:tcPr>
                <w:p>
                  <w:pPr>
                    <w:pStyle w:val="15"/>
                    <w:jc w:val="center"/>
                    <w:rPr>
                      <w:rFonts w:ascii="Times New Roman" w:hAnsi="Times New Roman"/>
                      <w:bCs/>
                      <w:color w:val="auto"/>
                      <w:szCs w:val="21"/>
                      <w:lang w:eastAsia="zh-CN"/>
                    </w:rPr>
                  </w:pPr>
                </w:p>
              </w:tc>
              <w:tc>
                <w:tcPr>
                  <w:tcW w:w="1305" w:type="dxa"/>
                  <w:noWrap w:val="0"/>
                  <w:vAlign w:val="center"/>
                </w:tcPr>
                <w:p>
                  <w:pPr>
                    <w:pStyle w:val="15"/>
                    <w:jc w:val="center"/>
                    <w:rPr>
                      <w:rFonts w:hint="default" w:ascii="Times New Roman" w:hAnsi="Times New Roman"/>
                      <w:bCs/>
                      <w:color w:val="auto"/>
                      <w:szCs w:val="21"/>
                      <w:lang w:val="en-US" w:eastAsia="zh-CN"/>
                    </w:rPr>
                  </w:pPr>
                  <w:r>
                    <w:rPr>
                      <w:rFonts w:hint="eastAsia" w:ascii="Times New Roman" w:hAnsi="Times New Roman"/>
                      <w:bCs/>
                      <w:color w:val="auto"/>
                      <w:szCs w:val="21"/>
                      <w:lang w:val="en-US" w:eastAsia="zh-CN"/>
                    </w:rPr>
                    <w:t>颗粒物</w:t>
                  </w:r>
                </w:p>
              </w:tc>
              <w:tc>
                <w:tcPr>
                  <w:tcW w:w="2475" w:type="dxa"/>
                  <w:noWrap w:val="0"/>
                  <w:vAlign w:val="center"/>
                </w:tcPr>
                <w:p>
                  <w:pPr>
                    <w:pStyle w:val="15"/>
                    <w:jc w:val="center"/>
                    <w:rPr>
                      <w:rFonts w:ascii="Times New Roman" w:hAnsi="Times New Roman"/>
                      <w:bCs/>
                      <w:color w:val="auto"/>
                      <w:szCs w:val="21"/>
                      <w:lang w:eastAsia="zh-CN"/>
                    </w:rPr>
                  </w:pPr>
                  <w:r>
                    <w:rPr>
                      <w:rFonts w:ascii="Times New Roman" w:hAnsi="Times New Roman"/>
                      <w:bCs/>
                      <w:color w:val="auto"/>
                      <w:szCs w:val="21"/>
                      <w:lang w:eastAsia="zh-CN"/>
                    </w:rPr>
                    <w:t>千克/万立方米-原料</w:t>
                  </w:r>
                </w:p>
              </w:tc>
              <w:tc>
                <w:tcPr>
                  <w:tcW w:w="1470" w:type="dxa"/>
                  <w:noWrap w:val="0"/>
                  <w:vAlign w:val="center"/>
                </w:tcPr>
                <w:p>
                  <w:pPr>
                    <w:pStyle w:val="15"/>
                    <w:jc w:val="center"/>
                    <w:rPr>
                      <w:rFonts w:hint="default" w:ascii="Times New Roman" w:hAnsi="Times New Roman"/>
                      <w:bCs/>
                      <w:color w:val="auto"/>
                      <w:szCs w:val="21"/>
                      <w:lang w:val="en-US" w:eastAsia="zh-CN"/>
                    </w:rPr>
                  </w:pPr>
                  <w:r>
                    <w:rPr>
                      <w:rFonts w:hint="eastAsia" w:ascii="Times New Roman" w:hAnsi="Times New Roman"/>
                      <w:bCs/>
                      <w:color w:val="auto"/>
                      <w:szCs w:val="21"/>
                      <w:lang w:val="en-US" w:eastAsia="zh-CN"/>
                    </w:rPr>
                    <w:t>2.86</w:t>
                  </w:r>
                </w:p>
              </w:tc>
              <w:tc>
                <w:tcPr>
                  <w:tcW w:w="1161" w:type="dxa"/>
                  <w:noWrap w:val="0"/>
                  <w:vAlign w:val="center"/>
                </w:tcPr>
                <w:p>
                  <w:pPr>
                    <w:pStyle w:val="15"/>
                    <w:jc w:val="center"/>
                    <w:rPr>
                      <w:rFonts w:hint="default" w:ascii="Times New Roman" w:hAnsi="Times New Roman"/>
                      <w:bCs/>
                      <w:color w:val="auto"/>
                      <w:szCs w:val="21"/>
                      <w:lang w:val="en-US" w:eastAsia="zh-CN"/>
                    </w:rPr>
                  </w:pPr>
                  <w:r>
                    <w:rPr>
                      <w:rFonts w:hint="eastAsia" w:ascii="Times New Roman" w:hAnsi="Times New Roman"/>
                      <w:bCs/>
                      <w:color w:val="auto"/>
                      <w:szCs w:val="21"/>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354" w:type="dxa"/>
                  <w:gridSpan w:val="8"/>
                  <w:noWrap w:val="0"/>
                  <w:vAlign w:val="center"/>
                </w:tcPr>
                <w:p>
                  <w:pPr>
                    <w:spacing w:line="240" w:lineRule="auto"/>
                    <w:ind w:firstLine="422"/>
                    <w:rPr>
                      <w:rFonts w:hint="eastAsia" w:ascii="Times New Roman" w:hAnsi="Times New Roman"/>
                      <w:bCs/>
                      <w:color w:val="auto"/>
                      <w:szCs w:val="21"/>
                      <w:lang w:val="en-US" w:eastAsia="zh-CN"/>
                    </w:rPr>
                  </w:pPr>
                  <w:r>
                    <w:rPr>
                      <w:rFonts w:hint="default" w:ascii="Times New Roman" w:hAnsi="Times New Roman" w:cs="Times New Roman"/>
                      <w:b/>
                      <w:bCs/>
                      <w:color w:val="auto"/>
                      <w:sz w:val="21"/>
                      <w:szCs w:val="21"/>
                      <w:lang w:bidi="ar"/>
                    </w:rPr>
                    <w:t>注：</w:t>
                  </w:r>
                  <w:r>
                    <w:rPr>
                      <w:rFonts w:hint="default" w:ascii="Times New Roman" w:hAnsi="Times New Roman" w:cs="Times New Roman"/>
                      <w:color w:val="auto"/>
                      <w:sz w:val="21"/>
                      <w:szCs w:val="21"/>
                      <w:lang w:bidi="ar"/>
                    </w:rPr>
                    <w:t>①产排污系数中二氧化硫的产排污系数是以含硫量（S）的形式表示的，其中含硫量（S）是指燃气收到基硫分含量，单位为毫克/立方米。例如燃料中含硫量（S）为200毫克/立方米，则S=200。</w:t>
                  </w:r>
                  <w:r>
                    <w:rPr>
                      <w:rFonts w:hint="eastAsia" w:ascii="Times New Roman" w:hAnsi="Times New Roman"/>
                      <w:bCs/>
                      <w:color w:val="auto"/>
                      <w:szCs w:val="21"/>
                      <w:lang w:val="en-US" w:eastAsia="zh-CN"/>
                    </w:rPr>
                    <w:t>本项目天然气含硫量（S）为20毫克/立方米，则S=20。（本项目天然气含硫量数值取自《天然气》（GB17820-2018）表1-天然气质量要求-一类）</w:t>
                  </w:r>
                </w:p>
              </w:tc>
            </w:tr>
          </w:tbl>
          <w:p>
            <w:pPr>
              <w:spacing w:line="360" w:lineRule="auto"/>
              <w:ind w:firstLine="480"/>
              <w:rPr>
                <w:rFonts w:hint="default" w:ascii="Times New Roman" w:hAnsi="Times New Roman" w:cs="Times New Roman"/>
                <w:color w:val="auto"/>
                <w:sz w:val="24"/>
                <w:szCs w:val="24"/>
                <w:lang w:val="en-US" w:eastAsia="zh-CN" w:bidi="ar"/>
              </w:rPr>
            </w:pPr>
            <w:r>
              <w:rPr>
                <w:rFonts w:hint="default" w:ascii="Times New Roman" w:hAnsi="Times New Roman" w:cs="Times New Roman"/>
                <w:color w:val="auto"/>
                <w:sz w:val="24"/>
                <w:szCs w:val="24"/>
                <w:lang w:bidi="ar"/>
              </w:rPr>
              <w:t>因此，SO</w:t>
            </w:r>
            <w:r>
              <w:rPr>
                <w:rFonts w:hint="default" w:ascii="Times New Roman" w:hAnsi="Times New Roman" w:cs="Times New Roman"/>
                <w:color w:val="auto"/>
                <w:sz w:val="24"/>
                <w:szCs w:val="24"/>
                <w:vertAlign w:val="subscript"/>
                <w:lang w:bidi="ar"/>
              </w:rPr>
              <w:t>2</w:t>
            </w:r>
            <w:r>
              <w:rPr>
                <w:rFonts w:hint="default" w:ascii="Times New Roman" w:hAnsi="Times New Roman" w:cs="Times New Roman"/>
                <w:color w:val="auto"/>
                <w:sz w:val="24"/>
                <w:szCs w:val="24"/>
                <w:lang w:val="en-US" w:eastAsia="zh-CN" w:bidi="ar"/>
              </w:rPr>
              <w:t>排放</w:t>
            </w:r>
            <w:r>
              <w:rPr>
                <w:rFonts w:hint="default" w:ascii="Times New Roman" w:hAnsi="Times New Roman" w:cs="Times New Roman"/>
                <w:color w:val="auto"/>
                <w:sz w:val="24"/>
                <w:szCs w:val="24"/>
                <w:lang w:bidi="ar"/>
              </w:rPr>
              <w:t>量为</w:t>
            </w:r>
            <w:r>
              <w:rPr>
                <w:rFonts w:hint="default" w:ascii="Times New Roman" w:hAnsi="Times New Roman" w:cs="Times New Roman"/>
                <w:color w:val="auto"/>
                <w:sz w:val="24"/>
                <w:szCs w:val="24"/>
                <w:lang w:val="en-US" w:eastAsia="zh-CN" w:bidi="ar"/>
              </w:rPr>
              <w:t>0.</w:t>
            </w:r>
            <w:r>
              <w:rPr>
                <w:rFonts w:hint="eastAsia" w:ascii="Times New Roman" w:hAnsi="Times New Roman" w:cs="Times New Roman"/>
                <w:color w:val="auto"/>
                <w:sz w:val="24"/>
                <w:szCs w:val="24"/>
                <w:lang w:val="en-US" w:eastAsia="zh-CN" w:bidi="ar"/>
              </w:rPr>
              <w:t>008</w:t>
            </w:r>
            <w:r>
              <w:rPr>
                <w:rFonts w:hint="default" w:ascii="Times New Roman" w:hAnsi="Times New Roman" w:cs="Times New Roman"/>
                <w:color w:val="auto"/>
                <w:sz w:val="24"/>
                <w:szCs w:val="24"/>
                <w:lang w:bidi="ar"/>
              </w:rPr>
              <w:t>t/a</w:t>
            </w:r>
            <w:r>
              <w:rPr>
                <w:rFonts w:hint="eastAsia" w:ascii="Times New Roman" w:hAnsi="Times New Roman" w:cs="Times New Roman"/>
                <w:color w:val="auto"/>
                <w:sz w:val="24"/>
                <w:szCs w:val="24"/>
                <w:lang w:eastAsia="zh-CN" w:bidi="ar"/>
              </w:rPr>
              <w:t>，排放速率为</w:t>
            </w:r>
            <w:r>
              <w:rPr>
                <w:rFonts w:hint="eastAsia" w:ascii="Times New Roman" w:hAnsi="Times New Roman" w:cs="Times New Roman"/>
                <w:color w:val="auto"/>
                <w:sz w:val="24"/>
                <w:szCs w:val="24"/>
                <w:lang w:val="en-US" w:eastAsia="zh-CN" w:bidi="ar"/>
              </w:rPr>
              <w:t>0.004kg/h</w:t>
            </w:r>
            <w:r>
              <w:rPr>
                <w:rFonts w:hint="eastAsia" w:ascii="Times New Roman" w:hAnsi="Times New Roman" w:cs="Times New Roman"/>
                <w:color w:val="auto"/>
                <w:sz w:val="24"/>
                <w:szCs w:val="24"/>
                <w:lang w:eastAsia="zh-CN" w:bidi="ar"/>
              </w:rPr>
              <w:t>，排放浓度约为</w:t>
            </w:r>
            <w:r>
              <w:rPr>
                <w:rFonts w:hint="eastAsia" w:ascii="Times New Roman" w:hAnsi="Times New Roman" w:cs="Times New Roman"/>
                <w:color w:val="auto"/>
                <w:sz w:val="24"/>
                <w:szCs w:val="24"/>
                <w:lang w:val="en-US" w:eastAsia="zh-CN" w:bidi="ar"/>
              </w:rPr>
              <w:t>1.33mg/m</w:t>
            </w:r>
            <w:r>
              <w:rPr>
                <w:rFonts w:hint="eastAsia" w:ascii="Times New Roman" w:hAnsi="Times New Roman" w:cs="Times New Roman"/>
                <w:color w:val="auto"/>
                <w:sz w:val="24"/>
                <w:szCs w:val="24"/>
                <w:vertAlign w:val="superscript"/>
                <w:lang w:val="en-US" w:eastAsia="zh-CN" w:bidi="ar"/>
              </w:rPr>
              <w:t>3</w:t>
            </w:r>
            <w:r>
              <w:rPr>
                <w:rFonts w:hint="default" w:ascii="Times New Roman" w:hAnsi="Times New Roman" w:cs="Times New Roman"/>
                <w:color w:val="auto"/>
                <w:sz w:val="24"/>
                <w:szCs w:val="24"/>
                <w:lang w:eastAsia="zh-CN" w:bidi="ar"/>
              </w:rPr>
              <w:t>；</w:t>
            </w:r>
            <w:r>
              <w:rPr>
                <w:rFonts w:hint="default" w:ascii="Times New Roman" w:hAnsi="Times New Roman" w:cs="Times New Roman"/>
                <w:color w:val="auto"/>
                <w:sz w:val="24"/>
                <w:szCs w:val="24"/>
                <w:lang w:bidi="ar"/>
              </w:rPr>
              <w:t>NO</w:t>
            </w:r>
            <w:r>
              <w:rPr>
                <w:rFonts w:hint="default" w:ascii="Times New Roman" w:hAnsi="Times New Roman" w:cs="Times New Roman"/>
                <w:color w:val="auto"/>
                <w:sz w:val="24"/>
                <w:szCs w:val="24"/>
                <w:vertAlign w:val="subscript"/>
                <w:lang w:bidi="ar"/>
              </w:rPr>
              <w:t>x</w:t>
            </w:r>
            <w:r>
              <w:rPr>
                <w:rFonts w:hint="default" w:ascii="Times New Roman" w:hAnsi="Times New Roman" w:cs="Times New Roman"/>
                <w:color w:val="auto"/>
                <w:sz w:val="24"/>
                <w:szCs w:val="24"/>
                <w:lang w:val="en-US" w:eastAsia="zh-CN" w:bidi="ar"/>
              </w:rPr>
              <w:t>排放</w:t>
            </w:r>
            <w:r>
              <w:rPr>
                <w:rFonts w:hint="default" w:ascii="Times New Roman" w:hAnsi="Times New Roman" w:cs="Times New Roman"/>
                <w:color w:val="auto"/>
                <w:sz w:val="24"/>
                <w:szCs w:val="24"/>
                <w:lang w:bidi="ar"/>
              </w:rPr>
              <w:t>量为</w:t>
            </w:r>
            <w:r>
              <w:rPr>
                <w:rFonts w:hint="eastAsia" w:ascii="Times New Roman" w:hAnsi="Times New Roman" w:cs="Times New Roman"/>
                <w:color w:val="auto"/>
                <w:sz w:val="24"/>
                <w:szCs w:val="24"/>
                <w:lang w:val="en-US" w:eastAsia="zh-CN" w:bidi="ar"/>
              </w:rPr>
              <w:t>0.1872</w:t>
            </w:r>
            <w:r>
              <w:rPr>
                <w:rFonts w:hint="default" w:ascii="Times New Roman" w:hAnsi="Times New Roman" w:cs="Times New Roman"/>
                <w:color w:val="auto"/>
                <w:sz w:val="24"/>
                <w:szCs w:val="24"/>
                <w:lang w:bidi="ar"/>
              </w:rPr>
              <w:t>t/a</w:t>
            </w:r>
            <w:r>
              <w:rPr>
                <w:rFonts w:hint="eastAsia" w:ascii="Times New Roman" w:hAnsi="Times New Roman" w:cs="Times New Roman"/>
                <w:color w:val="auto"/>
                <w:sz w:val="24"/>
                <w:szCs w:val="24"/>
                <w:lang w:eastAsia="zh-CN" w:bidi="ar"/>
              </w:rPr>
              <w:t>，排放速率为</w:t>
            </w:r>
            <w:r>
              <w:rPr>
                <w:rFonts w:hint="eastAsia" w:ascii="Times New Roman" w:hAnsi="Times New Roman" w:cs="Times New Roman"/>
                <w:color w:val="auto"/>
                <w:sz w:val="24"/>
                <w:szCs w:val="24"/>
                <w:lang w:val="en-US" w:eastAsia="zh-CN" w:bidi="ar"/>
              </w:rPr>
              <w:t>0.0936kg/h</w:t>
            </w:r>
            <w:r>
              <w:rPr>
                <w:rFonts w:hint="eastAsia" w:ascii="Times New Roman" w:hAnsi="Times New Roman" w:cs="Times New Roman"/>
                <w:color w:val="auto"/>
                <w:sz w:val="24"/>
                <w:szCs w:val="24"/>
                <w:lang w:eastAsia="zh-CN" w:bidi="ar"/>
              </w:rPr>
              <w:t>，排放浓度约为</w:t>
            </w:r>
            <w:r>
              <w:rPr>
                <w:rFonts w:hint="eastAsia" w:ascii="Times New Roman" w:hAnsi="Times New Roman" w:cs="Times New Roman"/>
                <w:color w:val="auto"/>
                <w:sz w:val="24"/>
                <w:szCs w:val="24"/>
                <w:lang w:val="en-US" w:eastAsia="zh-CN" w:bidi="ar"/>
              </w:rPr>
              <w:t>31.2mg/m</w:t>
            </w:r>
            <w:r>
              <w:rPr>
                <w:rFonts w:hint="eastAsia" w:ascii="Times New Roman" w:hAnsi="Times New Roman" w:cs="Times New Roman"/>
                <w:color w:val="auto"/>
                <w:sz w:val="24"/>
                <w:szCs w:val="24"/>
                <w:vertAlign w:val="superscript"/>
                <w:lang w:val="en-US" w:eastAsia="zh-CN" w:bidi="ar"/>
              </w:rPr>
              <w:t>3</w:t>
            </w:r>
            <w:r>
              <w:rPr>
                <w:rFonts w:hint="default" w:ascii="Times New Roman" w:hAnsi="Times New Roman" w:cs="Times New Roman"/>
                <w:color w:val="auto"/>
                <w:sz w:val="24"/>
                <w:szCs w:val="24"/>
                <w:lang w:eastAsia="zh-CN" w:bidi="ar"/>
              </w:rPr>
              <w:t>；</w:t>
            </w:r>
            <w:r>
              <w:rPr>
                <w:rFonts w:hint="default" w:ascii="Times New Roman" w:hAnsi="Times New Roman" w:cs="Times New Roman"/>
                <w:color w:val="auto"/>
                <w:sz w:val="24"/>
                <w:szCs w:val="24"/>
                <w:lang w:val="en-US" w:eastAsia="zh-CN" w:bidi="ar"/>
              </w:rPr>
              <w:t>颗粒物排放</w:t>
            </w:r>
            <w:r>
              <w:rPr>
                <w:rFonts w:hint="default" w:ascii="Times New Roman" w:hAnsi="Times New Roman" w:cs="Times New Roman"/>
                <w:color w:val="auto"/>
                <w:sz w:val="24"/>
                <w:szCs w:val="24"/>
                <w:lang w:bidi="ar"/>
              </w:rPr>
              <w:t>量为</w:t>
            </w:r>
            <w:r>
              <w:rPr>
                <w:rFonts w:hint="default" w:ascii="Times New Roman" w:hAnsi="Times New Roman" w:cs="Times New Roman"/>
                <w:color w:val="auto"/>
                <w:sz w:val="24"/>
                <w:szCs w:val="24"/>
                <w:lang w:val="en-US" w:eastAsia="zh-CN" w:bidi="ar"/>
              </w:rPr>
              <w:t>0.0</w:t>
            </w:r>
            <w:r>
              <w:rPr>
                <w:rFonts w:hint="eastAsia" w:ascii="Times New Roman" w:hAnsi="Times New Roman" w:cs="Times New Roman"/>
                <w:color w:val="auto"/>
                <w:sz w:val="24"/>
                <w:szCs w:val="24"/>
                <w:lang w:val="en-US" w:eastAsia="zh-CN" w:bidi="ar"/>
              </w:rPr>
              <w:t>572</w:t>
            </w:r>
            <w:r>
              <w:rPr>
                <w:rFonts w:hint="default" w:ascii="Times New Roman" w:hAnsi="Times New Roman" w:cs="Times New Roman"/>
                <w:color w:val="auto"/>
                <w:sz w:val="24"/>
                <w:szCs w:val="24"/>
                <w:lang w:val="en-US" w:eastAsia="zh-CN" w:bidi="ar"/>
              </w:rPr>
              <w:t>t</w:t>
            </w:r>
            <w:r>
              <w:rPr>
                <w:rFonts w:hint="default" w:ascii="Times New Roman" w:hAnsi="Times New Roman" w:cs="Times New Roman"/>
                <w:color w:val="auto"/>
                <w:sz w:val="24"/>
                <w:szCs w:val="24"/>
                <w:lang w:bidi="ar"/>
              </w:rPr>
              <w:t>/a</w:t>
            </w:r>
            <w:r>
              <w:rPr>
                <w:rFonts w:hint="eastAsia" w:ascii="Times New Roman" w:hAnsi="Times New Roman" w:cs="Times New Roman"/>
                <w:color w:val="auto"/>
                <w:sz w:val="24"/>
                <w:szCs w:val="24"/>
                <w:lang w:eastAsia="zh-CN" w:bidi="ar"/>
              </w:rPr>
              <w:t>，排放速率为</w:t>
            </w:r>
            <w:r>
              <w:rPr>
                <w:rFonts w:hint="eastAsia" w:ascii="Times New Roman" w:hAnsi="Times New Roman" w:cs="Times New Roman"/>
                <w:color w:val="auto"/>
                <w:sz w:val="24"/>
                <w:szCs w:val="24"/>
                <w:lang w:val="en-US" w:eastAsia="zh-CN" w:bidi="ar"/>
              </w:rPr>
              <w:t>0.0286kg/h</w:t>
            </w:r>
            <w:r>
              <w:rPr>
                <w:rFonts w:hint="eastAsia" w:ascii="Times New Roman" w:hAnsi="Times New Roman" w:cs="Times New Roman"/>
                <w:color w:val="auto"/>
                <w:sz w:val="24"/>
                <w:szCs w:val="24"/>
                <w:lang w:eastAsia="zh-CN" w:bidi="ar"/>
              </w:rPr>
              <w:t>，排放浓度约为</w:t>
            </w:r>
            <w:r>
              <w:rPr>
                <w:rFonts w:hint="eastAsia" w:ascii="Times New Roman" w:hAnsi="Times New Roman" w:cs="Times New Roman"/>
                <w:color w:val="auto"/>
                <w:sz w:val="24"/>
                <w:szCs w:val="24"/>
                <w:lang w:val="en-US" w:eastAsia="zh-CN" w:bidi="ar"/>
              </w:rPr>
              <w:t>9.53mg/m</w:t>
            </w:r>
            <w:r>
              <w:rPr>
                <w:rFonts w:hint="eastAsia" w:ascii="Times New Roman" w:hAnsi="Times New Roman" w:cs="Times New Roman"/>
                <w:color w:val="auto"/>
                <w:sz w:val="24"/>
                <w:szCs w:val="24"/>
                <w:vertAlign w:val="superscript"/>
                <w:lang w:val="en-US" w:eastAsia="zh-CN" w:bidi="ar"/>
              </w:rPr>
              <w:t>3</w:t>
            </w:r>
            <w:r>
              <w:rPr>
                <w:rFonts w:hint="default" w:ascii="Times New Roman" w:hAnsi="Times New Roman" w:cs="Times New Roman"/>
                <w:color w:val="auto"/>
                <w:sz w:val="24"/>
                <w:szCs w:val="24"/>
                <w:lang w:eastAsia="zh-CN" w:bidi="ar"/>
              </w:rPr>
              <w:t>。</w:t>
            </w:r>
            <w:r>
              <w:rPr>
                <w:rFonts w:hint="eastAsia" w:ascii="Times New Roman" w:hAnsi="Times New Roman" w:cs="Times New Roman"/>
                <w:color w:val="auto"/>
                <w:sz w:val="24"/>
                <w:szCs w:val="24"/>
                <w:lang w:eastAsia="zh-CN" w:bidi="ar"/>
              </w:rPr>
              <w:t>天然气燃烧机废气与固化废气经由</w:t>
            </w:r>
            <w:r>
              <w:rPr>
                <w:rFonts w:hint="eastAsia" w:ascii="Times New Roman" w:hAnsi="Times New Roman" w:cs="Times New Roman"/>
                <w:color w:val="auto"/>
                <w:sz w:val="24"/>
                <w:szCs w:val="24"/>
                <w:lang w:val="en-US" w:eastAsia="zh-CN" w:bidi="ar"/>
              </w:rPr>
              <w:t>1根15m高排气筒（</w:t>
            </w:r>
            <w:r>
              <w:rPr>
                <w:rFonts w:hint="eastAsia" w:ascii="Times New Roman" w:hAnsi="Times New Roman" w:cs="Times New Roman"/>
                <w:b/>
                <w:bCs/>
                <w:color w:val="auto"/>
                <w:sz w:val="24"/>
                <w:szCs w:val="24"/>
                <w:lang w:val="en-US" w:eastAsia="zh-CN" w:bidi="ar"/>
              </w:rPr>
              <w:t>DA004</w:t>
            </w:r>
            <w:r>
              <w:rPr>
                <w:rFonts w:hint="eastAsia" w:ascii="Times New Roman" w:hAnsi="Times New Roman" w:cs="Times New Roman"/>
                <w:color w:val="auto"/>
                <w:sz w:val="24"/>
                <w:szCs w:val="24"/>
                <w:lang w:val="en-US" w:eastAsia="zh-CN" w:bidi="ar"/>
              </w:rPr>
              <w:t>）排放。</w:t>
            </w:r>
          </w:p>
          <w:p>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）预烘、浇注</w:t>
            </w:r>
            <w:r>
              <w:rPr>
                <w:rFonts w:hint="eastAsia" w:ascii="Times New Roman" w:hAnsi="Times New Roman" w:eastAsia="宋体" w:cs="Times New Roman"/>
                <w:color w:val="auto"/>
                <w:sz w:val="24"/>
                <w:szCs w:val="24"/>
                <w:lang w:eastAsia="zh-CN"/>
              </w:rPr>
              <w:t>及脱模</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b w:val="0"/>
                <w:bCs w:val="0"/>
                <w:color w:val="auto"/>
                <w:sz w:val="24"/>
                <w:szCs w:val="24"/>
                <w:u w:val="none"/>
                <w:lang w:val="en-US" w:eastAsia="zh-CN"/>
              </w:rPr>
              <w:t>非甲烷总烃（G</w:t>
            </w:r>
            <w:r>
              <w:rPr>
                <w:rFonts w:hint="eastAsia" w:ascii="Times New Roman" w:hAnsi="Times New Roman" w:cs="Times New Roman"/>
                <w:b w:val="0"/>
                <w:bCs w:val="0"/>
                <w:color w:val="auto"/>
                <w:sz w:val="24"/>
                <w:szCs w:val="24"/>
                <w:u w:val="none"/>
                <w:vertAlign w:val="subscript"/>
                <w:lang w:val="en-US" w:eastAsia="zh-CN"/>
              </w:rPr>
              <w:t>2-1</w:t>
            </w:r>
            <w:r>
              <w:rPr>
                <w:rFonts w:hint="eastAsia" w:ascii="Times New Roman" w:hAnsi="Times New Roman" w:cs="Times New Roman"/>
                <w:b w:val="0"/>
                <w:bCs w:val="0"/>
                <w:color w:val="auto"/>
                <w:sz w:val="24"/>
                <w:szCs w:val="24"/>
                <w:u w:val="none"/>
                <w:lang w:val="en-US" w:eastAsia="zh-CN"/>
              </w:rPr>
              <w:t>）、</w:t>
            </w:r>
            <w:r>
              <w:rPr>
                <w:rFonts w:hint="default" w:ascii="Times New Roman" w:hAnsi="Times New Roman" w:cs="Times New Roman"/>
                <w:b w:val="0"/>
                <w:bCs w:val="0"/>
                <w:color w:val="auto"/>
                <w:sz w:val="24"/>
                <w:szCs w:val="24"/>
                <w:lang w:val="en-US" w:eastAsia="zh-CN"/>
              </w:rPr>
              <w:t>二苯基甲烷二异氰酸酯（MDI）（G</w:t>
            </w:r>
            <w:r>
              <w:rPr>
                <w:rFonts w:hint="default" w:ascii="Times New Roman" w:hAnsi="Times New Roman" w:cs="Times New Roman"/>
                <w:b w:val="0"/>
                <w:bCs w:val="0"/>
                <w:color w:val="auto"/>
                <w:sz w:val="24"/>
                <w:szCs w:val="24"/>
                <w:vertAlign w:val="subscript"/>
                <w:lang w:val="en-US" w:eastAsia="zh-CN"/>
              </w:rPr>
              <w:t>2-2</w:t>
            </w:r>
            <w:r>
              <w:rPr>
                <w:rFonts w:hint="default" w:ascii="Times New Roman" w:hAnsi="Times New Roman" w:cs="Times New Roman"/>
                <w:b w:val="0"/>
                <w:bCs w:val="0"/>
                <w:color w:val="auto"/>
                <w:sz w:val="24"/>
                <w:szCs w:val="24"/>
                <w:lang w:val="en-US" w:eastAsia="zh-CN"/>
              </w:rPr>
              <w:t>）</w:t>
            </w:r>
          </w:p>
          <w:p>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将外购的聚氨酯预聚体和固化剂分别进行预烘（其中聚氨酯预聚体预烘温度为</w:t>
            </w:r>
            <w:r>
              <w:rPr>
                <w:rFonts w:hint="default" w:ascii="Times New Roman" w:hAnsi="Times New Roman" w:cs="Times New Roman"/>
                <w:color w:val="auto"/>
                <w:sz w:val="24"/>
                <w:szCs w:val="24"/>
                <w:lang w:val="en-US" w:eastAsia="zh-CN"/>
              </w:rPr>
              <w:t>60℃，固化剂预烘温度为120℃</w:t>
            </w:r>
            <w:r>
              <w:rPr>
                <w:rFonts w:hint="default" w:ascii="Times New Roman" w:hAnsi="Times New Roman" w:cs="Times New Roman"/>
                <w:color w:val="auto"/>
                <w:sz w:val="24"/>
                <w:szCs w:val="24"/>
                <w:lang w:eastAsia="zh-CN"/>
              </w:rPr>
              <w:t>），为浇注工序做准备。按比例将预烘完成的聚氨酯预聚体和固化剂投入至浇注机中，抽真空，然后注入到模具中，完成浇注工序（浇注时模具温度保持在</w:t>
            </w:r>
            <w:r>
              <w:rPr>
                <w:rFonts w:hint="default" w:ascii="Times New Roman" w:hAnsi="Times New Roman" w:cs="Times New Roman"/>
                <w:color w:val="auto"/>
                <w:sz w:val="24"/>
                <w:szCs w:val="24"/>
                <w:lang w:val="en-US" w:eastAsia="zh-CN"/>
              </w:rPr>
              <w:t>120℃左右</w:t>
            </w:r>
            <w:r>
              <w:rPr>
                <w:rFonts w:hint="default" w:ascii="Times New Roman" w:hAnsi="Times New Roman" w:cs="Times New Roman"/>
                <w:color w:val="auto"/>
                <w:sz w:val="24"/>
                <w:szCs w:val="24"/>
                <w:lang w:eastAsia="zh-CN"/>
              </w:rPr>
              <w:t>）。预烘和浇注工序聚氨酯预聚体和固化剂会发生少量分解，主要分解产物以非甲烷总烃</w:t>
            </w:r>
            <w:r>
              <w:rPr>
                <w:rFonts w:hint="eastAsia" w:ascii="Times New Roman" w:hAnsi="Times New Roman" w:cs="Times New Roman"/>
                <w:color w:val="auto"/>
                <w:sz w:val="24"/>
                <w:szCs w:val="24"/>
                <w:lang w:eastAsia="zh-CN"/>
              </w:rPr>
              <w:t>和</w:t>
            </w:r>
            <w:r>
              <w:rPr>
                <w:rFonts w:hint="default" w:ascii="Times New Roman" w:hAnsi="Times New Roman" w:cs="Times New Roman"/>
                <w:b w:val="0"/>
                <w:bCs w:val="0"/>
                <w:color w:val="auto"/>
                <w:sz w:val="24"/>
                <w:szCs w:val="24"/>
                <w:lang w:val="en-US" w:eastAsia="zh-CN"/>
              </w:rPr>
              <w:t>二苯基甲烷二异氰酸酯（MDI）</w:t>
            </w:r>
            <w:r>
              <w:rPr>
                <w:rFonts w:hint="default" w:ascii="Times New Roman" w:hAnsi="Times New Roman" w:cs="Times New Roman"/>
                <w:color w:val="auto"/>
                <w:sz w:val="24"/>
                <w:szCs w:val="24"/>
                <w:lang w:eastAsia="zh-CN"/>
              </w:rPr>
              <w:t>表征</w:t>
            </w:r>
            <w:r>
              <w:rPr>
                <w:rFonts w:hint="eastAsia" w:ascii="Times New Roman" w:hAnsi="Times New Roman" w:cs="Times New Roman"/>
                <w:color w:val="auto"/>
                <w:sz w:val="24"/>
                <w:szCs w:val="24"/>
                <w:lang w:eastAsia="zh-CN"/>
              </w:rPr>
              <w:t>，其中非甲烷总烃包含</w:t>
            </w:r>
            <w:r>
              <w:rPr>
                <w:rFonts w:hint="default" w:ascii="Times New Roman" w:hAnsi="Times New Roman" w:cs="Times New Roman"/>
                <w:b w:val="0"/>
                <w:bCs w:val="0"/>
                <w:color w:val="auto"/>
                <w:sz w:val="24"/>
                <w:szCs w:val="24"/>
                <w:lang w:val="en-US" w:eastAsia="zh-CN"/>
              </w:rPr>
              <w:t>二苯基甲烷二异氰酸酯（MDI）</w:t>
            </w:r>
            <w:r>
              <w:rPr>
                <w:rFonts w:hint="default" w:ascii="Times New Roman" w:hAnsi="Times New Roman" w:cs="Times New Roman"/>
                <w:color w:val="auto"/>
                <w:sz w:val="24"/>
                <w:szCs w:val="24"/>
                <w:lang w:eastAsia="zh-CN"/>
              </w:rPr>
              <w:t>。</w:t>
            </w:r>
          </w:p>
          <w:p>
            <w:pPr>
              <w:pStyle w:val="45"/>
              <w:spacing w:line="360" w:lineRule="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本项目</w:t>
            </w:r>
            <w:r>
              <w:rPr>
                <w:rFonts w:hint="eastAsia" w:ascii="Times New Roman" w:hAnsi="Times New Roman" w:eastAsia="宋体" w:cs="Times New Roman"/>
                <w:color w:val="auto"/>
                <w:lang w:val="en-US" w:eastAsia="zh-CN"/>
              </w:rPr>
              <w:t>预烘、浇注及冷却脱模</w:t>
            </w:r>
            <w:r>
              <w:rPr>
                <w:rFonts w:hint="default" w:ascii="Times New Roman" w:hAnsi="Times New Roman" w:eastAsia="宋体" w:cs="Times New Roman"/>
                <w:color w:val="auto"/>
                <w:lang w:val="zh-CN"/>
              </w:rPr>
              <w:t>工序污染物产排系数</w:t>
            </w:r>
            <w:r>
              <w:rPr>
                <w:rFonts w:hint="default" w:ascii="Times New Roman" w:hAnsi="Times New Roman" w:eastAsia="宋体" w:cs="Times New Roman"/>
                <w:b/>
                <w:bCs/>
                <w:color w:val="auto"/>
                <w:lang w:val="zh-CN"/>
              </w:rPr>
              <w:t>参考</w:t>
            </w:r>
            <w:r>
              <w:rPr>
                <w:rFonts w:hint="default" w:ascii="Times New Roman" w:hAnsi="Times New Roman" w:eastAsia="宋体" w:cs="Times New Roman"/>
                <w:color w:val="auto"/>
                <w:lang w:val="zh-CN"/>
              </w:rPr>
              <w:t>《排放源统计调查产排污核算方法和系数手册》中</w:t>
            </w:r>
            <w:r>
              <w:rPr>
                <w:rFonts w:hint="eastAsia" w:ascii="宋体" w:hAnsi="宋体" w:eastAsia="宋体" w:cs="宋体"/>
                <w:color w:val="auto"/>
                <w:lang w:val="zh-CN"/>
              </w:rPr>
              <w:t>“</w:t>
            </w:r>
            <w:r>
              <w:rPr>
                <w:rFonts w:hint="default" w:ascii="Times New Roman" w:hAnsi="Times New Roman" w:eastAsia="宋体" w:cs="Times New Roman"/>
                <w:color w:val="auto"/>
                <w:lang w:val="zh-CN"/>
              </w:rPr>
              <w:t>2929塑料零件及其他塑料制品制造行业系数表</w:t>
            </w:r>
            <w:r>
              <w:rPr>
                <w:rFonts w:hint="eastAsia" w:ascii="宋体" w:hAnsi="宋体" w:eastAsia="宋体" w:cs="宋体"/>
                <w:color w:val="auto"/>
                <w:lang w:val="zh-CN"/>
              </w:rPr>
              <w:t>”，</w:t>
            </w:r>
            <w:r>
              <w:rPr>
                <w:rFonts w:hint="default" w:ascii="Times New Roman" w:hAnsi="Times New Roman" w:eastAsia="宋体" w:cs="Times New Roman"/>
                <w:color w:val="auto"/>
                <w:lang w:val="zh-CN"/>
              </w:rPr>
              <w:t>见表</w:t>
            </w:r>
            <w:r>
              <w:rPr>
                <w:rFonts w:hint="default"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zh-CN"/>
              </w:rPr>
              <w:t>。</w:t>
            </w:r>
          </w:p>
          <w:p>
            <w:pPr>
              <w:pStyle w:val="45"/>
              <w:spacing w:line="240" w:lineRule="auto"/>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zh-CN"/>
              </w:rPr>
              <w:t>表</w:t>
            </w:r>
            <w:r>
              <w:rPr>
                <w:rFonts w:hint="eastAsia" w:ascii="Times New Roman" w:hAnsi="Times New Roman" w:eastAsia="宋体" w:cs="Times New Roman"/>
                <w:b/>
                <w:bCs/>
                <w:color w:val="auto"/>
                <w:lang w:val="en-US" w:eastAsia="zh-CN"/>
              </w:rPr>
              <w:t>4.8</w:t>
            </w:r>
            <w:r>
              <w:rPr>
                <w:rFonts w:hint="default" w:ascii="Times New Roman" w:hAnsi="Times New Roman" w:eastAsia="宋体" w:cs="Times New Roman"/>
                <w:b/>
                <w:bCs/>
                <w:color w:val="auto"/>
                <w:lang w:val="en-US" w:eastAsia="zh-CN"/>
              </w:rPr>
              <w:t xml:space="preserve">  2929塑料零件及其他塑料制品制造行业系数表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070"/>
              <w:gridCol w:w="1070"/>
              <w:gridCol w:w="1071"/>
              <w:gridCol w:w="1071"/>
              <w:gridCol w:w="1072"/>
              <w:gridCol w:w="1072"/>
              <w:gridCol w:w="107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工段名称</w:t>
                  </w:r>
                </w:p>
              </w:tc>
              <w:tc>
                <w:tcPr>
                  <w:tcW w:w="1058"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产品名称</w:t>
                  </w:r>
                </w:p>
              </w:tc>
              <w:tc>
                <w:tcPr>
                  <w:tcW w:w="1058"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原料名称</w:t>
                  </w:r>
                </w:p>
              </w:tc>
              <w:tc>
                <w:tcPr>
                  <w:tcW w:w="1058"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工艺名称</w:t>
                  </w:r>
                </w:p>
              </w:tc>
              <w:tc>
                <w:tcPr>
                  <w:tcW w:w="1058"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规模等级</w:t>
                  </w:r>
                </w:p>
              </w:tc>
              <w:tc>
                <w:tcPr>
                  <w:tcW w:w="2118" w:type="dxa"/>
                  <w:gridSpan w:val="2"/>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污染物指标</w:t>
                  </w:r>
                </w:p>
              </w:tc>
              <w:tc>
                <w:tcPr>
                  <w:tcW w:w="1059"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单位</w:t>
                  </w:r>
                </w:p>
              </w:tc>
              <w:tc>
                <w:tcPr>
                  <w:tcW w:w="1059"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58"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塑料零件</w:t>
                  </w:r>
                </w:p>
              </w:tc>
              <w:tc>
                <w:tcPr>
                  <w:tcW w:w="1058"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树脂、助剂</w:t>
                  </w:r>
                </w:p>
              </w:tc>
              <w:tc>
                <w:tcPr>
                  <w:tcW w:w="1058"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配料-混合-挤出/注塑</w:t>
                  </w:r>
                </w:p>
              </w:tc>
              <w:tc>
                <w:tcPr>
                  <w:tcW w:w="1058"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所有规模</w:t>
                  </w:r>
                </w:p>
              </w:tc>
              <w:tc>
                <w:tcPr>
                  <w:tcW w:w="1059"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1059"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vertAlign w:val="superscript"/>
                      <w:lang w:val="en-US" w:eastAsia="zh-CN"/>
                    </w:rPr>
                  </w:pPr>
                  <w:r>
                    <w:rPr>
                      <w:rFonts w:hint="default" w:ascii="Times New Roman" w:hAnsi="Times New Roman" w:cs="Times New Roman"/>
                      <w:color w:val="auto"/>
                      <w:sz w:val="21"/>
                      <w:szCs w:val="21"/>
                      <w:lang w:val="en-US" w:eastAsia="zh-CN"/>
                    </w:rPr>
                    <w:t>挥发性有机物</w:t>
                  </w:r>
                  <w:r>
                    <w:rPr>
                      <w:rFonts w:hint="default" w:ascii="Times New Roman" w:hAnsi="Times New Roman" w:cs="Times New Roman"/>
                      <w:color w:val="auto"/>
                      <w:sz w:val="21"/>
                      <w:szCs w:val="21"/>
                      <w:vertAlign w:val="superscript"/>
                      <w:lang w:val="en-US" w:eastAsia="zh-CN"/>
                    </w:rPr>
                    <w:t>①</w:t>
                  </w:r>
                </w:p>
              </w:tc>
              <w:tc>
                <w:tcPr>
                  <w:tcW w:w="1059"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千克/吨-产品</w:t>
                  </w:r>
                </w:p>
              </w:tc>
              <w:tc>
                <w:tcPr>
                  <w:tcW w:w="1059"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58"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58"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58"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58"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59"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59"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工业废气量</w:t>
                  </w:r>
                </w:p>
              </w:tc>
              <w:tc>
                <w:tcPr>
                  <w:tcW w:w="1059"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标立方米/吨-产品</w:t>
                  </w:r>
                </w:p>
              </w:tc>
              <w:tc>
                <w:tcPr>
                  <w:tcW w:w="1059"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vertAlign w:val="superscript"/>
                      <w:lang w:val="en-US" w:eastAsia="zh-CN"/>
                    </w:rPr>
                  </w:pPr>
                  <w:r>
                    <w:rPr>
                      <w:rFonts w:hint="default" w:ascii="Times New Roman" w:hAnsi="Times New Roman" w:cs="Times New Roman"/>
                      <w:color w:val="auto"/>
                      <w:sz w:val="21"/>
                      <w:szCs w:val="21"/>
                      <w:lang w:val="en-US" w:eastAsia="zh-CN"/>
                    </w:rPr>
                    <w:t>1.20×10</w:t>
                  </w:r>
                  <w:r>
                    <w:rPr>
                      <w:rFonts w:hint="default" w:ascii="Times New Roman" w:hAnsi="Times New Roman" w:cs="Times New Roman"/>
                      <w:color w:val="auto"/>
                      <w:sz w:val="21"/>
                      <w:szCs w:val="21"/>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4" w:type="dxa"/>
                  <w:gridSpan w:val="9"/>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both"/>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注：</w:t>
                  </w:r>
                  <w:r>
                    <w:rPr>
                      <w:rFonts w:hint="default" w:ascii="Times New Roman" w:hAnsi="Times New Roman" w:cs="Times New Roman"/>
                      <w:color w:val="auto"/>
                      <w:sz w:val="21"/>
                      <w:szCs w:val="21"/>
                      <w:vertAlign w:val="superscript"/>
                      <w:lang w:val="en-US" w:eastAsia="zh-CN"/>
                    </w:rPr>
                    <w:t>①</w:t>
                  </w:r>
                  <w:r>
                    <w:rPr>
                      <w:rFonts w:hint="default" w:ascii="Times New Roman" w:hAnsi="Times New Roman" w:cs="Times New Roman"/>
                      <w:color w:val="auto"/>
                      <w:sz w:val="21"/>
                      <w:szCs w:val="21"/>
                      <w:lang w:val="en-US" w:eastAsia="zh-CN"/>
                    </w:rPr>
                    <w:t>以非甲烷总烃计。</w:t>
                  </w:r>
                </w:p>
              </w:tc>
            </w:tr>
          </w:tbl>
          <w:p>
            <w:pPr>
              <w:spacing w:line="360" w:lineRule="auto"/>
              <w:ind w:firstLine="48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zh-CN"/>
              </w:rPr>
              <w:t>根据建设单位提供的资料，</w:t>
            </w:r>
            <w:r>
              <w:rPr>
                <w:rFonts w:hint="default" w:ascii="Times New Roman" w:hAnsi="Times New Roman" w:cs="Times New Roman"/>
                <w:color w:val="auto"/>
                <w:sz w:val="24"/>
                <w:szCs w:val="24"/>
                <w:lang w:eastAsia="zh-CN"/>
              </w:rPr>
              <w:t>聚氨酯预聚体和固化剂</w:t>
            </w:r>
            <w:r>
              <w:rPr>
                <w:rFonts w:hint="eastAsia" w:ascii="Times New Roman" w:hAnsi="Times New Roman" w:cs="Times New Roman"/>
                <w:color w:val="auto"/>
                <w:sz w:val="24"/>
                <w:szCs w:val="24"/>
                <w:lang w:eastAsia="zh-CN"/>
              </w:rPr>
              <w:t>总用量为</w:t>
            </w:r>
            <w:r>
              <w:rPr>
                <w:rFonts w:hint="eastAsia" w:ascii="Times New Roman" w:hAnsi="Times New Roman" w:cs="Times New Roman"/>
                <w:color w:val="auto"/>
                <w:sz w:val="24"/>
                <w:szCs w:val="24"/>
                <w:lang w:val="en-US" w:eastAsia="zh-CN"/>
              </w:rPr>
              <w:t>90t/a，产品重量约为90t/a，则非甲烷总烃产生量为0.243t/a。</w:t>
            </w:r>
          </w:p>
          <w:p>
            <w:pPr>
              <w:spacing w:line="360" w:lineRule="auto"/>
              <w:ind w:firstLine="480"/>
              <w:rPr>
                <w:rFonts w:hint="eastAsia" w:ascii="Times New Roman" w:hAnsi="Times New Roman" w:cs="Times New Roman"/>
                <w:b w:val="0"/>
                <w:bCs w:val="0"/>
                <w:color w:val="auto"/>
                <w:sz w:val="24"/>
                <w:szCs w:val="24"/>
                <w:u w:val="none"/>
                <w:lang w:val="en-US" w:eastAsia="zh-CN"/>
              </w:rPr>
            </w:pPr>
            <w:r>
              <w:rPr>
                <w:rFonts w:hint="default" w:ascii="Times New Roman" w:hAnsi="Times New Roman" w:cs="Times New Roman"/>
                <w:b w:val="0"/>
                <w:bCs w:val="0"/>
                <w:color w:val="auto"/>
                <w:sz w:val="24"/>
                <w:szCs w:val="24"/>
                <w:lang w:val="en-US" w:eastAsia="zh-CN"/>
              </w:rPr>
              <w:t>二苯基甲烷二异氰酸酯（MDI）</w:t>
            </w:r>
            <w:r>
              <w:rPr>
                <w:rFonts w:hint="eastAsia" w:ascii="Times New Roman" w:hAnsi="Times New Roman" w:cs="Times New Roman"/>
                <w:b w:val="0"/>
                <w:bCs w:val="0"/>
                <w:color w:val="auto"/>
                <w:sz w:val="24"/>
                <w:szCs w:val="24"/>
                <w:lang w:val="en-US" w:eastAsia="zh-CN"/>
              </w:rPr>
              <w:t>产排污系数按聚氨酯预聚</w:t>
            </w:r>
            <w:r>
              <w:rPr>
                <w:rFonts w:hint="default" w:ascii="Times New Roman" w:hAnsi="Times New Roman" w:cs="Times New Roman"/>
                <w:b w:val="0"/>
                <w:bCs w:val="0"/>
                <w:color w:val="auto"/>
                <w:sz w:val="24"/>
                <w:szCs w:val="24"/>
                <w:lang w:val="en-US" w:eastAsia="zh-CN"/>
              </w:rPr>
              <w:t>体用量的1‰计</w:t>
            </w:r>
            <w:r>
              <w:rPr>
                <w:rFonts w:hint="eastAsia" w:ascii="Times New Roman" w:hAnsi="Times New Roman" w:cs="Times New Roman"/>
                <w:b w:val="0"/>
                <w:bCs w:val="0"/>
                <w:color w:val="auto"/>
                <w:sz w:val="24"/>
                <w:szCs w:val="24"/>
                <w:lang w:val="en-US" w:eastAsia="zh-CN"/>
              </w:rPr>
              <w:t>，则</w:t>
            </w:r>
            <w:r>
              <w:rPr>
                <w:rFonts w:hint="default" w:ascii="Times New Roman" w:hAnsi="Times New Roman" w:cs="Times New Roman"/>
                <w:b w:val="0"/>
                <w:bCs w:val="0"/>
                <w:color w:val="auto"/>
                <w:sz w:val="24"/>
                <w:szCs w:val="24"/>
                <w:lang w:val="en-US" w:eastAsia="zh-CN"/>
              </w:rPr>
              <w:t>二苯基甲烷二异氰酸酯（MDI）</w:t>
            </w:r>
            <w:r>
              <w:rPr>
                <w:rFonts w:hint="eastAsia" w:ascii="Times New Roman" w:hAnsi="Times New Roman" w:cs="Times New Roman"/>
                <w:b w:val="0"/>
                <w:bCs w:val="0"/>
                <w:color w:val="auto"/>
                <w:sz w:val="24"/>
                <w:szCs w:val="24"/>
                <w:lang w:val="en-US" w:eastAsia="zh-CN"/>
              </w:rPr>
              <w:t>产生量为0.08t/a。</w:t>
            </w:r>
          </w:p>
          <w:p>
            <w:pPr>
              <w:spacing w:line="360" w:lineRule="auto"/>
              <w:ind w:firstLine="480"/>
              <w:rPr>
                <w:rFonts w:hint="eastAsia" w:ascii="Times New Roman" w:hAnsi="Times New Roman" w:cs="Times New Roman"/>
                <w:b w:val="0"/>
                <w:bCs w:val="0"/>
                <w:color w:val="auto"/>
                <w:sz w:val="24"/>
                <w:szCs w:val="24"/>
                <w:u w:val="none"/>
                <w:lang w:val="en-US" w:eastAsia="zh-CN"/>
              </w:rPr>
            </w:pPr>
            <w:r>
              <w:rPr>
                <w:rFonts w:hint="eastAsia" w:ascii="Times New Roman" w:hAnsi="Times New Roman" w:cs="Times New Roman"/>
                <w:b w:val="0"/>
                <w:bCs w:val="0"/>
                <w:color w:val="auto"/>
                <w:sz w:val="24"/>
                <w:szCs w:val="24"/>
                <w:u w:val="none"/>
                <w:lang w:val="en-US" w:eastAsia="zh-CN"/>
              </w:rPr>
              <w:t>（8）聚氨酯刀头浇注机清洗-非甲烷总烃（G</w:t>
            </w:r>
            <w:r>
              <w:rPr>
                <w:rFonts w:hint="eastAsia" w:ascii="Times New Roman" w:hAnsi="Times New Roman" w:cs="Times New Roman"/>
                <w:b w:val="0"/>
                <w:bCs w:val="0"/>
                <w:color w:val="auto"/>
                <w:sz w:val="24"/>
                <w:szCs w:val="24"/>
                <w:u w:val="none"/>
                <w:vertAlign w:val="subscript"/>
                <w:lang w:val="en-US" w:eastAsia="zh-CN"/>
              </w:rPr>
              <w:t>6-1</w:t>
            </w:r>
            <w:r>
              <w:rPr>
                <w:rFonts w:hint="eastAsia" w:ascii="Times New Roman" w:hAnsi="Times New Roman" w:cs="Times New Roman"/>
                <w:b w:val="0"/>
                <w:bCs w:val="0"/>
                <w:color w:val="auto"/>
                <w:sz w:val="24"/>
                <w:szCs w:val="24"/>
                <w:u w:val="none"/>
                <w:lang w:val="en-US" w:eastAsia="zh-CN"/>
              </w:rPr>
              <w:t>）</w:t>
            </w:r>
          </w:p>
          <w:p>
            <w:pPr>
              <w:spacing w:line="360" w:lineRule="auto"/>
              <w:ind w:firstLine="480"/>
              <w:rPr>
                <w:rFonts w:hint="eastAsia" w:ascii="Times New Roman" w:hAnsi="Times New Roman" w:cs="Times New Roman"/>
                <w:b w:val="0"/>
                <w:bCs w:val="0"/>
                <w:color w:val="auto"/>
                <w:sz w:val="24"/>
                <w:szCs w:val="24"/>
                <w:u w:val="none"/>
                <w:lang w:val="en-US" w:eastAsia="zh-CN"/>
              </w:rPr>
            </w:pPr>
            <w:r>
              <w:rPr>
                <w:rFonts w:hint="eastAsia" w:ascii="Times New Roman" w:hAnsi="Times New Roman" w:cs="Times New Roman"/>
                <w:b w:val="0"/>
                <w:bCs w:val="0"/>
                <w:color w:val="auto"/>
                <w:sz w:val="24"/>
                <w:szCs w:val="24"/>
                <w:u w:val="none"/>
                <w:lang w:val="en-US" w:eastAsia="zh-CN"/>
              </w:rPr>
              <w:t>根据建设单位提供的设计资料，为保障产品的品质，聚氨酯刀头浇注机须定期清洗。</w:t>
            </w:r>
            <w:r>
              <w:rPr>
                <w:rFonts w:hint="eastAsia" w:ascii="宋体" w:hAnsi="宋体"/>
                <w:color w:val="auto"/>
                <w:kern w:val="0"/>
                <w:sz w:val="24"/>
                <w:szCs w:val="24"/>
                <w:lang w:eastAsia="zh-CN"/>
              </w:rPr>
              <w:t>清洗剂（</w:t>
            </w:r>
            <w:r>
              <w:rPr>
                <w:rFonts w:hint="eastAsia" w:ascii="宋体" w:hAnsi="宋体"/>
                <w:color w:val="auto"/>
                <w:kern w:val="0"/>
                <w:sz w:val="24"/>
                <w:szCs w:val="24"/>
              </w:rPr>
              <w:t>二价酸酯、二元酸酯、混合酸二甲酯、混二酸二甲酯</w:t>
            </w:r>
            <w:r>
              <w:rPr>
                <w:rFonts w:ascii="宋体" w:hAnsi="宋体"/>
                <w:color w:val="auto"/>
                <w:kern w:val="0"/>
                <w:sz w:val="24"/>
                <w:szCs w:val="24"/>
              </w:rPr>
              <w:t>…</w:t>
            </w:r>
            <w:r>
              <w:rPr>
                <w:rFonts w:hint="eastAsia" w:ascii="宋体" w:hAnsi="宋体"/>
                <w:color w:val="auto"/>
                <w:kern w:val="0"/>
                <w:sz w:val="24"/>
                <w:szCs w:val="24"/>
                <w:lang w:eastAsia="zh-CN"/>
              </w:rPr>
              <w:t>）成分</w:t>
            </w:r>
            <w:r>
              <w:rPr>
                <w:rFonts w:hint="eastAsia" w:ascii="宋体" w:hAnsi="宋体"/>
                <w:color w:val="auto"/>
                <w:kern w:val="0"/>
                <w:sz w:val="24"/>
                <w:szCs w:val="24"/>
                <w:lang w:val="en-US" w:eastAsia="zh-CN"/>
              </w:rPr>
              <w:t>/组成信息为：</w:t>
            </w:r>
            <w:r>
              <w:rPr>
                <w:rFonts w:hint="default" w:ascii="Times New Roman" w:hAnsi="Times New Roman" w:cs="Times New Roman"/>
                <w:color w:val="auto"/>
                <w:kern w:val="0"/>
                <w:sz w:val="24"/>
                <w:szCs w:val="24"/>
              </w:rPr>
              <w:t>戊二酸二甲酯</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25%～60%</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CAS号：1119-40-0</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己二酸二甲酯</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20%～50%</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CAS号：627-93-0</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丁二酸二甲酯</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10%～30%</w:t>
            </w:r>
            <w:r>
              <w:rPr>
                <w:rFonts w:hint="default"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eastAsia="zh-CN"/>
              </w:rPr>
              <w:t>。</w:t>
            </w:r>
            <w:r>
              <w:rPr>
                <w:rFonts w:hint="eastAsia" w:ascii="宋体" w:hAnsi="宋体"/>
                <w:color w:val="auto"/>
                <w:kern w:val="0"/>
                <w:sz w:val="24"/>
                <w:szCs w:val="24"/>
                <w:lang w:eastAsia="zh-CN"/>
              </w:rPr>
              <w:t>清洗剂（</w:t>
            </w:r>
            <w:r>
              <w:rPr>
                <w:rFonts w:hint="eastAsia" w:ascii="宋体" w:hAnsi="宋体"/>
                <w:color w:val="auto"/>
                <w:kern w:val="0"/>
                <w:sz w:val="24"/>
                <w:szCs w:val="24"/>
              </w:rPr>
              <w:t>二价酸酯、二元酸酯、混合酸二甲酯、混二酸二甲酯</w:t>
            </w:r>
            <w:r>
              <w:rPr>
                <w:rFonts w:ascii="宋体" w:hAnsi="宋体"/>
                <w:color w:val="auto"/>
                <w:kern w:val="0"/>
                <w:sz w:val="24"/>
                <w:szCs w:val="24"/>
              </w:rPr>
              <w:t>…</w:t>
            </w:r>
            <w:r>
              <w:rPr>
                <w:rFonts w:hint="eastAsia" w:ascii="宋体" w:hAnsi="宋体"/>
                <w:color w:val="auto"/>
                <w:kern w:val="0"/>
                <w:sz w:val="24"/>
                <w:szCs w:val="24"/>
                <w:lang w:eastAsia="zh-CN"/>
              </w:rPr>
              <w:t>）使用量</w:t>
            </w:r>
            <w:r>
              <w:rPr>
                <w:rFonts w:hint="default" w:ascii="Times New Roman" w:hAnsi="Times New Roman" w:cs="Times New Roman"/>
                <w:color w:val="auto"/>
                <w:kern w:val="0"/>
                <w:sz w:val="24"/>
                <w:szCs w:val="24"/>
                <w:lang w:eastAsia="zh-CN"/>
              </w:rPr>
              <w:t>为</w:t>
            </w:r>
            <w:r>
              <w:rPr>
                <w:rFonts w:hint="eastAsia" w:ascii="Times New Roman" w:hAnsi="Times New Roman" w:cs="Times New Roman"/>
                <w:color w:val="auto"/>
                <w:kern w:val="0"/>
                <w:sz w:val="24"/>
                <w:szCs w:val="24"/>
                <w:lang w:val="en-US" w:eastAsia="zh-CN"/>
              </w:rPr>
              <w:t>1.0</w:t>
            </w:r>
            <w:r>
              <w:rPr>
                <w:rFonts w:hint="default" w:ascii="Times New Roman" w:hAnsi="Times New Roman" w:cs="Times New Roman"/>
                <w:color w:val="auto"/>
                <w:kern w:val="0"/>
                <w:sz w:val="24"/>
                <w:szCs w:val="24"/>
                <w:lang w:val="en-US" w:eastAsia="zh-CN"/>
              </w:rPr>
              <w:t>t/a，</w:t>
            </w:r>
            <w:r>
              <w:rPr>
                <w:rFonts w:hint="eastAsia" w:ascii="宋体" w:hAnsi="宋体"/>
                <w:color w:val="auto"/>
                <w:kern w:val="0"/>
                <w:sz w:val="24"/>
                <w:szCs w:val="24"/>
                <w:lang w:eastAsia="zh-CN"/>
              </w:rPr>
              <w:t>清洗剂（</w:t>
            </w:r>
            <w:r>
              <w:rPr>
                <w:rFonts w:hint="eastAsia" w:ascii="宋体" w:hAnsi="宋体"/>
                <w:color w:val="auto"/>
                <w:kern w:val="0"/>
                <w:sz w:val="24"/>
                <w:szCs w:val="24"/>
              </w:rPr>
              <w:t>二价酸酯、二元酸酯、混合酸二甲酯、混二酸二甲酯</w:t>
            </w:r>
            <w:r>
              <w:rPr>
                <w:rFonts w:ascii="宋体" w:hAnsi="宋体"/>
                <w:color w:val="auto"/>
                <w:kern w:val="0"/>
                <w:sz w:val="24"/>
                <w:szCs w:val="24"/>
              </w:rPr>
              <w:t>…</w:t>
            </w:r>
            <w:r>
              <w:rPr>
                <w:rFonts w:hint="eastAsia" w:ascii="宋体" w:hAnsi="宋体"/>
                <w:color w:val="auto"/>
                <w:kern w:val="0"/>
                <w:sz w:val="24"/>
                <w:szCs w:val="24"/>
                <w:lang w:eastAsia="zh-CN"/>
              </w:rPr>
              <w:t>）全部挥发，挥发量为</w:t>
            </w:r>
            <w:r>
              <w:rPr>
                <w:rFonts w:hint="eastAsia" w:ascii="Times New Roman" w:hAnsi="Times New Roman" w:cs="Times New Roman"/>
                <w:color w:val="auto"/>
                <w:kern w:val="0"/>
                <w:sz w:val="24"/>
                <w:szCs w:val="24"/>
                <w:lang w:val="en-US" w:eastAsia="zh-CN"/>
              </w:rPr>
              <w:t>1.0</w:t>
            </w:r>
            <w:r>
              <w:rPr>
                <w:rFonts w:hint="default" w:ascii="Times New Roman" w:hAnsi="Times New Roman" w:cs="Times New Roman"/>
                <w:color w:val="auto"/>
                <w:kern w:val="0"/>
                <w:sz w:val="24"/>
                <w:szCs w:val="24"/>
                <w:lang w:val="en-US" w:eastAsia="zh-CN"/>
              </w:rPr>
              <w:t>t/a</w:t>
            </w:r>
            <w:r>
              <w:rPr>
                <w:rFonts w:hint="eastAsia" w:ascii="宋体" w:hAnsi="宋体"/>
                <w:color w:val="auto"/>
                <w:kern w:val="0"/>
                <w:sz w:val="24"/>
                <w:szCs w:val="24"/>
                <w:lang w:eastAsia="zh-CN"/>
              </w:rPr>
              <w:t>。</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lang w:eastAsia="zh-CN"/>
              </w:rPr>
              <w:t>）注塑</w:t>
            </w:r>
            <w:r>
              <w:rPr>
                <w:rFonts w:hint="eastAsia" w:ascii="Times New Roman" w:hAnsi="Times New Roman" w:eastAsia="宋体" w:cs="Times New Roman"/>
                <w:color w:val="auto"/>
                <w:sz w:val="24"/>
                <w:lang w:val="en-US" w:eastAsia="zh-CN"/>
              </w:rPr>
              <w:t>-非甲烷总烃（G</w:t>
            </w:r>
            <w:r>
              <w:rPr>
                <w:rFonts w:hint="eastAsia" w:ascii="Times New Roman" w:hAnsi="Times New Roman" w:eastAsia="宋体" w:cs="Times New Roman"/>
                <w:color w:val="auto"/>
                <w:sz w:val="24"/>
                <w:vertAlign w:val="subscript"/>
                <w:lang w:val="en-US" w:eastAsia="zh-CN"/>
              </w:rPr>
              <w:t>7-1</w:t>
            </w:r>
            <w:r>
              <w:rPr>
                <w:rFonts w:hint="eastAsia" w:ascii="Times New Roman" w:hAnsi="Times New Roman" w:eastAsia="宋体" w:cs="Times New Roman"/>
                <w:color w:val="auto"/>
                <w:sz w:val="24"/>
                <w:lang w:val="en-US" w:eastAsia="zh-CN"/>
              </w:rPr>
              <w:t>）</w:t>
            </w:r>
          </w:p>
          <w:p>
            <w:pPr>
              <w:pStyle w:val="45"/>
              <w:spacing w:line="360" w:lineRule="auto"/>
              <w:rPr>
                <w:rFonts w:hint="default" w:ascii="Times New Roman" w:hAnsi="Times New Roman" w:eastAsia="宋体" w:cs="Times New Roman"/>
                <w:color w:val="auto"/>
                <w:lang w:val="zh-CN"/>
              </w:rPr>
            </w:pPr>
            <w:r>
              <w:rPr>
                <w:rFonts w:hint="eastAsia" w:ascii="Times New Roman" w:hAnsi="Times New Roman" w:eastAsia="宋体"/>
                <w:color w:val="auto"/>
                <w:lang w:val="zh-CN"/>
              </w:rPr>
              <w:t>本项目</w:t>
            </w:r>
            <w:r>
              <w:rPr>
                <w:rFonts w:hint="eastAsia" w:ascii="Times New Roman" w:hAnsi="Times New Roman" w:eastAsia="宋体"/>
                <w:color w:val="auto"/>
              </w:rPr>
              <w:t>注塑</w:t>
            </w:r>
            <w:r>
              <w:rPr>
                <w:rFonts w:ascii="Times New Roman" w:hAnsi="Times New Roman" w:eastAsia="宋体"/>
                <w:color w:val="auto"/>
                <w:lang w:val="zh-CN"/>
              </w:rPr>
              <w:t>工序污染物产排系数</w:t>
            </w:r>
            <w:r>
              <w:rPr>
                <w:rFonts w:ascii="Times New Roman" w:hAnsi="Times New Roman" w:eastAsia="宋体"/>
                <w:b/>
                <w:bCs/>
                <w:color w:val="auto"/>
                <w:lang w:val="zh-CN"/>
              </w:rPr>
              <w:t>参考</w:t>
            </w:r>
            <w:r>
              <w:rPr>
                <w:rFonts w:ascii="Times New Roman" w:hAnsi="Times New Roman" w:eastAsia="宋体"/>
                <w:color w:val="auto"/>
                <w:lang w:val="zh-CN"/>
              </w:rPr>
              <w:t>《排放源统计调查产排污核算方法和系数手册》中</w:t>
            </w:r>
            <w:r>
              <w:rPr>
                <w:rFonts w:hint="eastAsia" w:ascii="宋体" w:hAnsi="宋体" w:eastAsia="宋体" w:cs="宋体"/>
                <w:color w:val="auto"/>
                <w:lang w:val="zh-CN"/>
              </w:rPr>
              <w:t>“</w:t>
            </w:r>
            <w:r>
              <w:rPr>
                <w:rFonts w:ascii="Times New Roman" w:hAnsi="Times New Roman" w:eastAsia="宋体"/>
                <w:color w:val="auto"/>
                <w:lang w:val="zh-CN"/>
              </w:rPr>
              <w:t>2929塑料零件及其他塑料制品制造行业系数表</w:t>
            </w:r>
            <w:r>
              <w:rPr>
                <w:rFonts w:hint="eastAsia" w:ascii="宋体" w:hAnsi="宋体" w:eastAsia="宋体" w:cs="宋体"/>
                <w:color w:val="auto"/>
                <w:lang w:val="zh-CN"/>
              </w:rPr>
              <w:t>”，</w:t>
            </w:r>
            <w:r>
              <w:rPr>
                <w:rFonts w:hint="default" w:ascii="Times New Roman" w:hAnsi="Times New Roman" w:eastAsia="宋体" w:cs="Times New Roman"/>
                <w:color w:val="auto"/>
                <w:lang w:val="zh-CN"/>
              </w:rPr>
              <w:t>见表</w:t>
            </w:r>
            <w:r>
              <w:rPr>
                <w:rFonts w:hint="default"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lang w:val="zh-CN"/>
              </w:rPr>
              <w:t>。</w:t>
            </w:r>
          </w:p>
          <w:p>
            <w:pPr>
              <w:pStyle w:val="45"/>
              <w:ind w:firstLine="0" w:firstLineChars="0"/>
              <w:jc w:val="center"/>
              <w:rPr>
                <w:rFonts w:ascii="Times New Roman" w:hAnsi="Times New Roman" w:eastAsia="宋体"/>
                <w:b/>
                <w:bCs/>
                <w:color w:val="auto"/>
              </w:rPr>
            </w:pPr>
            <w:r>
              <w:rPr>
                <w:rFonts w:ascii="Times New Roman" w:hAnsi="Times New Roman" w:eastAsia="宋体"/>
                <w:b/>
                <w:bCs/>
                <w:color w:val="auto"/>
                <w:lang w:val="zh-CN"/>
              </w:rPr>
              <w:t>表</w:t>
            </w:r>
            <w:r>
              <w:rPr>
                <w:rFonts w:ascii="Times New Roman" w:hAnsi="Times New Roman" w:eastAsia="宋体"/>
                <w:b/>
                <w:bCs/>
                <w:color w:val="auto"/>
              </w:rPr>
              <w:t>4.</w:t>
            </w:r>
            <w:r>
              <w:rPr>
                <w:rFonts w:hint="eastAsia" w:ascii="Times New Roman" w:hAnsi="Times New Roman" w:eastAsia="宋体"/>
                <w:b/>
                <w:bCs/>
                <w:color w:val="auto"/>
                <w:lang w:val="en-US" w:eastAsia="zh-CN"/>
              </w:rPr>
              <w:t>9</w:t>
            </w:r>
            <w:r>
              <w:rPr>
                <w:rFonts w:ascii="Times New Roman" w:hAnsi="Times New Roman" w:eastAsia="宋体"/>
                <w:b/>
                <w:bCs/>
                <w:color w:val="auto"/>
              </w:rPr>
              <w:t xml:space="preserve">  2929塑料零件及其他塑料制品制造行业系数表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070"/>
              <w:gridCol w:w="1070"/>
              <w:gridCol w:w="1071"/>
              <w:gridCol w:w="1071"/>
              <w:gridCol w:w="1072"/>
              <w:gridCol w:w="1072"/>
              <w:gridCol w:w="107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Align w:val="center"/>
                </w:tcPr>
                <w:p>
                  <w:pPr>
                    <w:pStyle w:val="29"/>
                    <w:jc w:val="center"/>
                    <w:rPr>
                      <w:color w:val="auto"/>
                      <w:sz w:val="21"/>
                      <w:szCs w:val="21"/>
                    </w:rPr>
                  </w:pPr>
                  <w:r>
                    <w:rPr>
                      <w:rFonts w:hint="eastAsia"/>
                      <w:color w:val="auto"/>
                      <w:sz w:val="21"/>
                      <w:szCs w:val="21"/>
                    </w:rPr>
                    <w:t>工段名称</w:t>
                  </w:r>
                </w:p>
              </w:tc>
              <w:tc>
                <w:tcPr>
                  <w:tcW w:w="1058" w:type="dxa"/>
                  <w:vAlign w:val="center"/>
                </w:tcPr>
                <w:p>
                  <w:pPr>
                    <w:pStyle w:val="29"/>
                    <w:jc w:val="center"/>
                    <w:rPr>
                      <w:color w:val="auto"/>
                      <w:sz w:val="21"/>
                      <w:szCs w:val="21"/>
                    </w:rPr>
                  </w:pPr>
                  <w:r>
                    <w:rPr>
                      <w:rFonts w:hint="eastAsia"/>
                      <w:color w:val="auto"/>
                      <w:sz w:val="21"/>
                      <w:szCs w:val="21"/>
                    </w:rPr>
                    <w:t>产品名称</w:t>
                  </w:r>
                </w:p>
              </w:tc>
              <w:tc>
                <w:tcPr>
                  <w:tcW w:w="1058" w:type="dxa"/>
                  <w:vAlign w:val="center"/>
                </w:tcPr>
                <w:p>
                  <w:pPr>
                    <w:pStyle w:val="29"/>
                    <w:jc w:val="center"/>
                    <w:rPr>
                      <w:color w:val="auto"/>
                      <w:sz w:val="21"/>
                      <w:szCs w:val="21"/>
                    </w:rPr>
                  </w:pPr>
                  <w:r>
                    <w:rPr>
                      <w:rFonts w:hint="eastAsia"/>
                      <w:color w:val="auto"/>
                      <w:sz w:val="21"/>
                      <w:szCs w:val="21"/>
                    </w:rPr>
                    <w:t>原料名称</w:t>
                  </w:r>
                </w:p>
              </w:tc>
              <w:tc>
                <w:tcPr>
                  <w:tcW w:w="1058" w:type="dxa"/>
                  <w:vAlign w:val="center"/>
                </w:tcPr>
                <w:p>
                  <w:pPr>
                    <w:pStyle w:val="29"/>
                    <w:jc w:val="center"/>
                    <w:rPr>
                      <w:color w:val="auto"/>
                      <w:sz w:val="21"/>
                      <w:szCs w:val="21"/>
                    </w:rPr>
                  </w:pPr>
                  <w:r>
                    <w:rPr>
                      <w:rFonts w:hint="eastAsia"/>
                      <w:color w:val="auto"/>
                      <w:sz w:val="21"/>
                      <w:szCs w:val="21"/>
                    </w:rPr>
                    <w:t>工艺名称</w:t>
                  </w:r>
                </w:p>
              </w:tc>
              <w:tc>
                <w:tcPr>
                  <w:tcW w:w="1058" w:type="dxa"/>
                  <w:vAlign w:val="center"/>
                </w:tcPr>
                <w:p>
                  <w:pPr>
                    <w:pStyle w:val="29"/>
                    <w:jc w:val="center"/>
                    <w:rPr>
                      <w:color w:val="auto"/>
                      <w:sz w:val="21"/>
                      <w:szCs w:val="21"/>
                    </w:rPr>
                  </w:pPr>
                  <w:r>
                    <w:rPr>
                      <w:rFonts w:hint="eastAsia"/>
                      <w:color w:val="auto"/>
                      <w:sz w:val="21"/>
                      <w:szCs w:val="21"/>
                    </w:rPr>
                    <w:t>规模等级</w:t>
                  </w:r>
                </w:p>
              </w:tc>
              <w:tc>
                <w:tcPr>
                  <w:tcW w:w="2118" w:type="dxa"/>
                  <w:gridSpan w:val="2"/>
                  <w:vAlign w:val="center"/>
                </w:tcPr>
                <w:p>
                  <w:pPr>
                    <w:pStyle w:val="29"/>
                    <w:jc w:val="center"/>
                    <w:rPr>
                      <w:color w:val="auto"/>
                      <w:sz w:val="21"/>
                      <w:szCs w:val="21"/>
                    </w:rPr>
                  </w:pPr>
                  <w:r>
                    <w:rPr>
                      <w:rFonts w:hint="eastAsia"/>
                      <w:color w:val="auto"/>
                      <w:sz w:val="21"/>
                      <w:szCs w:val="21"/>
                    </w:rPr>
                    <w:t>污染物指标</w:t>
                  </w:r>
                </w:p>
              </w:tc>
              <w:tc>
                <w:tcPr>
                  <w:tcW w:w="1059" w:type="dxa"/>
                  <w:vAlign w:val="center"/>
                </w:tcPr>
                <w:p>
                  <w:pPr>
                    <w:pStyle w:val="29"/>
                    <w:jc w:val="center"/>
                    <w:rPr>
                      <w:color w:val="auto"/>
                      <w:sz w:val="21"/>
                      <w:szCs w:val="21"/>
                    </w:rPr>
                  </w:pPr>
                  <w:r>
                    <w:rPr>
                      <w:rFonts w:hint="eastAsia"/>
                      <w:color w:val="auto"/>
                      <w:sz w:val="21"/>
                      <w:szCs w:val="21"/>
                    </w:rPr>
                    <w:t>单位</w:t>
                  </w:r>
                </w:p>
              </w:tc>
              <w:tc>
                <w:tcPr>
                  <w:tcW w:w="1059" w:type="dxa"/>
                  <w:vAlign w:val="center"/>
                </w:tcPr>
                <w:p>
                  <w:pPr>
                    <w:pStyle w:val="29"/>
                    <w:jc w:val="center"/>
                    <w:rPr>
                      <w:color w:val="auto"/>
                      <w:sz w:val="21"/>
                      <w:szCs w:val="21"/>
                    </w:rPr>
                  </w:pPr>
                  <w:r>
                    <w:rPr>
                      <w:rFonts w:hint="eastAsia"/>
                      <w:color w:val="auto"/>
                      <w:sz w:val="21"/>
                      <w:szCs w:val="21"/>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restart"/>
                  <w:vAlign w:val="center"/>
                </w:tcPr>
                <w:p>
                  <w:pPr>
                    <w:pStyle w:val="29"/>
                    <w:jc w:val="center"/>
                    <w:rPr>
                      <w:color w:val="auto"/>
                      <w:sz w:val="21"/>
                      <w:szCs w:val="21"/>
                    </w:rPr>
                  </w:pPr>
                  <w:r>
                    <w:rPr>
                      <w:rFonts w:hint="eastAsia"/>
                      <w:color w:val="auto"/>
                      <w:sz w:val="21"/>
                      <w:szCs w:val="21"/>
                    </w:rPr>
                    <w:t>/</w:t>
                  </w:r>
                </w:p>
              </w:tc>
              <w:tc>
                <w:tcPr>
                  <w:tcW w:w="1058" w:type="dxa"/>
                  <w:vMerge w:val="restart"/>
                  <w:vAlign w:val="center"/>
                </w:tcPr>
                <w:p>
                  <w:pPr>
                    <w:pStyle w:val="29"/>
                    <w:jc w:val="center"/>
                    <w:rPr>
                      <w:color w:val="auto"/>
                      <w:sz w:val="21"/>
                      <w:szCs w:val="21"/>
                    </w:rPr>
                  </w:pPr>
                  <w:r>
                    <w:rPr>
                      <w:rFonts w:hint="eastAsia"/>
                      <w:color w:val="auto"/>
                      <w:sz w:val="21"/>
                      <w:szCs w:val="21"/>
                    </w:rPr>
                    <w:t>塑料零件</w:t>
                  </w:r>
                </w:p>
              </w:tc>
              <w:tc>
                <w:tcPr>
                  <w:tcW w:w="1058" w:type="dxa"/>
                  <w:vMerge w:val="restart"/>
                  <w:vAlign w:val="center"/>
                </w:tcPr>
                <w:p>
                  <w:pPr>
                    <w:pStyle w:val="29"/>
                    <w:jc w:val="center"/>
                    <w:rPr>
                      <w:color w:val="auto"/>
                      <w:sz w:val="21"/>
                      <w:szCs w:val="21"/>
                    </w:rPr>
                  </w:pPr>
                  <w:r>
                    <w:rPr>
                      <w:rFonts w:hint="eastAsia"/>
                      <w:color w:val="auto"/>
                      <w:sz w:val="21"/>
                      <w:szCs w:val="21"/>
                    </w:rPr>
                    <w:t>树脂、助剂</w:t>
                  </w:r>
                </w:p>
              </w:tc>
              <w:tc>
                <w:tcPr>
                  <w:tcW w:w="1058" w:type="dxa"/>
                  <w:vMerge w:val="restart"/>
                  <w:vAlign w:val="center"/>
                </w:tcPr>
                <w:p>
                  <w:pPr>
                    <w:pStyle w:val="29"/>
                    <w:jc w:val="center"/>
                    <w:rPr>
                      <w:color w:val="auto"/>
                      <w:sz w:val="21"/>
                      <w:szCs w:val="21"/>
                    </w:rPr>
                  </w:pPr>
                  <w:r>
                    <w:rPr>
                      <w:rFonts w:hint="eastAsia"/>
                      <w:color w:val="auto"/>
                      <w:sz w:val="21"/>
                      <w:szCs w:val="21"/>
                    </w:rPr>
                    <w:t>配料-混合-挤出/注塑</w:t>
                  </w:r>
                </w:p>
              </w:tc>
              <w:tc>
                <w:tcPr>
                  <w:tcW w:w="1058" w:type="dxa"/>
                  <w:vMerge w:val="restart"/>
                  <w:vAlign w:val="center"/>
                </w:tcPr>
                <w:p>
                  <w:pPr>
                    <w:pStyle w:val="29"/>
                    <w:jc w:val="center"/>
                    <w:rPr>
                      <w:color w:val="auto"/>
                      <w:sz w:val="21"/>
                      <w:szCs w:val="21"/>
                    </w:rPr>
                  </w:pPr>
                  <w:r>
                    <w:rPr>
                      <w:rFonts w:hint="eastAsia"/>
                      <w:color w:val="auto"/>
                      <w:sz w:val="21"/>
                      <w:szCs w:val="21"/>
                    </w:rPr>
                    <w:t>所有规模</w:t>
                  </w:r>
                </w:p>
              </w:tc>
              <w:tc>
                <w:tcPr>
                  <w:tcW w:w="1059" w:type="dxa"/>
                  <w:vMerge w:val="restart"/>
                  <w:vAlign w:val="center"/>
                </w:tcPr>
                <w:p>
                  <w:pPr>
                    <w:pStyle w:val="29"/>
                    <w:jc w:val="center"/>
                    <w:rPr>
                      <w:color w:val="auto"/>
                      <w:sz w:val="21"/>
                      <w:szCs w:val="21"/>
                    </w:rPr>
                  </w:pPr>
                  <w:r>
                    <w:rPr>
                      <w:rFonts w:hint="eastAsia"/>
                      <w:color w:val="auto"/>
                      <w:sz w:val="21"/>
                      <w:szCs w:val="21"/>
                    </w:rPr>
                    <w:t>废气</w:t>
                  </w:r>
                </w:p>
              </w:tc>
              <w:tc>
                <w:tcPr>
                  <w:tcW w:w="1059" w:type="dxa"/>
                  <w:vAlign w:val="center"/>
                </w:tcPr>
                <w:p>
                  <w:pPr>
                    <w:pStyle w:val="29"/>
                    <w:jc w:val="center"/>
                    <w:rPr>
                      <w:color w:val="auto"/>
                      <w:sz w:val="21"/>
                      <w:szCs w:val="21"/>
                      <w:vertAlign w:val="superscript"/>
                    </w:rPr>
                  </w:pPr>
                  <w:r>
                    <w:rPr>
                      <w:rFonts w:hint="eastAsia"/>
                      <w:color w:val="auto"/>
                      <w:sz w:val="21"/>
                      <w:szCs w:val="21"/>
                    </w:rPr>
                    <w:t>挥发性有机物</w:t>
                  </w:r>
                  <w:r>
                    <w:rPr>
                      <w:rFonts w:hint="eastAsia"/>
                      <w:color w:val="auto"/>
                      <w:sz w:val="21"/>
                      <w:szCs w:val="21"/>
                      <w:vertAlign w:val="superscript"/>
                    </w:rPr>
                    <w:t>①</w:t>
                  </w:r>
                </w:p>
              </w:tc>
              <w:tc>
                <w:tcPr>
                  <w:tcW w:w="1059" w:type="dxa"/>
                  <w:vAlign w:val="center"/>
                </w:tcPr>
                <w:p>
                  <w:pPr>
                    <w:pStyle w:val="29"/>
                    <w:jc w:val="center"/>
                    <w:rPr>
                      <w:color w:val="auto"/>
                      <w:sz w:val="21"/>
                      <w:szCs w:val="21"/>
                    </w:rPr>
                  </w:pPr>
                  <w:r>
                    <w:rPr>
                      <w:rFonts w:hint="eastAsia"/>
                      <w:color w:val="auto"/>
                      <w:sz w:val="21"/>
                      <w:szCs w:val="21"/>
                    </w:rPr>
                    <w:t>千克/吨-产品</w:t>
                  </w:r>
                </w:p>
              </w:tc>
              <w:tc>
                <w:tcPr>
                  <w:tcW w:w="1059" w:type="dxa"/>
                  <w:vAlign w:val="center"/>
                </w:tcPr>
                <w:p>
                  <w:pPr>
                    <w:pStyle w:val="29"/>
                    <w:jc w:val="center"/>
                    <w:rPr>
                      <w:color w:val="auto"/>
                      <w:sz w:val="21"/>
                      <w:szCs w:val="21"/>
                    </w:rPr>
                  </w:pPr>
                  <w:r>
                    <w:rPr>
                      <w:rFonts w:hint="eastAsia"/>
                      <w:color w:val="auto"/>
                      <w:sz w:val="21"/>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vAlign w:val="center"/>
                </w:tcPr>
                <w:p>
                  <w:pPr>
                    <w:pStyle w:val="29"/>
                    <w:jc w:val="center"/>
                    <w:rPr>
                      <w:color w:val="auto"/>
                      <w:sz w:val="21"/>
                      <w:szCs w:val="21"/>
                    </w:rPr>
                  </w:pPr>
                </w:p>
              </w:tc>
              <w:tc>
                <w:tcPr>
                  <w:tcW w:w="1058" w:type="dxa"/>
                  <w:vMerge w:val="continue"/>
                  <w:vAlign w:val="center"/>
                </w:tcPr>
                <w:p>
                  <w:pPr>
                    <w:pStyle w:val="29"/>
                    <w:jc w:val="center"/>
                    <w:rPr>
                      <w:color w:val="auto"/>
                      <w:sz w:val="21"/>
                      <w:szCs w:val="21"/>
                    </w:rPr>
                  </w:pPr>
                </w:p>
              </w:tc>
              <w:tc>
                <w:tcPr>
                  <w:tcW w:w="1058" w:type="dxa"/>
                  <w:vMerge w:val="continue"/>
                  <w:vAlign w:val="center"/>
                </w:tcPr>
                <w:p>
                  <w:pPr>
                    <w:pStyle w:val="29"/>
                    <w:jc w:val="center"/>
                    <w:rPr>
                      <w:color w:val="auto"/>
                      <w:sz w:val="21"/>
                      <w:szCs w:val="21"/>
                    </w:rPr>
                  </w:pPr>
                </w:p>
              </w:tc>
              <w:tc>
                <w:tcPr>
                  <w:tcW w:w="1058" w:type="dxa"/>
                  <w:vMerge w:val="continue"/>
                  <w:vAlign w:val="center"/>
                </w:tcPr>
                <w:p>
                  <w:pPr>
                    <w:pStyle w:val="29"/>
                    <w:jc w:val="center"/>
                    <w:rPr>
                      <w:color w:val="auto"/>
                      <w:sz w:val="21"/>
                      <w:szCs w:val="21"/>
                    </w:rPr>
                  </w:pPr>
                </w:p>
              </w:tc>
              <w:tc>
                <w:tcPr>
                  <w:tcW w:w="1058" w:type="dxa"/>
                  <w:vMerge w:val="continue"/>
                  <w:vAlign w:val="center"/>
                </w:tcPr>
                <w:p>
                  <w:pPr>
                    <w:pStyle w:val="29"/>
                    <w:jc w:val="center"/>
                    <w:rPr>
                      <w:color w:val="auto"/>
                      <w:sz w:val="21"/>
                      <w:szCs w:val="21"/>
                    </w:rPr>
                  </w:pPr>
                </w:p>
              </w:tc>
              <w:tc>
                <w:tcPr>
                  <w:tcW w:w="1059" w:type="dxa"/>
                  <w:vMerge w:val="continue"/>
                  <w:vAlign w:val="center"/>
                </w:tcPr>
                <w:p>
                  <w:pPr>
                    <w:pStyle w:val="29"/>
                    <w:jc w:val="center"/>
                    <w:rPr>
                      <w:color w:val="auto"/>
                      <w:sz w:val="21"/>
                      <w:szCs w:val="21"/>
                    </w:rPr>
                  </w:pPr>
                </w:p>
              </w:tc>
              <w:tc>
                <w:tcPr>
                  <w:tcW w:w="1059" w:type="dxa"/>
                  <w:vAlign w:val="center"/>
                </w:tcPr>
                <w:p>
                  <w:pPr>
                    <w:pStyle w:val="29"/>
                    <w:jc w:val="center"/>
                    <w:rPr>
                      <w:color w:val="auto"/>
                      <w:sz w:val="21"/>
                      <w:szCs w:val="21"/>
                    </w:rPr>
                  </w:pPr>
                  <w:r>
                    <w:rPr>
                      <w:rFonts w:hint="eastAsia"/>
                      <w:color w:val="auto"/>
                      <w:sz w:val="21"/>
                      <w:szCs w:val="21"/>
                    </w:rPr>
                    <w:t>工业废气量</w:t>
                  </w:r>
                </w:p>
              </w:tc>
              <w:tc>
                <w:tcPr>
                  <w:tcW w:w="1059" w:type="dxa"/>
                  <w:vAlign w:val="center"/>
                </w:tcPr>
                <w:p>
                  <w:pPr>
                    <w:pStyle w:val="29"/>
                    <w:jc w:val="center"/>
                    <w:rPr>
                      <w:color w:val="auto"/>
                      <w:sz w:val="21"/>
                      <w:szCs w:val="21"/>
                    </w:rPr>
                  </w:pPr>
                  <w:r>
                    <w:rPr>
                      <w:rFonts w:hint="eastAsia"/>
                      <w:color w:val="auto"/>
                      <w:sz w:val="21"/>
                      <w:szCs w:val="21"/>
                    </w:rPr>
                    <w:t>标立方米/吨-产品</w:t>
                  </w:r>
                </w:p>
              </w:tc>
              <w:tc>
                <w:tcPr>
                  <w:tcW w:w="1059" w:type="dxa"/>
                  <w:vAlign w:val="center"/>
                </w:tcPr>
                <w:p>
                  <w:pPr>
                    <w:pStyle w:val="29"/>
                    <w:jc w:val="center"/>
                    <w:rPr>
                      <w:color w:val="auto"/>
                      <w:sz w:val="21"/>
                      <w:szCs w:val="21"/>
                      <w:vertAlign w:val="superscript"/>
                    </w:rPr>
                  </w:pPr>
                  <w:r>
                    <w:rPr>
                      <w:color w:val="auto"/>
                      <w:sz w:val="21"/>
                      <w:szCs w:val="21"/>
                    </w:rPr>
                    <w:t>1.20×</w:t>
                  </w:r>
                  <w:r>
                    <w:rPr>
                      <w:rFonts w:hint="eastAsia"/>
                      <w:color w:val="auto"/>
                      <w:sz w:val="21"/>
                      <w:szCs w:val="21"/>
                    </w:rPr>
                    <w:t>10</w:t>
                  </w:r>
                  <w:r>
                    <w:rPr>
                      <w:rFonts w:hint="eastAsia"/>
                      <w:color w:val="auto"/>
                      <w:sz w:val="21"/>
                      <w:szCs w:val="2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4" w:type="dxa"/>
                  <w:gridSpan w:val="9"/>
                  <w:vAlign w:val="center"/>
                </w:tcPr>
                <w:p>
                  <w:pPr>
                    <w:pStyle w:val="29"/>
                    <w:keepNext w:val="0"/>
                    <w:keepLines w:val="0"/>
                    <w:pageBreakBefore w:val="0"/>
                    <w:widowControl w:val="0"/>
                    <w:kinsoku/>
                    <w:wordWrap/>
                    <w:overflowPunct/>
                    <w:topLinePunct w:val="0"/>
                    <w:autoSpaceDE w:val="0"/>
                    <w:autoSpaceDN w:val="0"/>
                    <w:bidi w:val="0"/>
                    <w:adjustRightInd w:val="0"/>
                    <w:snapToGrid/>
                    <w:ind w:firstLine="422" w:firstLineChars="200"/>
                    <w:textAlignment w:val="auto"/>
                    <w:rPr>
                      <w:color w:val="auto"/>
                      <w:sz w:val="21"/>
                      <w:szCs w:val="21"/>
                    </w:rPr>
                  </w:pPr>
                  <w:r>
                    <w:rPr>
                      <w:rFonts w:hint="eastAsia"/>
                      <w:b/>
                      <w:bCs/>
                      <w:color w:val="auto"/>
                      <w:sz w:val="21"/>
                      <w:szCs w:val="21"/>
                    </w:rPr>
                    <w:t>注：</w:t>
                  </w:r>
                  <w:r>
                    <w:rPr>
                      <w:rFonts w:hint="eastAsia"/>
                      <w:color w:val="auto"/>
                      <w:sz w:val="21"/>
                      <w:szCs w:val="21"/>
                      <w:vertAlign w:val="superscript"/>
                    </w:rPr>
                    <w:t>①</w:t>
                  </w:r>
                  <w:r>
                    <w:rPr>
                      <w:rFonts w:hint="eastAsia"/>
                      <w:color w:val="auto"/>
                      <w:sz w:val="21"/>
                      <w:szCs w:val="21"/>
                    </w:rPr>
                    <w:t>以非甲烷总烃计。</w:t>
                  </w:r>
                </w:p>
              </w:tc>
            </w:tr>
          </w:tbl>
          <w:p>
            <w:pPr>
              <w:autoSpaceDE w:val="0"/>
              <w:autoSpaceDN w:val="0"/>
              <w:adjustRightInd w:val="0"/>
              <w:spacing w:line="360" w:lineRule="auto"/>
              <w:ind w:firstLine="480" w:firstLineChars="200"/>
              <w:rPr>
                <w:rFonts w:ascii="Times New Roman" w:hAnsi="Times New Roman" w:cs="Times New Roman"/>
                <w:color w:val="auto"/>
                <w:sz w:val="24"/>
              </w:rPr>
            </w:pPr>
            <w:r>
              <w:rPr>
                <w:rFonts w:ascii="Times New Roman" w:hAnsi="Times New Roman" w:eastAsia="宋体" w:cs="Times New Roman"/>
                <w:color w:val="auto"/>
                <w:sz w:val="24"/>
                <w:lang w:val="zh-CN"/>
              </w:rPr>
              <w:t>本项目</w:t>
            </w:r>
            <w:r>
              <w:rPr>
                <w:rFonts w:hint="eastAsia" w:ascii="Times New Roman" w:hAnsi="Times New Roman" w:eastAsia="宋体" w:cs="Times New Roman"/>
                <w:color w:val="auto"/>
                <w:sz w:val="24"/>
                <w:lang w:val="zh-CN"/>
              </w:rPr>
              <w:t>矿山皮带输送类配套设备</w:t>
            </w:r>
            <w:r>
              <w:rPr>
                <w:rFonts w:hint="eastAsia" w:ascii="Times New Roman" w:hAnsi="Times New Roman" w:eastAsia="宋体" w:cs="Times New Roman"/>
                <w:color w:val="auto"/>
                <w:sz w:val="24"/>
                <w:lang w:val="en-US" w:eastAsia="zh-CN"/>
              </w:rPr>
              <w:t>-工业毛刷设备辊体重量为20吨</w:t>
            </w:r>
            <w:r>
              <w:rPr>
                <w:rFonts w:ascii="Times New Roman" w:hAnsi="Times New Roman" w:eastAsia="宋体" w:cs="Times New Roman"/>
                <w:color w:val="auto"/>
                <w:sz w:val="24"/>
                <w:lang w:val="zh-CN"/>
              </w:rPr>
              <w:t>，则非甲烷总烃产生量为</w:t>
            </w:r>
            <w:r>
              <w:rPr>
                <w:rFonts w:hint="eastAsia" w:ascii="Times New Roman" w:hAnsi="Times New Roman" w:eastAsia="宋体" w:cs="Times New Roman"/>
                <w:color w:val="auto"/>
                <w:sz w:val="24"/>
                <w:lang w:val="en-US" w:eastAsia="zh-CN"/>
              </w:rPr>
              <w:t>0.054</w:t>
            </w:r>
            <w:r>
              <w:rPr>
                <w:rFonts w:ascii="Times New Roman" w:hAnsi="Times New Roman" w:eastAsia="宋体" w:cs="Times New Roman"/>
                <w:color w:val="auto"/>
                <w:sz w:val="24"/>
                <w:lang w:val="zh-CN"/>
              </w:rPr>
              <w:t>t/a。</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10</w:t>
            </w:r>
            <w:r>
              <w:rPr>
                <w:rFonts w:hint="eastAsia" w:ascii="Times New Roman" w:hAnsi="Times New Roman" w:eastAsia="宋体" w:cs="Times New Roman"/>
                <w:color w:val="auto"/>
                <w:sz w:val="24"/>
                <w:lang w:eastAsia="zh-CN"/>
              </w:rPr>
              <w:t>）硫化</w:t>
            </w:r>
            <w:r>
              <w:rPr>
                <w:rFonts w:hint="eastAsia" w:ascii="Times New Roman" w:hAnsi="Times New Roman" w:eastAsia="宋体" w:cs="Times New Roman"/>
                <w:color w:val="auto"/>
                <w:sz w:val="24"/>
                <w:lang w:val="en-US" w:eastAsia="zh-CN"/>
              </w:rPr>
              <w:t>-非甲烷总烃（G</w:t>
            </w:r>
            <w:r>
              <w:rPr>
                <w:rFonts w:hint="eastAsia" w:ascii="Times New Roman" w:hAnsi="Times New Roman" w:eastAsia="宋体" w:cs="Times New Roman"/>
                <w:color w:val="auto"/>
                <w:sz w:val="24"/>
                <w:vertAlign w:val="subscript"/>
                <w:lang w:val="en-US" w:eastAsia="zh-CN"/>
              </w:rPr>
              <w:t>3-1</w:t>
            </w:r>
            <w:r>
              <w:rPr>
                <w:rFonts w:hint="eastAsia" w:ascii="Times New Roman" w:hAnsi="Times New Roman" w:eastAsia="宋体" w:cs="Times New Roman"/>
                <w:color w:val="auto"/>
                <w:sz w:val="24"/>
                <w:lang w:val="en-US" w:eastAsia="zh-CN"/>
              </w:rPr>
              <w:t>）、二硫化碳（G</w:t>
            </w:r>
            <w:r>
              <w:rPr>
                <w:rFonts w:hint="eastAsia" w:ascii="Times New Roman" w:hAnsi="Times New Roman" w:eastAsia="宋体" w:cs="Times New Roman"/>
                <w:color w:val="auto"/>
                <w:sz w:val="24"/>
                <w:vertAlign w:val="subscript"/>
                <w:lang w:val="en-US" w:eastAsia="zh-CN"/>
              </w:rPr>
              <w:t>3-2</w:t>
            </w:r>
            <w:r>
              <w:rPr>
                <w:rFonts w:hint="eastAsia" w:ascii="Times New Roman" w:hAnsi="Times New Roman" w:eastAsia="宋体" w:cs="Times New Roman"/>
                <w:color w:val="auto"/>
                <w:sz w:val="24"/>
                <w:lang w:val="en-US" w:eastAsia="zh-CN"/>
              </w:rPr>
              <w:t>）、臭气浓度（G</w:t>
            </w:r>
            <w:r>
              <w:rPr>
                <w:rFonts w:hint="eastAsia" w:ascii="Times New Roman" w:hAnsi="Times New Roman" w:eastAsia="宋体" w:cs="Times New Roman"/>
                <w:color w:val="auto"/>
                <w:sz w:val="24"/>
                <w:vertAlign w:val="subscript"/>
                <w:lang w:val="en-US" w:eastAsia="zh-CN"/>
              </w:rPr>
              <w:t>3-3</w:t>
            </w:r>
            <w:r>
              <w:rPr>
                <w:rFonts w:hint="eastAsia" w:ascii="Times New Roman" w:hAnsi="Times New Roman" w:eastAsia="宋体" w:cs="Times New Roman"/>
                <w:color w:val="auto"/>
                <w:sz w:val="24"/>
                <w:lang w:val="en-US" w:eastAsia="zh-CN"/>
              </w:rPr>
              <w:t>）</w:t>
            </w:r>
          </w:p>
          <w:p>
            <w:pPr>
              <w:pStyle w:val="45"/>
              <w:spacing w:line="36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sz w:val="24"/>
                <w:lang w:val="en-US" w:eastAsia="zh-CN"/>
              </w:rPr>
              <w:t>非甲烷总烃产生系数</w:t>
            </w:r>
            <w:r>
              <w:rPr>
                <w:rFonts w:hint="eastAsia" w:ascii="Times New Roman" w:hAnsi="Times New Roman" w:eastAsia="宋体" w:cs="Times New Roman"/>
                <w:b/>
                <w:bCs/>
                <w:color w:val="auto"/>
                <w:lang w:val="zh-CN" w:eastAsia="zh-CN"/>
              </w:rPr>
              <w:t>参考</w:t>
            </w:r>
            <w:r>
              <w:rPr>
                <w:rFonts w:hint="eastAsia" w:ascii="Times New Roman" w:hAnsi="Times New Roman" w:eastAsia="宋体" w:cs="Times New Roman"/>
                <w:color w:val="auto"/>
                <w:lang w:val="zh-CN" w:eastAsia="zh-CN"/>
              </w:rPr>
              <w:t>《橡胶制品生产过程中有机废气的排放系数》（橡胶工业</w:t>
            </w:r>
            <w:r>
              <w:rPr>
                <w:rFonts w:hint="eastAsia" w:ascii="Times New Roman" w:hAnsi="Times New Roman" w:eastAsia="宋体" w:cs="Times New Roman"/>
                <w:color w:val="auto"/>
                <w:lang w:val="en-US" w:eastAsia="zh-CN"/>
              </w:rPr>
              <w:t xml:space="preserve"> 2006年第53卷，张芝兰-伊尔姆环境资源管理咨询（上海）有限公司</w:t>
            </w:r>
            <w:r>
              <w:rPr>
                <w:rFonts w:hint="eastAsia" w:ascii="Times New Roman" w:hAnsi="Times New Roman" w:eastAsia="宋体" w:cs="Times New Roman"/>
                <w:color w:val="auto"/>
                <w:lang w:val="zh-CN" w:eastAsia="zh-CN"/>
              </w:rPr>
              <w:t>）中的数据，见表</w:t>
            </w:r>
            <w:r>
              <w:rPr>
                <w:rFonts w:hint="eastAsia" w:ascii="Times New Roman" w:hAnsi="Times New Roman" w:eastAsia="宋体" w:cs="Times New Roman"/>
                <w:color w:val="auto"/>
                <w:lang w:val="en-US" w:eastAsia="zh-CN"/>
              </w:rPr>
              <w:t>4.10。</w:t>
            </w:r>
          </w:p>
          <w:p>
            <w:pPr>
              <w:pStyle w:val="45"/>
              <w:spacing w:line="240" w:lineRule="auto"/>
              <w:ind w:left="0" w:leftChars="0" w:firstLine="0" w:firstLineChars="0"/>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表4.10  23类橡胶制品生产过程中污染物的最大排放系数  单位：mg/kg</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8"/>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7" w:type="dxa"/>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项目</w:t>
                  </w:r>
                </w:p>
              </w:tc>
              <w:tc>
                <w:tcPr>
                  <w:tcW w:w="4778" w:type="dxa"/>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硫化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7" w:type="dxa"/>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非甲烷总烃</w:t>
                  </w:r>
                </w:p>
              </w:tc>
              <w:tc>
                <w:tcPr>
                  <w:tcW w:w="4778" w:type="dxa"/>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149</w:t>
                  </w:r>
                </w:p>
              </w:tc>
            </w:tr>
          </w:tbl>
          <w:p>
            <w:pPr>
              <w:spacing w:line="360" w:lineRule="auto"/>
              <w:ind w:firstLine="48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zh-CN"/>
              </w:rPr>
              <w:t>本项目</w:t>
            </w:r>
            <w:r>
              <w:rPr>
                <w:rFonts w:hint="eastAsia" w:ascii="Times New Roman" w:hAnsi="Times New Roman" w:cs="Times New Roman"/>
                <w:color w:val="auto"/>
                <w:sz w:val="24"/>
                <w:szCs w:val="24"/>
                <w:lang w:eastAsia="zh-CN"/>
              </w:rPr>
              <w:t>橡胶胶片总用量为</w:t>
            </w:r>
            <w:r>
              <w:rPr>
                <w:rFonts w:hint="eastAsia" w:ascii="Times New Roman" w:hAnsi="Times New Roman" w:cs="Times New Roman"/>
                <w:color w:val="auto"/>
                <w:sz w:val="24"/>
                <w:szCs w:val="24"/>
                <w:lang w:val="en-US" w:eastAsia="zh-CN"/>
              </w:rPr>
              <w:t>50t/a，则非甲烷总烃产生量为0.00745t/a。</w:t>
            </w:r>
          </w:p>
          <w:p>
            <w:pPr>
              <w:pStyle w:val="45"/>
              <w:spacing w:line="36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zh-CN" w:eastAsia="zh-CN"/>
              </w:rPr>
              <w:t>二硫化碳产生系数</w:t>
            </w:r>
            <w:r>
              <w:rPr>
                <w:rFonts w:hint="eastAsia" w:ascii="Times New Roman" w:hAnsi="Times New Roman" w:eastAsia="宋体" w:cs="Times New Roman"/>
                <w:b/>
                <w:bCs/>
                <w:color w:val="auto"/>
                <w:lang w:val="zh-CN" w:eastAsia="zh-CN"/>
              </w:rPr>
              <w:t>参考</w:t>
            </w:r>
            <w:r>
              <w:rPr>
                <w:rFonts w:hint="eastAsia" w:ascii="Times New Roman" w:hAnsi="Times New Roman" w:eastAsia="宋体" w:cs="Times New Roman"/>
                <w:color w:val="auto"/>
                <w:lang w:val="zh-CN" w:eastAsia="zh-CN"/>
              </w:rPr>
              <w:t>《橡胶制品生产过程中有机废气的排放系数》（橡胶工业</w:t>
            </w:r>
            <w:r>
              <w:rPr>
                <w:rFonts w:hint="eastAsia" w:ascii="Times New Roman" w:hAnsi="Times New Roman" w:eastAsia="宋体" w:cs="Times New Roman"/>
                <w:color w:val="auto"/>
                <w:lang w:val="en-US" w:eastAsia="zh-CN"/>
              </w:rPr>
              <w:t xml:space="preserve"> 2006年第53卷，张芝兰-伊尔姆环境资源管理咨询（上海）有限公司</w:t>
            </w:r>
            <w:r>
              <w:rPr>
                <w:rFonts w:hint="eastAsia" w:ascii="Times New Roman" w:hAnsi="Times New Roman" w:eastAsia="宋体" w:cs="Times New Roman"/>
                <w:color w:val="auto"/>
                <w:lang w:val="zh-CN" w:eastAsia="zh-CN"/>
              </w:rPr>
              <w:t>）中的数据，见表</w:t>
            </w:r>
            <w:r>
              <w:rPr>
                <w:rFonts w:hint="eastAsia" w:ascii="Times New Roman" w:hAnsi="Times New Roman" w:eastAsia="宋体" w:cs="Times New Roman"/>
                <w:color w:val="auto"/>
                <w:lang w:val="en-US" w:eastAsia="zh-CN"/>
              </w:rPr>
              <w:t>4.11。</w:t>
            </w:r>
          </w:p>
          <w:p>
            <w:pPr>
              <w:pStyle w:val="45"/>
              <w:spacing w:line="240" w:lineRule="auto"/>
              <w:ind w:left="0" w:leftChars="0" w:firstLine="0" w:firstLineChars="0"/>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表4.11  23类橡胶制品生产过程中污染物的最大排放系数  单位：mg/kg</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8"/>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7" w:type="dxa"/>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项目</w:t>
                  </w:r>
                </w:p>
              </w:tc>
              <w:tc>
                <w:tcPr>
                  <w:tcW w:w="4778" w:type="dxa"/>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硫化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7" w:type="dxa"/>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二硫化碳</w:t>
                  </w:r>
                </w:p>
              </w:tc>
              <w:tc>
                <w:tcPr>
                  <w:tcW w:w="4778" w:type="dxa"/>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25.6</w:t>
                  </w:r>
                </w:p>
              </w:tc>
            </w:tr>
          </w:tbl>
          <w:p>
            <w:pPr>
              <w:spacing w:line="360" w:lineRule="auto"/>
              <w:ind w:firstLine="48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zh-CN"/>
              </w:rPr>
              <w:t>本项目</w:t>
            </w:r>
            <w:r>
              <w:rPr>
                <w:rFonts w:hint="eastAsia" w:ascii="Times New Roman" w:hAnsi="Times New Roman" w:cs="Times New Roman"/>
                <w:color w:val="auto"/>
                <w:sz w:val="24"/>
                <w:szCs w:val="24"/>
                <w:lang w:eastAsia="zh-CN"/>
              </w:rPr>
              <w:t>橡胶胶片总用量为</w:t>
            </w:r>
            <w:r>
              <w:rPr>
                <w:rFonts w:hint="eastAsia" w:ascii="Times New Roman" w:hAnsi="Times New Roman" w:cs="Times New Roman"/>
                <w:color w:val="auto"/>
                <w:sz w:val="24"/>
                <w:szCs w:val="24"/>
                <w:lang w:val="en-US" w:eastAsia="zh-CN"/>
              </w:rPr>
              <w:t>50t/a，则二硫化碳（CS</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）产生量为0.00128t/a。</w:t>
            </w:r>
          </w:p>
          <w:p>
            <w:pPr>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参照《排污许可证申请与核发技术规范</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橡胶和塑料制品工业》中：“表G</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橡胶制品工业污染物产污系数表</w:t>
            </w:r>
            <w:r>
              <w:rPr>
                <w:rFonts w:hint="eastAsia" w:ascii="Times New Roman" w:hAnsi="Times New Roman" w:eastAsia="宋体" w:cs="Times New Roman"/>
                <w:color w:val="auto"/>
                <w:sz w:val="24"/>
                <w:lang w:val="en-US" w:eastAsia="zh-CN"/>
              </w:rPr>
              <w:t>-硫化工业废气量为65000标立方米/吨三胶</w:t>
            </w:r>
            <w:r>
              <w:rPr>
                <w:rFonts w:hint="eastAsia" w:ascii="Times New Roman" w:hAnsi="Times New Roman" w:eastAsia="宋体" w:cs="Times New Roman"/>
                <w:color w:val="auto"/>
                <w:sz w:val="24"/>
                <w:lang w:eastAsia="zh-CN"/>
              </w:rPr>
              <w:t>”，计算可得硫化工段的废气量为1</w:t>
            </w:r>
            <w:r>
              <w:rPr>
                <w:rFonts w:hint="eastAsia" w:ascii="Times New Roman" w:hAnsi="Times New Roman" w:eastAsia="宋体" w:cs="Times New Roman"/>
                <w:color w:val="auto"/>
                <w:sz w:val="24"/>
                <w:lang w:val="en-US" w:eastAsia="zh-CN"/>
              </w:rPr>
              <w:t>625</w:t>
            </w:r>
            <w:r>
              <w:rPr>
                <w:rFonts w:hint="eastAsia" w:ascii="Times New Roman" w:hAnsi="Times New Roman" w:eastAsia="宋体" w:cs="Times New Roman"/>
                <w:color w:val="auto"/>
                <w:sz w:val="24"/>
                <w:lang w:eastAsia="zh-CN"/>
              </w:rPr>
              <w:t>m</w:t>
            </w:r>
            <w:r>
              <w:rPr>
                <w:rFonts w:hint="eastAsia" w:ascii="Times New Roman" w:hAnsi="Times New Roman" w:eastAsia="宋体" w:cs="Times New Roman"/>
                <w:color w:val="auto"/>
                <w:sz w:val="24"/>
                <w:vertAlign w:val="superscript"/>
                <w:lang w:eastAsia="zh-CN"/>
              </w:rPr>
              <w:t>3</w:t>
            </w:r>
            <w:r>
              <w:rPr>
                <w:rFonts w:hint="eastAsia" w:ascii="Times New Roman" w:hAnsi="Times New Roman" w:eastAsia="宋体" w:cs="Times New Roman"/>
                <w:color w:val="auto"/>
                <w:sz w:val="24"/>
                <w:lang w:eastAsia="zh-CN"/>
              </w:rPr>
              <w:t>/h。</w:t>
            </w:r>
          </w:p>
          <w:p>
            <w:pPr>
              <w:spacing w:line="360" w:lineRule="auto"/>
              <w:ind w:firstLine="480" w:firstLineChars="200"/>
              <w:rPr>
                <w:rFonts w:hint="default"/>
                <w:color w:val="auto"/>
                <w:lang w:val="en-US" w:eastAsia="zh-CN"/>
              </w:rPr>
            </w:pPr>
            <w:r>
              <w:rPr>
                <w:rFonts w:hint="eastAsia" w:ascii="Times New Roman" w:hAnsi="Times New Roman" w:eastAsia="宋体" w:cs="Times New Roman"/>
                <w:color w:val="auto"/>
                <w:sz w:val="24"/>
                <w:lang w:eastAsia="zh-CN"/>
              </w:rPr>
              <w:t>建设单位拟将预烘、浇注、脱模、清洗、注塑</w:t>
            </w:r>
            <w:r>
              <w:rPr>
                <w:rFonts w:hint="eastAsia" w:ascii="Times New Roman" w:hAnsi="Times New Roman" w:eastAsia="宋体" w:cs="Times New Roman"/>
                <w:color w:val="auto"/>
                <w:sz w:val="24"/>
                <w:lang w:val="en-US" w:eastAsia="zh-CN"/>
              </w:rPr>
              <w:t>及硫化</w:t>
            </w:r>
            <w:r>
              <w:rPr>
                <w:rFonts w:hint="eastAsia" w:ascii="Times New Roman" w:hAnsi="Times New Roman" w:eastAsia="宋体" w:cs="Times New Roman"/>
                <w:color w:val="auto"/>
                <w:sz w:val="24"/>
                <w:lang w:eastAsia="zh-CN"/>
              </w:rPr>
              <w:t>工序产生的废气统一收集后进入</w:t>
            </w:r>
            <w:r>
              <w:rPr>
                <w:rFonts w:hint="eastAsia" w:ascii="Times New Roman" w:hAnsi="Times New Roman" w:eastAsia="宋体" w:cs="Times New Roman"/>
                <w:color w:val="auto"/>
                <w:sz w:val="24"/>
                <w:szCs w:val="24"/>
                <w:lang w:val="en-US" w:eastAsia="zh-CN"/>
              </w:rPr>
              <w:t>“风冷+两级活性炭吸附箱”</w:t>
            </w:r>
            <w:r>
              <w:rPr>
                <w:rFonts w:hint="eastAsia" w:ascii="Times New Roman" w:hAnsi="Times New Roman" w:eastAsia="宋体" w:cs="Times New Roman"/>
                <w:color w:val="auto"/>
                <w:sz w:val="24"/>
                <w:lang w:eastAsia="zh-CN"/>
              </w:rPr>
              <w:t>处理，配套风机风量为</w:t>
            </w:r>
            <w:r>
              <w:rPr>
                <w:rFonts w:hint="eastAsia" w:ascii="Times New Roman" w:hAnsi="Times New Roman" w:eastAsia="宋体" w:cs="Times New Roman"/>
                <w:color w:val="auto"/>
                <w:sz w:val="24"/>
                <w:lang w:val="en-US" w:eastAsia="zh-CN"/>
              </w:rPr>
              <w:t>30000m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/h，集气罩收集效率设计为80%，年运行2400h，</w:t>
            </w:r>
            <w:r>
              <w:rPr>
                <w:rFonts w:hint="eastAsia" w:ascii="Times New Roman" w:hAnsi="Times New Roman" w:eastAsia="宋体" w:cs="Times New Roman"/>
                <w:color w:val="auto"/>
                <w:sz w:val="24"/>
                <w:szCs w:val="24"/>
                <w:lang w:val="en-US" w:eastAsia="zh-CN"/>
              </w:rPr>
              <w:t>“风冷+两级活性炭吸附箱”</w:t>
            </w:r>
            <w:r>
              <w:rPr>
                <w:rFonts w:hint="eastAsia" w:ascii="Times New Roman" w:hAnsi="Times New Roman" w:eastAsia="宋体" w:cs="Times New Roman"/>
                <w:color w:val="auto"/>
                <w:sz w:val="24"/>
                <w:lang w:val="en-US" w:eastAsia="zh-CN"/>
              </w:rPr>
              <w:t>净化效率设计为80%。</w:t>
            </w:r>
            <w:r>
              <w:rPr>
                <w:rFonts w:hint="eastAsia" w:ascii="Times New Roman" w:hAnsi="Times New Roman" w:eastAsia="宋体" w:cs="Times New Roman"/>
                <w:color w:val="auto"/>
                <w:sz w:val="24"/>
                <w:lang w:eastAsia="zh-CN"/>
              </w:rPr>
              <w:t>预烘、浇注、脱模、清洗、注塑</w:t>
            </w:r>
            <w:r>
              <w:rPr>
                <w:rFonts w:hint="eastAsia" w:ascii="Times New Roman" w:hAnsi="Times New Roman" w:eastAsia="宋体" w:cs="Times New Roman"/>
                <w:color w:val="auto"/>
                <w:sz w:val="24"/>
                <w:lang w:val="en-US" w:eastAsia="zh-CN"/>
              </w:rPr>
              <w:t>及硫化</w:t>
            </w:r>
            <w:r>
              <w:rPr>
                <w:rFonts w:hint="eastAsia" w:ascii="Times New Roman" w:hAnsi="Times New Roman" w:eastAsia="宋体" w:cs="Times New Roman"/>
                <w:color w:val="auto"/>
                <w:sz w:val="24"/>
                <w:lang w:eastAsia="zh-CN"/>
              </w:rPr>
              <w:t>工序非甲烷总烃产生总量为</w:t>
            </w:r>
            <w:r>
              <w:rPr>
                <w:rFonts w:hint="eastAsia" w:ascii="Times New Roman" w:hAnsi="Times New Roman" w:eastAsia="宋体" w:cs="Times New Roman"/>
                <w:color w:val="auto"/>
                <w:sz w:val="24"/>
                <w:lang w:val="en-US" w:eastAsia="zh-CN"/>
              </w:rPr>
              <w:t>1.30445t/a，</w:t>
            </w:r>
            <w:r>
              <w:rPr>
                <w:rFonts w:hint="default" w:ascii="Times New Roman" w:hAnsi="Times New Roman" w:cs="Times New Roman"/>
                <w:b w:val="0"/>
                <w:bCs w:val="0"/>
                <w:color w:val="auto"/>
                <w:sz w:val="24"/>
                <w:szCs w:val="24"/>
                <w:lang w:val="en-US" w:eastAsia="zh-CN"/>
              </w:rPr>
              <w:t>二苯基甲烷二异氰酸酯（MDI）</w:t>
            </w:r>
            <w:r>
              <w:rPr>
                <w:rFonts w:hint="eastAsia" w:ascii="Times New Roman" w:hAnsi="Times New Roman" w:cs="Times New Roman"/>
                <w:b w:val="0"/>
                <w:bCs w:val="0"/>
                <w:color w:val="auto"/>
                <w:sz w:val="24"/>
                <w:szCs w:val="24"/>
                <w:lang w:val="en-US" w:eastAsia="zh-CN"/>
              </w:rPr>
              <w:t>产生总量为0.08t/a，二硫化碳量为0.00128t/a，</w:t>
            </w:r>
            <w:r>
              <w:rPr>
                <w:rFonts w:hint="eastAsia" w:ascii="Times New Roman" w:hAnsi="Times New Roman" w:eastAsia="宋体" w:cs="Times New Roman"/>
                <w:color w:val="auto"/>
                <w:sz w:val="24"/>
                <w:lang w:val="en-US" w:eastAsia="zh-CN"/>
              </w:rPr>
              <w:t>则非甲烷总烃有组织产生量为1.04356t/a，产生速率为0.43482kg/h，产生浓度为14.494mg/m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w:t>
            </w:r>
            <w:r>
              <w:rPr>
                <w:rFonts w:hint="default" w:ascii="Times New Roman" w:hAnsi="Times New Roman" w:cs="Times New Roman"/>
                <w:b w:val="0"/>
                <w:bCs w:val="0"/>
                <w:color w:val="auto"/>
                <w:sz w:val="24"/>
                <w:szCs w:val="24"/>
                <w:lang w:val="en-US" w:eastAsia="zh-CN"/>
              </w:rPr>
              <w:t>二苯基甲烷二异氰酸酯（MDI）</w:t>
            </w:r>
            <w:r>
              <w:rPr>
                <w:rFonts w:hint="eastAsia" w:ascii="Times New Roman" w:hAnsi="Times New Roman" w:eastAsia="宋体" w:cs="Times New Roman"/>
                <w:color w:val="auto"/>
                <w:sz w:val="24"/>
                <w:lang w:val="en-US" w:eastAsia="zh-CN"/>
              </w:rPr>
              <w:t>有组织产生量为0.072t/a，产生速率为0.036kg/h，产生浓度为1.2mg/m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；二硫化碳有组织产生量为0.00102t/a，产生速率为0.00042kg/h，产生浓度为0.014mg/m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；经</w:t>
            </w:r>
            <w:r>
              <w:rPr>
                <w:rFonts w:hint="eastAsia" w:ascii="Times New Roman" w:hAnsi="Times New Roman" w:eastAsia="宋体" w:cs="Times New Roman"/>
                <w:color w:val="auto"/>
                <w:sz w:val="24"/>
                <w:szCs w:val="24"/>
                <w:lang w:val="en-US" w:eastAsia="zh-CN"/>
              </w:rPr>
              <w:t>“风冷+两级活性炭吸附箱”</w:t>
            </w:r>
            <w:r>
              <w:rPr>
                <w:rFonts w:hint="eastAsia" w:ascii="Times New Roman" w:hAnsi="Times New Roman" w:eastAsia="宋体" w:cs="Times New Roman"/>
                <w:color w:val="auto"/>
                <w:sz w:val="24"/>
                <w:lang w:val="en-US" w:eastAsia="zh-CN"/>
              </w:rPr>
              <w:t>净化后，非甲烷总烃有组织排放量为0.20871t/a，排放速率为0.08696kg/h，排放浓度为2.8988mg/m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w:t>
            </w:r>
            <w:r>
              <w:rPr>
                <w:rFonts w:hint="default" w:ascii="Times New Roman" w:hAnsi="Times New Roman" w:cs="Times New Roman"/>
                <w:b w:val="0"/>
                <w:bCs w:val="0"/>
                <w:color w:val="auto"/>
                <w:sz w:val="24"/>
                <w:szCs w:val="24"/>
                <w:lang w:val="en-US" w:eastAsia="zh-CN"/>
              </w:rPr>
              <w:t>二苯基甲烷二异氰酸酯（MDI）</w:t>
            </w:r>
            <w:r>
              <w:rPr>
                <w:rFonts w:hint="eastAsia" w:ascii="Times New Roman" w:hAnsi="Times New Roman" w:eastAsia="宋体" w:cs="Times New Roman"/>
                <w:color w:val="auto"/>
                <w:sz w:val="24"/>
                <w:lang w:val="en-US" w:eastAsia="zh-CN"/>
              </w:rPr>
              <w:t>有组织排放量为0.0144t/a，排放速率为0.0072kg/h，排放浓度为0.24mg/m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；二硫化碳（CS</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）有组织排放量为0.00020t/a，排放速率为0.00008kg/h，排放浓度为0.0028mg/m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。预烘、浇注、脱模、清洗、注塑及硫化工序废气经处理后由1根15m高排气筒（</w:t>
            </w:r>
            <w:r>
              <w:rPr>
                <w:rFonts w:hint="eastAsia" w:ascii="Times New Roman" w:hAnsi="Times New Roman" w:eastAsia="宋体" w:cs="Times New Roman"/>
                <w:b/>
                <w:bCs/>
                <w:color w:val="auto"/>
                <w:sz w:val="24"/>
                <w:lang w:val="en-US" w:eastAsia="zh-CN"/>
              </w:rPr>
              <w:t>DA005</w:t>
            </w:r>
            <w:r>
              <w:rPr>
                <w:rFonts w:hint="eastAsia" w:ascii="Times New Roman" w:hAnsi="Times New Roman" w:eastAsia="宋体" w:cs="Times New Roman"/>
                <w:color w:val="auto"/>
                <w:sz w:val="24"/>
                <w:lang w:val="en-US" w:eastAsia="zh-CN"/>
              </w:rPr>
              <w:t>）排放。</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集气罩未收集的非甲烷总烃量为0.26089t/a，排放速率为0.10870kg/h；</w:t>
            </w:r>
            <w:r>
              <w:rPr>
                <w:rFonts w:hint="default" w:ascii="Times New Roman" w:hAnsi="Times New Roman" w:cs="Times New Roman"/>
                <w:b w:val="0"/>
                <w:bCs w:val="0"/>
                <w:color w:val="auto"/>
                <w:sz w:val="24"/>
                <w:szCs w:val="24"/>
                <w:lang w:val="en-US" w:eastAsia="zh-CN"/>
              </w:rPr>
              <w:t>二苯基甲烷二异氰酸酯（MDI）</w:t>
            </w:r>
            <w:r>
              <w:rPr>
                <w:rFonts w:hint="eastAsia" w:ascii="Times New Roman" w:hAnsi="Times New Roman" w:eastAsia="宋体" w:cs="Times New Roman"/>
                <w:color w:val="auto"/>
                <w:sz w:val="24"/>
                <w:lang w:val="en-US" w:eastAsia="zh-CN"/>
              </w:rPr>
              <w:t>量为0.008t/a，排放速率为0.004kg/h；二硫化碳量为0.00026t/a，排放速率为0.00011kg/h。</w:t>
            </w:r>
          </w:p>
          <w:p>
            <w:pPr>
              <w:autoSpaceDE w:val="0"/>
              <w:autoSpaceDN w:val="0"/>
              <w:adjustRightIn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橡胶制品工业污染物排放标准》（GB27632-2011）：“4.2.8大气污染物排放浓度限值适用于单位胶料实际排气量不高于单位胶料基准排气量的情况。若单位胶料实际排气量超过单位胶料基准排气量，须将实测大气污染物浓度换算为大气污染物基准气量排放浓度，并以大气污染物基准气量排放浓度作为判定排放是否达标的依据。大气污染物基准气量排放浓度的换算，可参照采用水污染物基准水量排放浓度的计算公式。胶料消耗量和排气量统计周期为一个工作日。”</w:t>
            </w:r>
          </w:p>
          <w:p>
            <w:pPr>
              <w:autoSpaceDE w:val="0"/>
              <w:autoSpaceDN w:val="0"/>
              <w:adjustRightIn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大气污染物基准气量排放浓度的换算见下式所示：</w:t>
            </w:r>
          </w:p>
          <w:p>
            <w:pPr>
              <w:pStyle w:val="2"/>
              <w:ind w:left="0" w:leftChars="0" w:firstLine="0" w:firstLineChars="0"/>
              <w:jc w:val="center"/>
              <w:rPr>
                <w:color w:val="auto"/>
              </w:rPr>
            </w:pPr>
            <w:r>
              <w:rPr>
                <w:color w:val="auto"/>
              </w:rPr>
              <w:drawing>
                <wp:inline distT="0" distB="0" distL="114300" distR="114300">
                  <wp:extent cx="1952625" cy="485775"/>
                  <wp:effectExtent l="0" t="0" r="9525"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6"/>
                          <a:stretch>
                            <a:fillRect/>
                          </a:stretch>
                        </pic:blipFill>
                        <pic:spPr>
                          <a:xfrm>
                            <a:off x="0" y="0"/>
                            <a:ext cx="1952625" cy="4857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w:t>
            </w:r>
            <w:r>
              <w:rPr>
                <w:rFonts w:hint="eastAsia" w:ascii="Times New Roman" w:hAnsi="Times New Roman" w:cs="Times New Roman"/>
                <w:color w:val="auto"/>
                <w:sz w:val="24"/>
                <w:szCs w:val="24"/>
                <w:lang w:val="en-US" w:eastAsia="zh-CN"/>
              </w:rPr>
              <w:t>C</w:t>
            </w:r>
            <w:r>
              <w:rPr>
                <w:rFonts w:hint="eastAsia" w:ascii="Times New Roman" w:hAnsi="Times New Roman" w:cs="Times New Roman"/>
                <w:color w:val="auto"/>
                <w:sz w:val="24"/>
                <w:szCs w:val="24"/>
                <w:vertAlign w:val="subscript"/>
                <w:lang w:val="en-US" w:eastAsia="zh-CN"/>
              </w:rPr>
              <w:t>基</w:t>
            </w:r>
            <w:r>
              <w:rPr>
                <w:rFonts w:hint="default" w:ascii="Times New Roman" w:hAnsi="Times New Roman" w:cs="Times New Roman"/>
                <w:color w:val="auto"/>
                <w:sz w:val="24"/>
                <w:szCs w:val="24"/>
                <w:lang w:val="en-US" w:eastAsia="zh-CN"/>
              </w:rPr>
              <w:t>——基准排放浓度，mg/m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ind w:left="0" w:leftChars="0" w:firstLine="1200" w:firstLineChars="5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Q</w:t>
            </w:r>
            <w:r>
              <w:rPr>
                <w:rFonts w:hint="default" w:ascii="Times New Roman" w:hAnsi="Times New Roman" w:cs="Times New Roman"/>
                <w:color w:val="auto"/>
                <w:sz w:val="24"/>
                <w:szCs w:val="24"/>
                <w:vertAlign w:val="subscript"/>
                <w:lang w:val="en-US" w:eastAsia="zh-CN"/>
              </w:rPr>
              <w:t>总</w:t>
            </w:r>
            <w:r>
              <w:rPr>
                <w:rFonts w:hint="default" w:ascii="Times New Roman" w:hAnsi="Times New Roman" w:cs="Times New Roman"/>
                <w:color w:val="auto"/>
                <w:sz w:val="24"/>
                <w:szCs w:val="24"/>
                <w:lang w:val="en-US" w:eastAsia="zh-CN"/>
              </w:rPr>
              <w:t>——废气总排放量，m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ind w:left="0" w:leftChars="0" w:firstLine="1200" w:firstLineChars="5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Y</w:t>
            </w:r>
            <w:r>
              <w:rPr>
                <w:rFonts w:hint="default" w:ascii="Times New Roman" w:hAnsi="Times New Roman" w:cs="Times New Roman"/>
                <w:color w:val="auto"/>
                <w:sz w:val="24"/>
                <w:szCs w:val="24"/>
                <w:vertAlign w:val="subscript"/>
                <w:lang w:val="en-US" w:eastAsia="zh-CN"/>
              </w:rPr>
              <w:t>i</w:t>
            </w:r>
            <w:r>
              <w:rPr>
                <w:rFonts w:hint="default" w:ascii="Times New Roman" w:hAnsi="Times New Roman" w:cs="Times New Roman"/>
                <w:color w:val="auto"/>
                <w:sz w:val="24"/>
                <w:szCs w:val="24"/>
                <w:lang w:val="en-US" w:eastAsia="zh-CN"/>
              </w:rPr>
              <w:t>——胶料消耗量，t；</w:t>
            </w:r>
          </w:p>
          <w:p>
            <w:pPr>
              <w:pStyle w:val="2"/>
              <w:keepNext w:val="0"/>
              <w:keepLines w:val="0"/>
              <w:pageBreakBefore w:val="0"/>
              <w:widowControl w:val="0"/>
              <w:kinsoku/>
              <w:wordWrap/>
              <w:overflowPunct/>
              <w:topLinePunct w:val="0"/>
              <w:autoSpaceDE/>
              <w:autoSpaceDN/>
              <w:bidi w:val="0"/>
              <w:adjustRightInd/>
              <w:snapToGrid/>
              <w:ind w:left="0" w:leftChars="0" w:firstLine="1200" w:firstLineChars="5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Q</w:t>
            </w:r>
            <w:r>
              <w:rPr>
                <w:rFonts w:hint="default" w:ascii="Times New Roman" w:hAnsi="Times New Roman" w:cs="Times New Roman"/>
                <w:color w:val="auto"/>
                <w:sz w:val="24"/>
                <w:szCs w:val="24"/>
                <w:vertAlign w:val="subscript"/>
                <w:lang w:val="en-US" w:eastAsia="zh-CN"/>
              </w:rPr>
              <w:t>i基</w:t>
            </w:r>
            <w:r>
              <w:rPr>
                <w:rFonts w:hint="default" w:ascii="Times New Roman" w:hAnsi="Times New Roman" w:cs="Times New Roman"/>
                <w:color w:val="auto"/>
                <w:sz w:val="24"/>
                <w:szCs w:val="24"/>
                <w:lang w:val="en-US" w:eastAsia="zh-CN"/>
              </w:rPr>
              <w:t>——产品的单位产品基准排气量，m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胶；</w:t>
            </w:r>
          </w:p>
          <w:p>
            <w:pPr>
              <w:pStyle w:val="2"/>
              <w:keepNext w:val="0"/>
              <w:keepLines w:val="0"/>
              <w:pageBreakBefore w:val="0"/>
              <w:widowControl w:val="0"/>
              <w:kinsoku/>
              <w:wordWrap/>
              <w:overflowPunct/>
              <w:topLinePunct w:val="0"/>
              <w:autoSpaceDE/>
              <w:autoSpaceDN/>
              <w:bidi w:val="0"/>
              <w:adjustRightInd/>
              <w:snapToGrid/>
              <w:ind w:left="0" w:leftChars="0" w:firstLine="1200" w:firstLineChars="5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w:t>
            </w:r>
            <w:r>
              <w:rPr>
                <w:rFonts w:hint="default" w:ascii="Times New Roman" w:hAnsi="Times New Roman" w:cs="Times New Roman"/>
                <w:color w:val="auto"/>
                <w:sz w:val="24"/>
                <w:szCs w:val="24"/>
                <w:vertAlign w:val="subscript"/>
                <w:lang w:val="en-US" w:eastAsia="zh-CN"/>
              </w:rPr>
              <w:t>实</w:t>
            </w:r>
            <w:r>
              <w:rPr>
                <w:rFonts w:hint="default" w:ascii="Times New Roman" w:hAnsi="Times New Roman" w:cs="Times New Roman"/>
                <w:color w:val="auto"/>
                <w:sz w:val="24"/>
                <w:szCs w:val="24"/>
                <w:lang w:val="en-US" w:eastAsia="zh-CN"/>
              </w:rPr>
              <w:t>——实测污染物浓度，mg/m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autoSpaceDE w:val="0"/>
              <w:autoSpaceDN w:val="0"/>
              <w:adjustRightIn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项目拟将</w:t>
            </w:r>
            <w:r>
              <w:rPr>
                <w:rFonts w:hint="eastAsia" w:ascii="Times New Roman" w:hAnsi="Times New Roman" w:cs="Times New Roman"/>
                <w:color w:val="auto"/>
                <w:sz w:val="24"/>
                <w:szCs w:val="24"/>
                <w:lang w:val="en-US" w:eastAsia="zh-CN"/>
              </w:rPr>
              <w:t>硫化</w:t>
            </w:r>
            <w:r>
              <w:rPr>
                <w:rFonts w:hint="default" w:ascii="Times New Roman" w:hAnsi="Times New Roman" w:cs="Times New Roman"/>
                <w:color w:val="auto"/>
                <w:sz w:val="24"/>
                <w:szCs w:val="24"/>
                <w:lang w:val="en-US" w:eastAsia="zh-CN"/>
              </w:rPr>
              <w:t>工序废气经收集后进入</w:t>
            </w:r>
            <w:r>
              <w:rPr>
                <w:rFonts w:hint="eastAsia" w:ascii="Times New Roman" w:hAnsi="Times New Roman" w:cs="Times New Roman"/>
                <w:color w:val="auto"/>
                <w:sz w:val="24"/>
                <w:szCs w:val="24"/>
                <w:lang w:val="en-US" w:eastAsia="zh-CN"/>
              </w:rPr>
              <w:t>“两级活性炭吸附箱”</w:t>
            </w:r>
            <w:r>
              <w:rPr>
                <w:rFonts w:hint="default" w:ascii="Times New Roman" w:hAnsi="Times New Roman" w:cs="Times New Roman"/>
                <w:color w:val="auto"/>
                <w:sz w:val="24"/>
                <w:szCs w:val="24"/>
                <w:lang w:val="en-US" w:eastAsia="zh-CN"/>
              </w:rPr>
              <w:t>处理后经15m高排气筒</w:t>
            </w:r>
            <w:r>
              <w:rPr>
                <w:rFonts w:hint="eastAsia" w:ascii="Times New Roman" w:hAnsi="Times New Roman" w:cs="Times New Roman"/>
                <w:color w:val="auto"/>
                <w:sz w:val="24"/>
                <w:szCs w:val="24"/>
                <w:lang w:val="en-US" w:eastAsia="zh-CN"/>
              </w:rPr>
              <w:t>（DA005）</w:t>
            </w:r>
            <w:r>
              <w:rPr>
                <w:rFonts w:hint="default" w:ascii="Times New Roman" w:hAnsi="Times New Roman" w:cs="Times New Roman"/>
                <w:color w:val="auto"/>
                <w:sz w:val="24"/>
                <w:szCs w:val="24"/>
                <w:lang w:val="en-US" w:eastAsia="zh-CN"/>
              </w:rPr>
              <w:t>排放，风机风量为</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lang w:val="en-US" w:eastAsia="zh-CN"/>
              </w:rPr>
              <w:t>000m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/h。则本项目排气筒基准排放浓度见下表</w:t>
            </w:r>
            <w:r>
              <w:rPr>
                <w:rFonts w:hint="eastAsia" w:ascii="Times New Roman" w:hAnsi="Times New Roman" w:cs="Times New Roman"/>
                <w:color w:val="auto"/>
                <w:sz w:val="24"/>
                <w:szCs w:val="24"/>
                <w:lang w:val="en-US" w:eastAsia="zh-CN"/>
              </w:rPr>
              <w:t>4.12</w:t>
            </w:r>
            <w:r>
              <w:rPr>
                <w:rFonts w:hint="default" w:ascii="Times New Roman" w:hAnsi="Times New Roman" w:cs="Times New Roman"/>
                <w:color w:val="auto"/>
                <w:sz w:val="24"/>
                <w:szCs w:val="24"/>
                <w:lang w:val="en-US" w:eastAsia="zh-CN"/>
              </w:rPr>
              <w:t>。</w:t>
            </w:r>
          </w:p>
          <w:p>
            <w:pPr>
              <w:autoSpaceDE w:val="0"/>
              <w:autoSpaceDN w:val="0"/>
              <w:adjustRightInd w:val="0"/>
              <w:spacing w:line="240" w:lineRule="auto"/>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表4.12  建设项目废气基准排放浓度一览表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963"/>
              <w:gridCol w:w="766"/>
              <w:gridCol w:w="1160"/>
              <w:gridCol w:w="963"/>
              <w:gridCol w:w="964"/>
              <w:gridCol w:w="964"/>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restart"/>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排气筒</w:t>
                  </w:r>
                </w:p>
              </w:tc>
              <w:tc>
                <w:tcPr>
                  <w:tcW w:w="963" w:type="dxa"/>
                  <w:vMerge w:val="restart"/>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污染物</w:t>
                  </w:r>
                </w:p>
              </w:tc>
              <w:tc>
                <w:tcPr>
                  <w:tcW w:w="766"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胶量</w:t>
                  </w:r>
                </w:p>
              </w:tc>
              <w:tc>
                <w:tcPr>
                  <w:tcW w:w="1160"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废气量</w:t>
                  </w:r>
                </w:p>
              </w:tc>
              <w:tc>
                <w:tcPr>
                  <w:tcW w:w="963"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单位胶料实际排气量</w:t>
                  </w:r>
                </w:p>
              </w:tc>
              <w:tc>
                <w:tcPr>
                  <w:tcW w:w="964"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实测浓度</w:t>
                  </w:r>
                </w:p>
              </w:tc>
              <w:tc>
                <w:tcPr>
                  <w:tcW w:w="964"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基准排气量</w:t>
                  </w:r>
                </w:p>
              </w:tc>
              <w:tc>
                <w:tcPr>
                  <w:tcW w:w="965"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基准排气浓度</w:t>
                  </w:r>
                </w:p>
              </w:tc>
              <w:tc>
                <w:tcPr>
                  <w:tcW w:w="965"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排放限值</w:t>
                  </w:r>
                </w:p>
              </w:tc>
              <w:tc>
                <w:tcPr>
                  <w:tcW w:w="965" w:type="dxa"/>
                  <w:vMerge w:val="restart"/>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vAlign w:val="center"/>
                </w:tcPr>
                <w:p>
                  <w:pPr>
                    <w:pStyle w:val="43"/>
                    <w:spacing w:line="240" w:lineRule="auto"/>
                    <w:rPr>
                      <w:rFonts w:hint="default" w:ascii="Times New Roman" w:hAnsi="Times New Roman" w:eastAsia="宋体" w:cs="Times New Roman"/>
                      <w:color w:val="auto"/>
                      <w:sz w:val="21"/>
                      <w:szCs w:val="21"/>
                      <w:lang w:val="en-US" w:eastAsia="zh-CN"/>
                    </w:rPr>
                  </w:pPr>
                </w:p>
              </w:tc>
              <w:tc>
                <w:tcPr>
                  <w:tcW w:w="963" w:type="dxa"/>
                  <w:vMerge w:val="continue"/>
                  <w:vAlign w:val="center"/>
                </w:tcPr>
                <w:p>
                  <w:pPr>
                    <w:pStyle w:val="43"/>
                    <w:spacing w:line="240" w:lineRule="auto"/>
                    <w:rPr>
                      <w:rFonts w:hint="default" w:ascii="Times New Roman" w:hAnsi="Times New Roman" w:eastAsia="宋体" w:cs="Times New Roman"/>
                      <w:color w:val="auto"/>
                      <w:sz w:val="21"/>
                      <w:szCs w:val="21"/>
                      <w:lang w:val="en-US" w:eastAsia="zh-CN"/>
                    </w:rPr>
                  </w:pPr>
                </w:p>
              </w:tc>
              <w:tc>
                <w:tcPr>
                  <w:tcW w:w="766"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t/a</w:t>
                  </w:r>
                </w:p>
              </w:tc>
              <w:tc>
                <w:tcPr>
                  <w:tcW w:w="1160"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/a</w:t>
                  </w:r>
                </w:p>
              </w:tc>
              <w:tc>
                <w:tcPr>
                  <w:tcW w:w="963"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/t-胶</w:t>
                  </w:r>
                </w:p>
              </w:tc>
              <w:tc>
                <w:tcPr>
                  <w:tcW w:w="964" w:type="dxa"/>
                  <w:vAlign w:val="center"/>
                </w:tcPr>
                <w:p>
                  <w:pPr>
                    <w:pStyle w:val="43"/>
                    <w:spacing w:line="240" w:lineRule="auto"/>
                    <w:rPr>
                      <w:rFonts w:hint="default" w:ascii="Times New Roman" w:hAnsi="Times New Roman" w:eastAsia="宋体" w:cs="Times New Roman"/>
                      <w:color w:val="auto"/>
                      <w:sz w:val="21"/>
                      <w:szCs w:val="21"/>
                      <w:vertAlign w:val="superscript"/>
                      <w:lang w:val="en-US" w:eastAsia="zh-CN"/>
                    </w:rPr>
                  </w:pPr>
                  <w:r>
                    <w:rPr>
                      <w:rFonts w:hint="eastAsia" w:ascii="Times New Roman" w:hAnsi="Times New Roman" w:cs="Times New Roman"/>
                      <w:color w:val="auto"/>
                      <w:sz w:val="21"/>
                      <w:szCs w:val="21"/>
                      <w:lang w:val="en-US" w:eastAsia="zh-CN"/>
                    </w:rPr>
                    <w:t>mg/m</w:t>
                  </w:r>
                  <w:r>
                    <w:rPr>
                      <w:rFonts w:hint="eastAsia" w:ascii="Times New Roman" w:hAnsi="Times New Roman" w:cs="Times New Roman"/>
                      <w:color w:val="auto"/>
                      <w:sz w:val="21"/>
                      <w:szCs w:val="21"/>
                      <w:vertAlign w:val="superscript"/>
                      <w:lang w:val="en-US" w:eastAsia="zh-CN"/>
                    </w:rPr>
                    <w:t>3</w:t>
                  </w:r>
                </w:p>
              </w:tc>
              <w:tc>
                <w:tcPr>
                  <w:tcW w:w="964"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/t-胶</w:t>
                  </w:r>
                </w:p>
              </w:tc>
              <w:tc>
                <w:tcPr>
                  <w:tcW w:w="965"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mg/m</w:t>
                  </w:r>
                  <w:r>
                    <w:rPr>
                      <w:rFonts w:hint="eastAsia" w:ascii="Times New Roman" w:hAnsi="Times New Roman" w:cs="Times New Roman"/>
                      <w:color w:val="auto"/>
                      <w:sz w:val="21"/>
                      <w:szCs w:val="21"/>
                      <w:vertAlign w:val="superscript"/>
                      <w:lang w:val="en-US" w:eastAsia="zh-CN"/>
                    </w:rPr>
                    <w:t>3</w:t>
                  </w:r>
                </w:p>
              </w:tc>
              <w:tc>
                <w:tcPr>
                  <w:tcW w:w="965"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mg/m</w:t>
                  </w:r>
                  <w:r>
                    <w:rPr>
                      <w:rFonts w:hint="eastAsia" w:ascii="Times New Roman" w:hAnsi="Times New Roman" w:cs="Times New Roman"/>
                      <w:color w:val="auto"/>
                      <w:sz w:val="21"/>
                      <w:szCs w:val="21"/>
                      <w:vertAlign w:val="superscript"/>
                      <w:lang w:val="en-US" w:eastAsia="zh-CN"/>
                    </w:rPr>
                    <w:t>3</w:t>
                  </w:r>
                </w:p>
              </w:tc>
              <w:tc>
                <w:tcPr>
                  <w:tcW w:w="965" w:type="dxa"/>
                  <w:vMerge w:val="continue"/>
                  <w:vAlign w:val="center"/>
                </w:tcPr>
                <w:p>
                  <w:pPr>
                    <w:pStyle w:val="43"/>
                    <w:spacing w:line="240" w:lineRule="auto"/>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DA005</w:t>
                  </w:r>
                </w:p>
              </w:tc>
              <w:tc>
                <w:tcPr>
                  <w:tcW w:w="963"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w:t>
                  </w:r>
                </w:p>
              </w:tc>
              <w:tc>
                <w:tcPr>
                  <w:tcW w:w="766"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1160"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3250000</w:t>
                  </w:r>
                </w:p>
              </w:tc>
              <w:tc>
                <w:tcPr>
                  <w:tcW w:w="963"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65000</w:t>
                  </w:r>
                </w:p>
              </w:tc>
              <w:tc>
                <w:tcPr>
                  <w:tcW w:w="964"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0.016</w:t>
                  </w:r>
                </w:p>
              </w:tc>
              <w:tc>
                <w:tcPr>
                  <w:tcW w:w="964"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2000</w:t>
                  </w:r>
                </w:p>
              </w:tc>
              <w:tc>
                <w:tcPr>
                  <w:tcW w:w="965"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0.52</w:t>
                  </w:r>
                </w:p>
              </w:tc>
              <w:tc>
                <w:tcPr>
                  <w:tcW w:w="965"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965"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1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b/>
                      <w:bCs/>
                      <w:color w:val="auto"/>
                      <w:sz w:val="21"/>
                      <w:szCs w:val="21"/>
                      <w:lang w:val="en-US" w:eastAsia="zh-CN"/>
                    </w:rPr>
                    <w:t>注：</w:t>
                  </w:r>
                  <w:r>
                    <w:rPr>
                      <w:rFonts w:hint="eastAsia" w:ascii="Times New Roman" w:hAnsi="Times New Roman" w:cs="Times New Roman"/>
                      <w:color w:val="auto"/>
                      <w:sz w:val="21"/>
                      <w:szCs w:val="21"/>
                      <w:lang w:val="en-US" w:eastAsia="zh-CN"/>
                    </w:rPr>
                    <w:t>实测浓度=【（0.00745-0.00745*0.2）*（1-80%）*1000/2400*10</w:t>
                  </w:r>
                  <w:r>
                    <w:rPr>
                      <w:rFonts w:hint="eastAsia" w:ascii="Times New Roman" w:hAnsi="Times New Roman" w:cs="Times New Roman"/>
                      <w:color w:val="auto"/>
                      <w:sz w:val="21"/>
                      <w:szCs w:val="21"/>
                      <w:vertAlign w:val="superscript"/>
                      <w:lang w:val="en-US" w:eastAsia="zh-CN"/>
                    </w:rPr>
                    <w:t>6</w:t>
                  </w:r>
                  <w:r>
                    <w:rPr>
                      <w:rFonts w:hint="eastAsia" w:ascii="Times New Roman" w:hAnsi="Times New Roman" w:cs="Times New Roman"/>
                      <w:color w:val="auto"/>
                      <w:sz w:val="21"/>
                      <w:szCs w:val="21"/>
                      <w:lang w:val="en-US" w:eastAsia="zh-CN"/>
                    </w:rPr>
                    <w:t>mg】/30000m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/h≈0.016mg/m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w:t>
                  </w:r>
                </w:p>
              </w:tc>
            </w:tr>
          </w:tbl>
          <w:p>
            <w:pPr>
              <w:autoSpaceDE w:val="0"/>
              <w:autoSpaceDN w:val="0"/>
              <w:adjustRightIn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建设项目</w:t>
            </w:r>
            <w:r>
              <w:rPr>
                <w:rFonts w:hint="eastAsia" w:ascii="Times New Roman" w:hAnsi="Times New Roman" w:cs="Times New Roman"/>
                <w:color w:val="auto"/>
                <w:sz w:val="24"/>
                <w:szCs w:val="24"/>
                <w:lang w:val="en-US" w:eastAsia="zh-CN"/>
              </w:rPr>
              <w:t>硫化</w:t>
            </w:r>
            <w:r>
              <w:rPr>
                <w:rFonts w:hint="default" w:ascii="Times New Roman" w:hAnsi="Times New Roman" w:cs="Times New Roman"/>
                <w:color w:val="auto"/>
                <w:sz w:val="24"/>
                <w:szCs w:val="24"/>
                <w:lang w:val="en-US" w:eastAsia="zh-CN"/>
              </w:rPr>
              <w:t>工序生产过程中有</w:t>
            </w:r>
            <w:r>
              <w:rPr>
                <w:rFonts w:hint="eastAsia" w:ascii="Times New Roman" w:hAnsi="Times New Roman" w:cs="Times New Roman"/>
                <w:color w:val="auto"/>
                <w:sz w:val="24"/>
                <w:szCs w:val="24"/>
                <w:lang w:val="en-US" w:eastAsia="zh-CN"/>
              </w:rPr>
              <w:t>二硫化碳（CS</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）、臭气浓度</w:t>
            </w:r>
            <w:r>
              <w:rPr>
                <w:rFonts w:hint="default" w:ascii="Times New Roman" w:hAnsi="Times New Roman" w:cs="Times New Roman"/>
                <w:color w:val="auto"/>
                <w:sz w:val="24"/>
                <w:szCs w:val="24"/>
                <w:lang w:val="en-US" w:eastAsia="zh-CN"/>
              </w:rPr>
              <w:t>产生，从嗅阈感觉上为异味，用恶臭表征。恶臭为人们对恶臭物质所感知的一种污染指标， 其主要物质种类达上万种。由于其各类物质之间的相互作用（相加、协同、抵消及掩饰作用等），加之人类的嗅觉功能和恶臭物质取样分析等因素，迄今还难以对大多数恶臭物质作出浓度标准，目前我国只规定了八种恶臭污染物的一次最大排放限值、复合恶臭物质的臭气浓度限值及无组织排放源的厂界浓度限值， 即《恶臭污染物排放标准》（GB14554-93）。</w:t>
            </w:r>
          </w:p>
          <w:p>
            <w:pPr>
              <w:autoSpaceDE w:val="0"/>
              <w:autoSpaceDN w:val="0"/>
              <w:adjustRightIn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目前，国外对恶臭强度的分级和测定多以人的嗅觉感官作为基础得到， 如德国的臭气强度5级分级（1958年） ；日本的臭气强度6级分级（1972年）等。这种测定方法以经过训练合格的 5-8名臭气监测员以自身的恶臭感知能力对恶臭进行强度监测。</w:t>
            </w:r>
          </w:p>
          <w:p>
            <w:pPr>
              <w:autoSpaceDE w:val="0"/>
              <w:autoSpaceDN w:val="0"/>
              <w:adjustRightIn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北京环境监测中心在吸取国外经验的基础上提出了恶臭6级分级法，该分级法以感受器——嗅觉的感觉和人的主观感觉特征两个方面来描述各级特征，既明确了各级的差别，也提高了分级的准确程度。</w:t>
            </w:r>
          </w:p>
          <w:p>
            <w:pPr>
              <w:autoSpaceDE w:val="0"/>
              <w:autoSpaceDN w:val="0"/>
              <w:adjustRightInd w:val="0"/>
              <w:spacing w:line="240" w:lineRule="auto"/>
              <w:jc w:val="center"/>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表4.13  恶臭6级分级法</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7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恶臭强度级</w:t>
                  </w:r>
                </w:p>
              </w:tc>
              <w:tc>
                <w:tcPr>
                  <w:tcW w:w="7770"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770"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未闻到有任何气味，无任何反应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770"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勉强能闻到有气味，但不宜辨认气味性质（感觉阈值），认为无所谓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770"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能闻到气味，且能辨认气味的性质（识别阈值），但感到很正常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7770"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很容易闻到气味，有所不快，但不反感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770"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有很强的气味，而且很反感，想离开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7770" w:type="dxa"/>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有极强的气味，无法忍受，立即逃跑</w:t>
                  </w:r>
                </w:p>
              </w:tc>
            </w:tr>
          </w:tbl>
          <w:p>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本项目生产过程中产生的臭气浓度经</w:t>
            </w:r>
            <w:r>
              <w:rPr>
                <w:rFonts w:hint="eastAsia" w:ascii="Times New Roman" w:hAnsi="Times New Roman" w:eastAsia="宋体" w:cs="Times New Roman"/>
                <w:color w:val="auto"/>
                <w:sz w:val="24"/>
                <w:szCs w:val="24"/>
                <w:lang w:val="en-US" w:eastAsia="zh-CN"/>
              </w:rPr>
              <w:t>“风冷+两级活性炭吸附箱”</w:t>
            </w:r>
            <w:r>
              <w:rPr>
                <w:rFonts w:hint="eastAsia" w:ascii="宋体" w:hAnsi="宋体" w:eastAsia="宋体" w:cs="宋体"/>
                <w:color w:val="auto"/>
                <w:sz w:val="24"/>
                <w:szCs w:val="24"/>
                <w:lang w:val="en-US" w:eastAsia="zh-CN"/>
              </w:rPr>
              <w:t>处理后排放的臭</w:t>
            </w:r>
            <w:r>
              <w:rPr>
                <w:rFonts w:hint="default" w:ascii="Times New Roman" w:hAnsi="Times New Roman" w:cs="Times New Roman"/>
                <w:color w:val="auto"/>
                <w:sz w:val="24"/>
                <w:szCs w:val="24"/>
                <w:lang w:val="en-US" w:eastAsia="zh-CN"/>
              </w:rPr>
              <w:t>气浓度</w:t>
            </w:r>
            <w:r>
              <w:rPr>
                <w:rFonts w:hint="eastAsia" w:ascii="Times New Roman" w:hAnsi="Times New Roman" w:cs="Times New Roman"/>
                <w:color w:val="auto"/>
                <w:sz w:val="24"/>
                <w:szCs w:val="24"/>
                <w:lang w:val="en-US" w:eastAsia="zh-CN"/>
              </w:rPr>
              <w:t>可以满足</w:t>
            </w:r>
            <w:r>
              <w:rPr>
                <w:rFonts w:hint="default" w:ascii="Times New Roman" w:hAnsi="Times New Roman" w:cs="Times New Roman"/>
                <w:color w:val="auto"/>
                <w:sz w:val="24"/>
                <w:szCs w:val="24"/>
                <w:lang w:val="en-US" w:eastAsia="zh-CN"/>
              </w:rPr>
              <w:t>《恶臭污染物排放标准》（GB14554-93）</w:t>
            </w:r>
            <w:r>
              <w:rPr>
                <w:rFonts w:hint="eastAsia" w:ascii="Times New Roman" w:hAnsi="Times New Roman" w:cs="Times New Roman"/>
                <w:color w:val="auto"/>
                <w:sz w:val="24"/>
                <w:szCs w:val="24"/>
                <w:lang w:val="en-US" w:eastAsia="zh-CN"/>
              </w:rPr>
              <w:t>中限值要求</w:t>
            </w:r>
            <w:r>
              <w:rPr>
                <w:rFonts w:hint="default" w:ascii="Times New Roman" w:hAnsi="Times New Roman" w:cs="Times New Roman"/>
                <w:color w:val="auto"/>
                <w:sz w:val="24"/>
                <w:szCs w:val="24"/>
                <w:lang w:val="en-US" w:eastAsia="zh-CN"/>
              </w:rPr>
              <w:t>。本项目车间内的恶臭等级一般在2级左右，车间外15米范围外恶臭等级一般在1级左右。异味正常排放情况下对周围环境影响较小，但仍应加强污染控制管理，减少不正常排放情况的发生，异味污染是可以得到控制的。</w:t>
            </w:r>
          </w:p>
          <w:p>
            <w:pPr>
              <w:pStyle w:val="46"/>
              <w:spacing w:line="360" w:lineRule="auto"/>
              <w:ind w:firstLine="480"/>
              <w:rPr>
                <w:rFonts w:hint="default" w:ascii="Times New Roman" w:hAnsi="Times New Roman" w:cs="Times New Roman"/>
                <w:color w:val="auto"/>
                <w:lang w:val="en-US" w:eastAsia="zh-CN"/>
              </w:rPr>
            </w:pPr>
            <w:r>
              <w:rPr>
                <w:rFonts w:hint="eastAsia" w:ascii="Times New Roman" w:hAnsi="Times New Roman" w:eastAsia="宋体" w:cs="Times New Roman"/>
                <w:color w:val="auto"/>
                <w:sz w:val="24"/>
                <w:lang w:eastAsia="zh-CN"/>
              </w:rPr>
              <w:t>预烘、浇注、脱模、清洗、注塑</w:t>
            </w:r>
            <w:r>
              <w:rPr>
                <w:rFonts w:hint="eastAsia" w:ascii="Times New Roman" w:hAnsi="Times New Roman" w:eastAsia="宋体" w:cs="Times New Roman"/>
                <w:color w:val="auto"/>
                <w:sz w:val="24"/>
                <w:lang w:val="en-US" w:eastAsia="zh-CN"/>
              </w:rPr>
              <w:t>及硫化</w:t>
            </w:r>
            <w:r>
              <w:rPr>
                <w:rFonts w:hint="eastAsia"/>
                <w:color w:val="auto"/>
                <w:lang w:val="en-US" w:eastAsia="zh-CN"/>
              </w:rPr>
              <w:t>废气产生、收集、处理</w:t>
            </w:r>
            <w:r>
              <w:rPr>
                <w:rFonts w:hint="default" w:ascii="Times New Roman" w:hAnsi="Times New Roman" w:cs="Times New Roman"/>
                <w:color w:val="auto"/>
                <w:lang w:val="en-US" w:eastAsia="zh-CN"/>
              </w:rPr>
              <w:t>排放示意图见图4.</w:t>
            </w: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w:t>
            </w:r>
          </w:p>
          <w:p>
            <w:pPr>
              <w:spacing w:line="360" w:lineRule="auto"/>
              <w:jc w:val="center"/>
              <w:rPr>
                <w:rFonts w:ascii="Times New Roman" w:hAnsi="Times New Roman" w:cs="Times New Roman"/>
                <w:b/>
                <w:bCs/>
                <w:color w:val="auto"/>
                <w:sz w:val="24"/>
                <w:szCs w:val="24"/>
              </w:rPr>
            </w:pPr>
            <w:r>
              <w:rPr>
                <w:rFonts w:hint="eastAsia" w:ascii="Times New Roman" w:hAnsi="Times New Roman" w:cs="Times New Roman"/>
                <w:color w:val="auto"/>
                <w:sz w:val="24"/>
              </w:rPr>
              <w:object>
                <v:shape id="_x0000_i1034" o:spt="75" type="#_x0000_t75" style="height:51.1pt;width:482.5pt;" o:ole="t" filled="f" o:preferrelative="t" stroked="f" coordsize="21600,21600">
                  <v:path/>
                  <v:fill on="f" focussize="0,0"/>
                  <v:stroke on="f"/>
                  <v:imagedata r:id="rId28" o:title=""/>
                  <o:lock v:ext="edit" aspectratio="t"/>
                  <w10:wrap type="none"/>
                  <w10:anchorlock/>
                </v:shape>
                <o:OLEObject Type="Embed" ProgID="RFFlow4" ShapeID="_x0000_i1034" DrawAspect="Content" ObjectID="_1468075734" r:id="rId27">
                  <o:LockedField>false</o:LockedField>
                </o:OLEObject>
              </w:object>
            </w:r>
            <w:r>
              <w:rPr>
                <w:rFonts w:hint="eastAsia" w:ascii="Times New Roman" w:hAnsi="Times New Roman" w:cs="Times New Roman"/>
                <w:b/>
                <w:bCs/>
                <w:color w:val="auto"/>
                <w:sz w:val="24"/>
                <w:szCs w:val="24"/>
              </w:rPr>
              <w:t>图4</w:t>
            </w:r>
            <w:r>
              <w:rPr>
                <w:rFonts w:hint="eastAsia" w:ascii="Times New Roman" w:hAnsi="Times New Roman" w:cs="Times New Roman"/>
                <w:b/>
                <w:bCs/>
                <w:color w:val="auto"/>
                <w:sz w:val="24"/>
                <w:szCs w:val="24"/>
                <w:lang w:val="en-US" w:eastAsia="zh-CN"/>
              </w:rPr>
              <w:t xml:space="preserve">.7  </w:t>
            </w:r>
            <w:r>
              <w:rPr>
                <w:rFonts w:hint="eastAsia" w:ascii="Times New Roman" w:hAnsi="Times New Roman" w:eastAsia="宋体" w:cs="Times New Roman"/>
                <w:b/>
                <w:bCs/>
                <w:color w:val="auto"/>
                <w:sz w:val="24"/>
                <w:lang w:eastAsia="zh-CN"/>
              </w:rPr>
              <w:t>预烘、浇注、脱模、清洗、注塑</w:t>
            </w:r>
            <w:r>
              <w:rPr>
                <w:rFonts w:hint="eastAsia" w:ascii="Times New Roman" w:hAnsi="Times New Roman" w:eastAsia="宋体" w:cs="Times New Roman"/>
                <w:b/>
                <w:bCs/>
                <w:color w:val="auto"/>
                <w:sz w:val="24"/>
                <w:lang w:val="en-US" w:eastAsia="zh-CN"/>
              </w:rPr>
              <w:t>及硫化</w:t>
            </w:r>
            <w:r>
              <w:rPr>
                <w:rFonts w:hint="eastAsia"/>
                <w:b/>
                <w:bCs/>
                <w:color w:val="auto"/>
                <w:sz w:val="24"/>
                <w:szCs w:val="24"/>
                <w:lang w:val="en-US" w:eastAsia="zh-CN"/>
              </w:rPr>
              <w:t>废气产生、收集、处理</w:t>
            </w:r>
            <w:r>
              <w:rPr>
                <w:rFonts w:hint="default" w:ascii="Times New Roman" w:hAnsi="Times New Roman" w:cs="Times New Roman"/>
                <w:b/>
                <w:bCs/>
                <w:color w:val="auto"/>
                <w:sz w:val="24"/>
                <w:szCs w:val="24"/>
                <w:lang w:val="en-US" w:eastAsia="zh-CN"/>
              </w:rPr>
              <w:t>排放示意图</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lang w:eastAsia="zh-CN"/>
              </w:rPr>
              <w:t>）下料</w:t>
            </w:r>
            <w:r>
              <w:rPr>
                <w:rFonts w:hint="eastAsia" w:ascii="Times New Roman" w:hAnsi="Times New Roman" w:eastAsia="宋体" w:cs="Times New Roman"/>
                <w:color w:val="auto"/>
                <w:sz w:val="24"/>
                <w:lang w:val="en-US" w:eastAsia="zh-CN"/>
              </w:rPr>
              <w:t>-颗粒物（G</w:t>
            </w:r>
            <w:r>
              <w:rPr>
                <w:rFonts w:hint="eastAsia" w:ascii="Times New Roman" w:hAnsi="Times New Roman" w:eastAsia="宋体" w:cs="Times New Roman"/>
                <w:color w:val="auto"/>
                <w:sz w:val="24"/>
                <w:vertAlign w:val="subscript"/>
                <w:lang w:val="en-US" w:eastAsia="zh-CN"/>
              </w:rPr>
              <w:t>8-1</w:t>
            </w:r>
            <w:r>
              <w:rPr>
                <w:rFonts w:hint="eastAsia" w:ascii="Times New Roman" w:hAnsi="Times New Roman" w:eastAsia="宋体" w:cs="Times New Roman"/>
                <w:color w:val="auto"/>
                <w:sz w:val="24"/>
                <w:lang w:val="en-US" w:eastAsia="zh-CN"/>
              </w:rPr>
              <w:t>）</w:t>
            </w:r>
          </w:p>
          <w:p>
            <w:pPr>
              <w:pStyle w:val="45"/>
              <w:spacing w:line="360" w:lineRule="auto"/>
              <w:rPr>
                <w:rFonts w:hint="eastAsia" w:ascii="宋体" w:hAnsi="宋体" w:eastAsia="宋体" w:cs="宋体"/>
                <w:color w:val="auto"/>
                <w:lang w:val="zh-CN"/>
              </w:rPr>
            </w:pPr>
            <w:r>
              <w:rPr>
                <w:rFonts w:hint="default" w:ascii="Times New Roman" w:hAnsi="Times New Roman" w:eastAsia="宋体" w:cs="Times New Roman"/>
                <w:color w:val="auto"/>
                <w:lang w:val="zh-CN"/>
              </w:rPr>
              <w:t>本项目</w:t>
            </w:r>
            <w:r>
              <w:rPr>
                <w:rFonts w:hint="eastAsia" w:ascii="Times New Roman" w:hAnsi="Times New Roman" w:eastAsia="宋体" w:cs="Times New Roman"/>
                <w:color w:val="auto"/>
                <w:lang w:val="zh-CN"/>
              </w:rPr>
              <w:t>木质包装箱下料</w:t>
            </w:r>
            <w:r>
              <w:rPr>
                <w:rFonts w:hint="default" w:ascii="Times New Roman" w:hAnsi="Times New Roman" w:eastAsia="宋体" w:cs="Times New Roman"/>
                <w:color w:val="auto"/>
                <w:lang w:val="zh-CN"/>
              </w:rPr>
              <w:t>工序污染物产排系数</w:t>
            </w:r>
            <w:r>
              <w:rPr>
                <w:rFonts w:hint="default" w:ascii="Times New Roman" w:hAnsi="Times New Roman" w:eastAsia="宋体" w:cs="Times New Roman"/>
                <w:b/>
                <w:bCs/>
                <w:color w:val="auto"/>
                <w:lang w:val="zh-CN"/>
              </w:rPr>
              <w:t>参考</w:t>
            </w:r>
            <w:r>
              <w:rPr>
                <w:rFonts w:hint="default" w:ascii="Times New Roman" w:hAnsi="Times New Roman" w:eastAsia="宋体" w:cs="Times New Roman"/>
                <w:color w:val="auto"/>
                <w:lang w:val="zh-CN"/>
              </w:rPr>
              <w:t>《排放源统计调查产排污核算方法和系数手册》中</w:t>
            </w:r>
            <w:r>
              <w:rPr>
                <w:rFonts w:hint="eastAsia" w:ascii="宋体" w:hAnsi="宋体" w:eastAsia="宋体" w:cs="宋体"/>
                <w:color w:val="auto"/>
                <w:lang w:val="zh-CN"/>
              </w:rPr>
              <w:t>“</w:t>
            </w:r>
            <w:r>
              <w:rPr>
                <w:rFonts w:hint="default" w:ascii="Times New Roman" w:hAnsi="Times New Roman" w:eastAsia="宋体" w:cs="Times New Roman"/>
                <w:color w:val="auto"/>
                <w:lang w:val="zh-CN"/>
              </w:rPr>
              <w:t>203木质制品制造行业系数手册</w:t>
            </w:r>
            <w:r>
              <w:rPr>
                <w:rFonts w:hint="eastAsia" w:ascii="宋体" w:hAnsi="宋体" w:eastAsia="宋体" w:cs="宋体"/>
                <w:color w:val="auto"/>
                <w:lang w:val="en-US" w:eastAsia="zh-CN"/>
              </w:rPr>
              <w:t>-</w:t>
            </w:r>
            <w:r>
              <w:rPr>
                <w:rFonts w:hint="default" w:ascii="Times New Roman" w:hAnsi="Times New Roman" w:eastAsia="宋体" w:cs="Times New Roman"/>
                <w:color w:val="auto"/>
                <w:lang w:val="zh-CN"/>
              </w:rPr>
              <w:t>203木质制品制造行业系数表</w:t>
            </w:r>
            <w:r>
              <w:rPr>
                <w:rFonts w:hint="eastAsia" w:ascii="宋体" w:hAnsi="宋体" w:eastAsia="宋体" w:cs="宋体"/>
                <w:color w:val="auto"/>
                <w:lang w:val="zh-CN"/>
              </w:rPr>
              <w:t>”，见</w:t>
            </w:r>
            <w:r>
              <w:rPr>
                <w:rFonts w:hint="default" w:ascii="Times New Roman" w:hAnsi="Times New Roman" w:eastAsia="宋体" w:cs="Times New Roman"/>
                <w:color w:val="auto"/>
                <w:lang w:val="zh-CN"/>
              </w:rPr>
              <w:t>表</w:t>
            </w:r>
            <w:r>
              <w:rPr>
                <w:rFonts w:hint="default" w:ascii="Times New Roman" w:hAnsi="Times New Roman" w:eastAsia="宋体" w:cs="Times New Roman"/>
                <w:color w:val="auto"/>
                <w:lang w:val="en-US" w:eastAsia="zh-CN"/>
              </w:rPr>
              <w:t>4.1</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zh-CN"/>
              </w:rPr>
              <w:t>。</w:t>
            </w:r>
          </w:p>
          <w:p>
            <w:pPr>
              <w:pStyle w:val="45"/>
              <w:spacing w:line="240" w:lineRule="auto"/>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zh-CN"/>
              </w:rPr>
              <w:t>表</w:t>
            </w:r>
            <w:r>
              <w:rPr>
                <w:rFonts w:hint="eastAsia" w:ascii="Times New Roman" w:hAnsi="Times New Roman" w:eastAsia="宋体" w:cs="Times New Roman"/>
                <w:b/>
                <w:bCs/>
                <w:color w:val="auto"/>
                <w:lang w:val="en-US" w:eastAsia="zh-CN"/>
              </w:rPr>
              <w:t>4.14</w:t>
            </w: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zh-CN"/>
              </w:rPr>
              <w:t>203木质制品制造行业系数表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070"/>
              <w:gridCol w:w="1070"/>
              <w:gridCol w:w="1071"/>
              <w:gridCol w:w="1071"/>
              <w:gridCol w:w="1072"/>
              <w:gridCol w:w="1072"/>
              <w:gridCol w:w="107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工段名称</w:t>
                  </w:r>
                </w:p>
              </w:tc>
              <w:tc>
                <w:tcPr>
                  <w:tcW w:w="1070"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产品名称</w:t>
                  </w:r>
                </w:p>
              </w:tc>
              <w:tc>
                <w:tcPr>
                  <w:tcW w:w="1070"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原料名称</w:t>
                  </w:r>
                </w:p>
              </w:tc>
              <w:tc>
                <w:tcPr>
                  <w:tcW w:w="1071"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工艺名称</w:t>
                  </w:r>
                </w:p>
              </w:tc>
              <w:tc>
                <w:tcPr>
                  <w:tcW w:w="1071"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规模等级</w:t>
                  </w:r>
                </w:p>
              </w:tc>
              <w:tc>
                <w:tcPr>
                  <w:tcW w:w="2144" w:type="dxa"/>
                  <w:gridSpan w:val="2"/>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污染物指标</w:t>
                  </w:r>
                </w:p>
              </w:tc>
              <w:tc>
                <w:tcPr>
                  <w:tcW w:w="1072"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单位</w:t>
                  </w:r>
                </w:p>
              </w:tc>
              <w:tc>
                <w:tcPr>
                  <w:tcW w:w="1072"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下料</w:t>
                  </w:r>
                </w:p>
              </w:tc>
              <w:tc>
                <w:tcPr>
                  <w:tcW w:w="1070"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建筑用木料、实木地板、</w:t>
                  </w:r>
                </w:p>
                <w:p>
                  <w:pPr>
                    <w:pStyle w:val="29"/>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、其他木</w:t>
                  </w:r>
                </w:p>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b/>
                      <w:bCs/>
                      <w:color w:val="auto"/>
                      <w:sz w:val="21"/>
                      <w:szCs w:val="21"/>
                      <w:lang w:val="en-US" w:eastAsia="zh-CN"/>
                    </w:rPr>
                  </w:pPr>
                  <w:r>
                    <w:rPr>
                      <w:rFonts w:hint="eastAsia" w:ascii="Times New Roman" w:hAnsi="Times New Roman" w:cs="Times New Roman"/>
                      <w:color w:val="auto"/>
                      <w:sz w:val="21"/>
                      <w:szCs w:val="21"/>
                      <w:lang w:val="en-US" w:eastAsia="zh-CN"/>
                    </w:rPr>
                    <w:t>制品（</w:t>
                  </w:r>
                  <w:r>
                    <w:rPr>
                      <w:rFonts w:hint="eastAsia" w:ascii="Times New Roman" w:hAnsi="Times New Roman" w:cs="Times New Roman"/>
                      <w:b/>
                      <w:bCs/>
                      <w:color w:val="auto"/>
                      <w:sz w:val="21"/>
                      <w:szCs w:val="21"/>
                      <w:lang w:val="en-US" w:eastAsia="zh-CN"/>
                    </w:rPr>
                    <w:t>木</w:t>
                  </w:r>
                </w:p>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b/>
                      <w:bCs/>
                      <w:color w:val="auto"/>
                      <w:sz w:val="21"/>
                      <w:szCs w:val="21"/>
                      <w:lang w:val="en-US" w:eastAsia="zh-CN"/>
                    </w:rPr>
                    <w:t>制容器</w:t>
                  </w:r>
                  <w:r>
                    <w:rPr>
                      <w:rFonts w:hint="eastAsia" w:ascii="Times New Roman" w:hAnsi="Times New Roman" w:cs="Times New Roman"/>
                      <w:color w:val="auto"/>
                      <w:sz w:val="21"/>
                      <w:szCs w:val="21"/>
                      <w:lang w:val="en-US" w:eastAsia="zh-CN"/>
                    </w:rPr>
                    <w:t>、</w:t>
                  </w:r>
                </w:p>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软木制</w:t>
                  </w:r>
                </w:p>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品）</w:t>
                  </w:r>
                </w:p>
              </w:tc>
              <w:tc>
                <w:tcPr>
                  <w:tcW w:w="1070"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木材</w:t>
                  </w:r>
                </w:p>
              </w:tc>
              <w:tc>
                <w:tcPr>
                  <w:tcW w:w="1071"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切割/旋切</w:t>
                  </w:r>
                </w:p>
              </w:tc>
              <w:tc>
                <w:tcPr>
                  <w:tcW w:w="1071"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所有规模</w:t>
                  </w:r>
                </w:p>
              </w:tc>
              <w:tc>
                <w:tcPr>
                  <w:tcW w:w="1072" w:type="dxa"/>
                  <w:vMerge w:val="restart"/>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1072"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vertAlign w:val="superscript"/>
                      <w:lang w:val="en-US" w:eastAsia="zh-CN"/>
                    </w:rPr>
                  </w:pPr>
                  <w:r>
                    <w:rPr>
                      <w:rFonts w:hint="eastAsia" w:ascii="Times New Roman" w:hAnsi="Times New Roman" w:cs="Times New Roman"/>
                      <w:color w:val="auto"/>
                      <w:sz w:val="21"/>
                      <w:szCs w:val="21"/>
                      <w:lang w:val="en-US" w:eastAsia="zh-CN"/>
                    </w:rPr>
                    <w:t>颗粒物</w:t>
                  </w:r>
                </w:p>
              </w:tc>
              <w:tc>
                <w:tcPr>
                  <w:tcW w:w="1072"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千克/</w:t>
                  </w:r>
                  <w:r>
                    <w:rPr>
                      <w:rFonts w:hint="eastAsia" w:ascii="Times New Roman" w:hAnsi="Times New Roman" w:cs="Times New Roman"/>
                      <w:color w:val="auto"/>
                      <w:sz w:val="21"/>
                      <w:szCs w:val="21"/>
                      <w:lang w:val="en-US" w:eastAsia="zh-CN"/>
                    </w:rPr>
                    <w:t>立方米-产品</w:t>
                  </w:r>
                </w:p>
              </w:tc>
              <w:tc>
                <w:tcPr>
                  <w:tcW w:w="1072"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245</w:t>
                  </w:r>
                  <w:r>
                    <w:rPr>
                      <w:rFonts w:hint="default"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70"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70"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71"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71"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72" w:type="dxa"/>
                  <w:vMerge w:val="continue"/>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p>
              </w:tc>
              <w:tc>
                <w:tcPr>
                  <w:tcW w:w="1072"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工业废气量</w:t>
                  </w:r>
                </w:p>
              </w:tc>
              <w:tc>
                <w:tcPr>
                  <w:tcW w:w="1072"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标立方米/</w:t>
                  </w:r>
                  <w:r>
                    <w:rPr>
                      <w:rFonts w:hint="eastAsia" w:ascii="Times New Roman" w:hAnsi="Times New Roman" w:cs="Times New Roman"/>
                      <w:color w:val="auto"/>
                      <w:sz w:val="21"/>
                      <w:szCs w:val="21"/>
                      <w:lang w:val="en-US" w:eastAsia="zh-CN"/>
                    </w:rPr>
                    <w:t>立方米-产品</w:t>
                  </w:r>
                </w:p>
              </w:tc>
              <w:tc>
                <w:tcPr>
                  <w:tcW w:w="1072" w:type="dxa"/>
                  <w:noWrap w:val="0"/>
                  <w:vAlign w:val="center"/>
                </w:tcPr>
                <w:p>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vertAlign w:val="superscript"/>
                      <w:lang w:val="en-US" w:eastAsia="zh-CN"/>
                    </w:rPr>
                  </w:pPr>
                  <w:r>
                    <w:rPr>
                      <w:rFonts w:hint="eastAsia" w:ascii="Times New Roman" w:hAnsi="Times New Roman" w:cs="Times New Roman"/>
                      <w:color w:val="auto"/>
                      <w:sz w:val="21"/>
                      <w:szCs w:val="21"/>
                      <w:lang w:val="en-US" w:eastAsia="zh-CN"/>
                    </w:rPr>
                    <w:t>600</w:t>
                  </w:r>
                </w:p>
              </w:tc>
            </w:tr>
          </w:tbl>
          <w:p>
            <w:pPr>
              <w:spacing w:line="360" w:lineRule="auto"/>
              <w:ind w:firstLine="48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zh-CN"/>
              </w:rPr>
              <w:t>根据建设单位提供的资料，</w:t>
            </w:r>
            <w:r>
              <w:rPr>
                <w:rFonts w:hint="eastAsia" w:ascii="Times New Roman" w:hAnsi="Times New Roman" w:cs="Times New Roman"/>
                <w:color w:val="auto"/>
                <w:sz w:val="24"/>
                <w:szCs w:val="24"/>
                <w:lang w:eastAsia="zh-CN"/>
              </w:rPr>
              <w:t>木质包装箱产量合计为</w:t>
            </w:r>
            <w:r>
              <w:rPr>
                <w:rFonts w:hint="eastAsia" w:ascii="Times New Roman" w:hAnsi="Times New Roman" w:cs="Times New Roman"/>
                <w:color w:val="auto"/>
                <w:sz w:val="24"/>
                <w:szCs w:val="24"/>
                <w:lang w:val="en-US" w:eastAsia="zh-CN"/>
              </w:rPr>
              <w:t>40m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/a，则颗粒物产生量为0.0098t/a。颗粒物</w:t>
            </w:r>
            <w:r>
              <w:rPr>
                <w:rFonts w:hint="eastAsia" w:ascii="宋体" w:hAnsi="宋体" w:eastAsia="宋体" w:cs="宋体"/>
                <w:color w:val="auto"/>
                <w:sz w:val="24"/>
                <w:szCs w:val="24"/>
                <w:lang w:eastAsia="zh-CN"/>
              </w:rPr>
              <w:t>通过“</w:t>
            </w:r>
            <w:r>
              <w:rPr>
                <w:rFonts w:hint="eastAsia" w:ascii="Times New Roman" w:hAnsi="Times New Roman" w:eastAsia="宋体"/>
                <w:color w:val="auto"/>
                <w:sz w:val="24"/>
                <w:szCs w:val="24"/>
                <w:lang w:val="en-US" w:eastAsia="zh-CN"/>
              </w:rPr>
              <w:t>双桶布袋吸尘机</w:t>
            </w:r>
            <w:r>
              <w:rPr>
                <w:rFonts w:hint="eastAsia" w:ascii="宋体" w:hAnsi="宋体" w:eastAsia="宋体" w:cs="宋体"/>
                <w:color w:val="auto"/>
                <w:sz w:val="24"/>
                <w:szCs w:val="24"/>
                <w:lang w:eastAsia="zh-CN"/>
              </w:rPr>
              <w:t>”收集，收集效</w:t>
            </w:r>
            <w:r>
              <w:rPr>
                <w:rFonts w:hint="default" w:ascii="Times New Roman" w:hAnsi="Times New Roman" w:eastAsia="宋体" w:cs="Times New Roman"/>
                <w:color w:val="auto"/>
                <w:sz w:val="24"/>
                <w:szCs w:val="24"/>
                <w:lang w:eastAsia="zh-CN"/>
              </w:rPr>
              <w:t>率按</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0%计，则颗粒物排放量为</w:t>
            </w:r>
            <w:r>
              <w:rPr>
                <w:rFonts w:hint="eastAsia" w:ascii="Times New Roman" w:hAnsi="Times New Roman" w:eastAsia="宋体" w:cs="Times New Roman"/>
                <w:color w:val="auto"/>
                <w:sz w:val="24"/>
                <w:szCs w:val="24"/>
                <w:lang w:val="en-US" w:eastAsia="zh-CN"/>
              </w:rPr>
              <w:t>0.00196</w:t>
            </w:r>
            <w:r>
              <w:rPr>
                <w:rFonts w:hint="default" w:ascii="Times New Roman" w:hAnsi="Times New Roman" w:eastAsia="宋体" w:cs="Times New Roman"/>
                <w:color w:val="auto"/>
                <w:sz w:val="24"/>
                <w:szCs w:val="24"/>
                <w:lang w:val="en-US" w:eastAsia="zh-CN"/>
              </w:rPr>
              <w:t>t/a，</w:t>
            </w:r>
            <w:r>
              <w:rPr>
                <w:rFonts w:hint="eastAsia" w:ascii="宋体" w:hAnsi="宋体" w:eastAsia="宋体" w:cs="宋体"/>
                <w:color w:val="auto"/>
                <w:sz w:val="24"/>
                <w:szCs w:val="24"/>
                <w:lang w:val="en-US" w:eastAsia="zh-CN"/>
              </w:rPr>
              <w:t>于生产车间无组织排放。</w:t>
            </w:r>
          </w:p>
          <w:p>
            <w:pPr>
              <w:pStyle w:val="46"/>
              <w:spacing w:line="360" w:lineRule="auto"/>
              <w:ind w:firstLine="480"/>
              <w:rPr>
                <w:rFonts w:hint="default" w:ascii="Times New Roman" w:hAnsi="Times New Roman" w:cs="Times New Roman"/>
                <w:color w:val="auto"/>
                <w:lang w:val="en-US" w:eastAsia="zh-CN"/>
              </w:rPr>
            </w:pPr>
            <w:r>
              <w:rPr>
                <w:rFonts w:hint="eastAsia"/>
                <w:color w:val="auto"/>
                <w:lang w:val="en-US" w:eastAsia="zh-CN"/>
              </w:rPr>
              <w:t>木材下料废气产生、收集、处理</w:t>
            </w:r>
            <w:r>
              <w:rPr>
                <w:rFonts w:hint="default" w:ascii="Times New Roman" w:hAnsi="Times New Roman" w:cs="Times New Roman"/>
                <w:color w:val="auto"/>
                <w:lang w:val="en-US" w:eastAsia="zh-CN"/>
              </w:rPr>
              <w:t>排放示意图见图4.</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w:t>
            </w:r>
          </w:p>
          <w:p>
            <w:pPr>
              <w:spacing w:line="360" w:lineRule="auto"/>
              <w:jc w:val="center"/>
              <w:rPr>
                <w:rFonts w:hint="eastAsia" w:ascii="Times New Roman" w:hAnsi="Times New Roman" w:cs="Times New Roman"/>
                <w:color w:val="auto"/>
                <w:sz w:val="24"/>
              </w:rPr>
            </w:pPr>
            <w:r>
              <w:rPr>
                <w:rFonts w:hint="eastAsia" w:ascii="Times New Roman" w:hAnsi="Times New Roman" w:cs="Times New Roman"/>
                <w:color w:val="auto"/>
                <w:sz w:val="24"/>
              </w:rPr>
              <w:object>
                <v:shape id="_x0000_i1035" o:spt="75" type="#_x0000_t75" style="height:34.1pt;width:371.85pt;" o:ole="t" filled="f" o:preferrelative="t" stroked="f" coordsize="21600,21600">
                  <v:path/>
                  <v:fill on="f" focussize="0,0"/>
                  <v:stroke on="f"/>
                  <v:imagedata r:id="rId30" o:title=""/>
                  <o:lock v:ext="edit" aspectratio="t"/>
                  <w10:wrap type="none"/>
                  <w10:anchorlock/>
                </v:shape>
                <o:OLEObject Type="Embed" ProgID="RFFlow4" ShapeID="_x0000_i1035" DrawAspect="Content" ObjectID="_1468075735" r:id="rId29">
                  <o:LockedField>false</o:LockedField>
                </o:OLEObject>
              </w:object>
            </w:r>
          </w:p>
          <w:p>
            <w:pPr>
              <w:spacing w:line="360" w:lineRule="auto"/>
              <w:jc w:val="center"/>
              <w:rPr>
                <w:rFonts w:ascii="Times New Roman" w:hAnsi="Times New Roman" w:cs="Times New Roman"/>
                <w:b/>
                <w:bCs/>
                <w:color w:val="auto"/>
                <w:sz w:val="24"/>
                <w:szCs w:val="24"/>
              </w:rPr>
            </w:pPr>
            <w:r>
              <w:rPr>
                <w:rFonts w:hint="eastAsia" w:ascii="Times New Roman" w:hAnsi="Times New Roman" w:cs="Times New Roman"/>
                <w:b/>
                <w:bCs/>
                <w:color w:val="auto"/>
                <w:sz w:val="24"/>
                <w:szCs w:val="24"/>
              </w:rPr>
              <w:t>图4.</w:t>
            </w:r>
            <w:r>
              <w:rPr>
                <w:rFonts w:hint="eastAsia" w:ascii="Times New Roman" w:hAnsi="Times New Roman" w:cs="Times New Roman"/>
                <w:b/>
                <w:bCs/>
                <w:color w:val="auto"/>
                <w:sz w:val="24"/>
                <w:szCs w:val="24"/>
                <w:lang w:val="en-US" w:eastAsia="zh-CN"/>
              </w:rPr>
              <w:t xml:space="preserve">8  </w:t>
            </w:r>
            <w:r>
              <w:rPr>
                <w:rFonts w:hint="eastAsia"/>
                <w:b/>
                <w:bCs/>
                <w:color w:val="auto"/>
                <w:sz w:val="24"/>
                <w:szCs w:val="24"/>
                <w:lang w:val="en-US" w:eastAsia="zh-CN"/>
              </w:rPr>
              <w:t>木材下料废气产生、收集、处理</w:t>
            </w:r>
            <w:r>
              <w:rPr>
                <w:rFonts w:hint="default" w:ascii="Times New Roman" w:hAnsi="Times New Roman" w:cs="Times New Roman"/>
                <w:b/>
                <w:bCs/>
                <w:color w:val="auto"/>
                <w:sz w:val="24"/>
                <w:szCs w:val="24"/>
                <w:lang w:val="en-US" w:eastAsia="zh-CN"/>
              </w:rPr>
              <w:t>排放示意图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双桶布袋吸尘机见图4.9。</w:t>
            </w:r>
          </w:p>
          <w:p>
            <w:pPr>
              <w:pStyle w:val="2"/>
              <w:ind w:left="0" w:leftChars="0" w:firstLine="0" w:firstLineChars="0"/>
              <w:jc w:val="center"/>
              <w:rPr>
                <w:color w:val="auto"/>
              </w:rPr>
            </w:pPr>
            <w:r>
              <w:rPr>
                <w:color w:val="auto"/>
              </w:rPr>
              <w:drawing>
                <wp:inline distT="0" distB="0" distL="114300" distR="114300">
                  <wp:extent cx="2819400" cy="318135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1"/>
                          <a:stretch>
                            <a:fillRect/>
                          </a:stretch>
                        </pic:blipFill>
                        <pic:spPr>
                          <a:xfrm>
                            <a:off x="0" y="0"/>
                            <a:ext cx="2819400" cy="3181350"/>
                          </a:xfrm>
                          <a:prstGeom prst="rect">
                            <a:avLst/>
                          </a:prstGeom>
                          <a:noFill/>
                          <a:ln>
                            <a:noFill/>
                          </a:ln>
                        </pic:spPr>
                      </pic:pic>
                    </a:graphicData>
                  </a:graphic>
                </wp:inline>
              </w:drawing>
            </w:r>
          </w:p>
          <w:p>
            <w:pPr>
              <w:pStyle w:val="2"/>
              <w:ind w:left="0" w:leftChars="0" w:firstLine="0" w:firstLineChars="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图</w:t>
            </w:r>
            <w:r>
              <w:rPr>
                <w:rFonts w:hint="default" w:ascii="Times New Roman" w:hAnsi="Times New Roman"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9</w:t>
            </w:r>
            <w:r>
              <w:rPr>
                <w:rFonts w:hint="default" w:ascii="Times New Roman" w:hAnsi="Times New Roman" w:cs="Times New Roman"/>
                <w:b/>
                <w:bCs/>
                <w:color w:val="auto"/>
                <w:sz w:val="24"/>
                <w:szCs w:val="24"/>
                <w:lang w:val="en-US" w:eastAsia="zh-CN"/>
              </w:rPr>
              <w:t xml:space="preserve">  双桶布袋吸尘机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lang w:val="en-US" w:eastAsia="zh-CN"/>
              </w:rPr>
              <w:t>）食堂油烟</w:t>
            </w:r>
          </w:p>
          <w:p>
            <w:pPr>
              <w:pStyle w:val="45"/>
              <w:spacing w:line="360" w:lineRule="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食物在烹饪、加工过程中将挥发出油脂、有机质及热分解或裂解产物，从而产生油烟废气。项目食堂后堂在煮食及炒、烧、烤炉等产生热力及油烟的地方设置餐饮油烟净化器，净化后的烟气通过专用排烟管道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rPr>
              <w:t>本项目食堂烹调过程中有油烟产生。根据建设单位提供的资料，项目劳动定员</w:t>
            </w:r>
            <w:r>
              <w:rPr>
                <w:rFonts w:hint="default"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rPr>
              <w:t>人，年工作</w:t>
            </w:r>
            <w:r>
              <w:rPr>
                <w:rFonts w:hint="default" w:ascii="Times New Roman" w:hAnsi="Times New Roman" w:eastAsia="宋体" w:cs="Times New Roman"/>
                <w:color w:val="auto"/>
                <w:sz w:val="24"/>
                <w:szCs w:val="24"/>
                <w:lang w:val="en-US" w:eastAsia="zh-CN"/>
              </w:rPr>
              <w:t>300</w:t>
            </w:r>
            <w:r>
              <w:rPr>
                <w:rFonts w:hint="default" w:ascii="Times New Roman" w:hAnsi="Times New Roman" w:eastAsia="宋体" w:cs="Times New Roman"/>
                <w:color w:val="auto"/>
                <w:sz w:val="24"/>
                <w:szCs w:val="24"/>
              </w:rPr>
              <w:t>天。食堂食用油用量平均按0.03kg/人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天计，食用油用量为</w:t>
            </w:r>
            <w:r>
              <w:rPr>
                <w:rFonts w:hint="default" w:ascii="Times New Roman" w:hAnsi="Times New Roman" w:eastAsia="宋体" w:cs="Times New Roman"/>
                <w:color w:val="auto"/>
                <w:sz w:val="24"/>
                <w:szCs w:val="24"/>
                <w:lang w:val="en-US" w:eastAsia="zh-CN"/>
              </w:rPr>
              <w:t>450</w:t>
            </w:r>
            <w:r>
              <w:rPr>
                <w:rFonts w:hint="default" w:ascii="Times New Roman" w:hAnsi="Times New Roman" w:eastAsia="宋体" w:cs="Times New Roman"/>
                <w:color w:val="auto"/>
                <w:sz w:val="24"/>
                <w:szCs w:val="24"/>
              </w:rPr>
              <w:t>kg/a，油的平均挥发量为总耗油量的1%计，则油烟产生量为</w:t>
            </w:r>
            <w:r>
              <w:rPr>
                <w:rFonts w:hint="default"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rPr>
              <w:t>kg/a。每天烹饪时间按</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小时计算，则油烟产生速率为0.0</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kg/h。</w:t>
            </w:r>
            <w:r>
              <w:rPr>
                <w:rFonts w:hint="default" w:ascii="Times New Roman" w:hAnsi="Times New Roman" w:eastAsia="宋体" w:cs="Times New Roman"/>
                <w:color w:val="auto"/>
                <w:sz w:val="24"/>
                <w:szCs w:val="24"/>
                <w:lang w:val="zh-CN"/>
              </w:rPr>
              <w:t>企业食堂设</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rPr>
              <w:t>个基准灶头（小型规模），食堂燃料采用</w:t>
            </w:r>
            <w:r>
              <w:rPr>
                <w:rFonts w:hint="eastAsia" w:ascii="Times New Roman" w:hAnsi="Times New Roman" w:eastAsia="宋体" w:cs="Times New Roman"/>
                <w:color w:val="auto"/>
                <w:sz w:val="24"/>
                <w:szCs w:val="24"/>
                <w:lang w:val="zh-CN"/>
              </w:rPr>
              <w:t>天然气</w:t>
            </w:r>
            <w:r>
              <w:rPr>
                <w:rFonts w:hint="default" w:ascii="Times New Roman" w:hAnsi="Times New Roman" w:eastAsia="宋体" w:cs="Times New Roman"/>
                <w:color w:val="auto"/>
                <w:sz w:val="24"/>
                <w:szCs w:val="24"/>
                <w:lang w:val="zh-CN"/>
              </w:rPr>
              <w:t>，灶头排风量以</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0</w:t>
            </w:r>
            <w:r>
              <w:rPr>
                <w:rFonts w:hint="default" w:ascii="Times New Roman" w:hAnsi="Times New Roman" w:eastAsia="宋体" w:cs="Times New Roman"/>
                <w:color w:val="auto"/>
                <w:sz w:val="24"/>
                <w:szCs w:val="24"/>
                <w:lang w:val="zh-CN"/>
              </w:rPr>
              <w:t>00m</w:t>
            </w:r>
            <w:r>
              <w:rPr>
                <w:rFonts w:hint="default" w:ascii="Times New Roman" w:hAnsi="Times New Roman" w:eastAsia="宋体" w:cs="Times New Roman"/>
                <w:color w:val="auto"/>
                <w:sz w:val="24"/>
                <w:szCs w:val="24"/>
                <w:vertAlign w:val="superscript"/>
                <w:lang w:val="zh-CN"/>
              </w:rPr>
              <w:t>3</w:t>
            </w:r>
            <w:r>
              <w:rPr>
                <w:rFonts w:hint="default" w:ascii="Times New Roman" w:hAnsi="Times New Roman" w:eastAsia="宋体" w:cs="Times New Roman"/>
                <w:color w:val="auto"/>
                <w:sz w:val="24"/>
                <w:szCs w:val="24"/>
                <w:lang w:val="zh-CN"/>
              </w:rPr>
              <w:t>/h计，总排风量为</w:t>
            </w:r>
            <w:r>
              <w:rPr>
                <w:rFonts w:hint="default" w:ascii="Times New Roman" w:hAnsi="Times New Roman" w:eastAsia="宋体" w:cs="Times New Roman"/>
                <w:color w:val="auto"/>
                <w:sz w:val="24"/>
                <w:szCs w:val="24"/>
                <w:lang w:val="en-US" w:eastAsia="zh-CN"/>
              </w:rPr>
              <w:t>4000</w:t>
            </w:r>
            <w:r>
              <w:rPr>
                <w:rFonts w:hint="default" w:ascii="Times New Roman" w:hAnsi="Times New Roman" w:eastAsia="宋体" w:cs="Times New Roman"/>
                <w:color w:val="auto"/>
                <w:sz w:val="24"/>
                <w:szCs w:val="24"/>
                <w:lang w:val="zh-CN"/>
              </w:rPr>
              <w:t>m</w:t>
            </w:r>
            <w:r>
              <w:rPr>
                <w:rFonts w:hint="default" w:ascii="Times New Roman" w:hAnsi="Times New Roman" w:eastAsia="宋体" w:cs="Times New Roman"/>
                <w:color w:val="auto"/>
                <w:sz w:val="24"/>
                <w:szCs w:val="24"/>
                <w:vertAlign w:val="superscript"/>
                <w:lang w:val="zh-CN"/>
              </w:rPr>
              <w:t>3</w:t>
            </w:r>
            <w:r>
              <w:rPr>
                <w:rFonts w:hint="default" w:ascii="Times New Roman" w:hAnsi="Times New Roman" w:eastAsia="宋体" w:cs="Times New Roman"/>
                <w:color w:val="auto"/>
                <w:sz w:val="24"/>
                <w:szCs w:val="24"/>
                <w:lang w:val="zh-CN"/>
              </w:rPr>
              <w:t>/h</w:t>
            </w:r>
            <w:r>
              <w:rPr>
                <w:rFonts w:hint="default" w:ascii="Times New Roman" w:hAnsi="Times New Roman" w:eastAsia="宋体" w:cs="Times New Roman"/>
                <w:color w:val="auto"/>
                <w:sz w:val="24"/>
                <w:szCs w:val="24"/>
              </w:rPr>
              <w:t>。本项目食堂</w:t>
            </w:r>
            <w:r>
              <w:rPr>
                <w:rFonts w:hint="default" w:ascii="Times New Roman" w:hAnsi="Times New Roman" w:eastAsia="宋体" w:cs="Times New Roman"/>
                <w:color w:val="auto"/>
                <w:sz w:val="24"/>
                <w:szCs w:val="24"/>
                <w:lang w:val="zh-CN"/>
              </w:rPr>
              <w:t>安装净化效率≥</w:t>
            </w:r>
            <w:r>
              <w:rPr>
                <w:rFonts w:hint="default"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lang w:val="zh-CN"/>
              </w:rPr>
              <w:t>%的油烟净化装</w:t>
            </w:r>
            <w:r>
              <w:rPr>
                <w:rFonts w:hint="default" w:ascii="Times New Roman" w:hAnsi="Times New Roman" w:eastAsia="宋体" w:cs="Times New Roman"/>
                <w:color w:val="auto"/>
                <w:kern w:val="2"/>
                <w:sz w:val="24"/>
                <w:szCs w:val="24"/>
                <w:lang w:val="zh-CN" w:eastAsia="zh-CN" w:bidi="ar-SA"/>
              </w:rPr>
              <w:t>置，则油烟产生浓度为</w:t>
            </w:r>
            <w:r>
              <w:rPr>
                <w:rFonts w:hint="default" w:ascii="Times New Roman" w:hAnsi="Times New Roman" w:eastAsia="宋体" w:cs="Times New Roman"/>
                <w:color w:val="auto"/>
                <w:kern w:val="2"/>
                <w:sz w:val="24"/>
                <w:szCs w:val="24"/>
                <w:lang w:val="en-US" w:eastAsia="zh-CN" w:bidi="ar-SA"/>
              </w:rPr>
              <w:t>7.5</w:t>
            </w:r>
            <w:r>
              <w:rPr>
                <w:rFonts w:hint="default" w:ascii="Times New Roman" w:hAnsi="Times New Roman" w:eastAsia="宋体" w:cs="Times New Roman"/>
                <w:color w:val="auto"/>
                <w:kern w:val="2"/>
                <w:sz w:val="24"/>
                <w:szCs w:val="24"/>
                <w:lang w:val="zh-CN" w:eastAsia="zh-CN" w:bidi="ar-SA"/>
              </w:rPr>
              <w:t>mg/m</w:t>
            </w:r>
            <w:r>
              <w:rPr>
                <w:rFonts w:hint="default" w:ascii="Times New Roman" w:hAnsi="Times New Roman" w:eastAsia="宋体" w:cs="Times New Roman"/>
                <w:color w:val="auto"/>
                <w:kern w:val="2"/>
                <w:sz w:val="24"/>
                <w:szCs w:val="24"/>
                <w:vertAlign w:val="superscript"/>
                <w:lang w:val="zh-CN" w:eastAsia="zh-CN" w:bidi="ar-SA"/>
              </w:rPr>
              <w:t>3</w:t>
            </w:r>
            <w:r>
              <w:rPr>
                <w:rFonts w:hint="default" w:ascii="Times New Roman" w:hAnsi="Times New Roman" w:eastAsia="宋体" w:cs="Times New Roman"/>
                <w:color w:val="auto"/>
                <w:kern w:val="2"/>
                <w:sz w:val="24"/>
                <w:szCs w:val="24"/>
                <w:lang w:val="zh-CN" w:eastAsia="zh-CN" w:bidi="ar-SA"/>
              </w:rPr>
              <w:t>，油烟排放浓度为油烟浓度</w:t>
            </w:r>
            <w:r>
              <w:rPr>
                <w:rFonts w:hint="default" w:ascii="Times New Roman" w:hAnsi="Times New Roman" w:eastAsia="宋体" w:cs="Times New Roman"/>
                <w:color w:val="auto"/>
                <w:kern w:val="2"/>
                <w:sz w:val="24"/>
                <w:szCs w:val="24"/>
                <w:lang w:val="en-US" w:eastAsia="zh-CN" w:bidi="ar-SA"/>
              </w:rPr>
              <w:t>1.5</w:t>
            </w:r>
            <w:r>
              <w:rPr>
                <w:rFonts w:hint="default" w:ascii="Times New Roman" w:hAnsi="Times New Roman" w:eastAsia="宋体" w:cs="Times New Roman"/>
                <w:color w:val="auto"/>
                <w:kern w:val="2"/>
                <w:sz w:val="24"/>
                <w:szCs w:val="24"/>
                <w:lang w:val="zh-CN" w:eastAsia="zh-CN" w:bidi="ar-SA"/>
              </w:rPr>
              <w:t>mg/m</w:t>
            </w:r>
            <w:r>
              <w:rPr>
                <w:rFonts w:hint="default" w:ascii="Times New Roman" w:hAnsi="Times New Roman" w:eastAsia="宋体" w:cs="Times New Roman"/>
                <w:color w:val="auto"/>
                <w:kern w:val="2"/>
                <w:sz w:val="24"/>
                <w:szCs w:val="24"/>
                <w:vertAlign w:val="superscript"/>
                <w:lang w:val="zh-CN" w:eastAsia="zh-CN" w:bidi="ar-SA"/>
              </w:rPr>
              <w:t>3</w:t>
            </w:r>
            <w:r>
              <w:rPr>
                <w:rFonts w:hint="default" w:ascii="Times New Roman" w:hAnsi="Times New Roman" w:eastAsia="宋体" w:cs="Times New Roman"/>
                <w:color w:val="auto"/>
                <w:kern w:val="2"/>
                <w:sz w:val="24"/>
                <w:szCs w:val="24"/>
                <w:lang w:val="zh-CN" w:eastAsia="zh-CN" w:bidi="ar-SA"/>
              </w:rPr>
              <w:t>，排放量为</w:t>
            </w:r>
            <w:r>
              <w:rPr>
                <w:rFonts w:hint="default" w:ascii="Times New Roman" w:hAnsi="Times New Roman" w:eastAsia="宋体" w:cs="Times New Roman"/>
                <w:color w:val="auto"/>
                <w:kern w:val="2"/>
                <w:sz w:val="24"/>
                <w:szCs w:val="24"/>
                <w:lang w:val="en-US" w:eastAsia="zh-CN" w:bidi="ar-SA"/>
              </w:rPr>
              <w:t>0.9</w:t>
            </w:r>
            <w:r>
              <w:rPr>
                <w:rFonts w:hint="default" w:ascii="Times New Roman" w:hAnsi="Times New Roman" w:eastAsia="宋体" w:cs="Times New Roman"/>
                <w:color w:val="auto"/>
                <w:kern w:val="2"/>
                <w:sz w:val="24"/>
                <w:szCs w:val="24"/>
                <w:lang w:val="zh-CN" w:eastAsia="zh-CN" w:bidi="ar-SA"/>
              </w:rPr>
              <w:t>kg/a。</w:t>
            </w:r>
            <w:r>
              <w:rPr>
                <w:rFonts w:hint="eastAsia" w:ascii="Times New Roman" w:hAnsi="Times New Roman" w:cs="Times New Roman"/>
                <w:color w:val="auto"/>
                <w:sz w:val="24"/>
                <w:szCs w:val="24"/>
                <w:highlight w:val="none"/>
                <w:lang w:val="en-US" w:eastAsia="zh-CN"/>
              </w:rPr>
              <w:t>1.2废气排放监测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1.2.1有组织废气排放监测点位、监测指标和监测频次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有组织废气排放监测点位、监测指标和最低监测频次一览表见表4.15。</w:t>
            </w:r>
          </w:p>
          <w:p>
            <w:pPr>
              <w:pStyle w:val="29"/>
              <w:spacing w:line="240" w:lineRule="auto"/>
              <w:jc w:val="center"/>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表4.15  </w:t>
            </w:r>
            <w:r>
              <w:rPr>
                <w:rFonts w:hint="eastAsia" w:ascii="Times New Roman" w:hAnsi="Times New Roman" w:cs="Times New Roman"/>
                <w:b/>
                <w:bCs/>
                <w:color w:val="auto"/>
                <w:sz w:val="24"/>
                <w:szCs w:val="24"/>
                <w:highlight w:val="none"/>
                <w:lang w:val="en-US" w:eastAsia="zh-CN"/>
              </w:rPr>
              <w:t>有组织废气排放监测点位、监测指标和</w:t>
            </w:r>
            <w:r>
              <w:rPr>
                <w:rFonts w:hint="eastAsia" w:cs="Times New Roman"/>
                <w:b/>
                <w:bCs/>
                <w:color w:val="auto"/>
                <w:sz w:val="24"/>
                <w:szCs w:val="24"/>
                <w:highlight w:val="none"/>
                <w:lang w:val="en-US" w:eastAsia="zh-CN"/>
              </w:rPr>
              <w:t>最低</w:t>
            </w:r>
            <w:r>
              <w:rPr>
                <w:rFonts w:hint="eastAsia" w:ascii="Times New Roman" w:hAnsi="Times New Roman" w:cs="Times New Roman"/>
                <w:b/>
                <w:bCs/>
                <w:color w:val="auto"/>
                <w:sz w:val="24"/>
                <w:szCs w:val="24"/>
                <w:highlight w:val="none"/>
                <w:lang w:val="en-US" w:eastAsia="zh-CN"/>
              </w:rPr>
              <w:t>监测频次</w:t>
            </w:r>
            <w:r>
              <w:rPr>
                <w:rFonts w:hint="eastAsia" w:cs="Times New Roman"/>
                <w:b/>
                <w:bCs/>
                <w:color w:val="auto"/>
                <w:sz w:val="24"/>
                <w:szCs w:val="24"/>
                <w:highlight w:val="none"/>
                <w:lang w:val="en-US" w:eastAsia="zh-CN"/>
              </w:rPr>
              <w:t>一览表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219"/>
              <w:gridCol w:w="1144"/>
              <w:gridCol w:w="2895"/>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监测点位</w:t>
                  </w:r>
                </w:p>
              </w:tc>
              <w:tc>
                <w:tcPr>
                  <w:tcW w:w="1219"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监测指标</w:t>
                  </w:r>
                </w:p>
              </w:tc>
              <w:tc>
                <w:tcPr>
                  <w:tcW w:w="1144"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监测频次</w:t>
                  </w:r>
                </w:p>
              </w:tc>
              <w:tc>
                <w:tcPr>
                  <w:tcW w:w="2895"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执行标准</w:t>
                  </w:r>
                </w:p>
              </w:tc>
              <w:tc>
                <w:tcPr>
                  <w:tcW w:w="2628" w:type="dxa"/>
                  <w:vAlign w:val="center"/>
                </w:tcPr>
                <w:p>
                  <w:pPr>
                    <w:pStyle w:val="3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Align w:val="center"/>
                </w:tcPr>
                <w:p>
                  <w:pPr>
                    <w:pStyle w:val="39"/>
                    <w:rPr>
                      <w:rFonts w:hint="eastAsia" w:cs="Times New Roman"/>
                      <w:color w:val="auto"/>
                      <w:sz w:val="21"/>
                      <w:szCs w:val="21"/>
                      <w:lang w:val="en-US" w:eastAsia="zh-CN"/>
                    </w:rPr>
                  </w:pPr>
                  <w:r>
                    <w:rPr>
                      <w:rFonts w:hint="eastAsia" w:cs="Times New Roman"/>
                      <w:color w:val="auto"/>
                      <w:sz w:val="21"/>
                      <w:szCs w:val="21"/>
                      <w:lang w:val="en-US" w:eastAsia="zh-CN"/>
                    </w:rPr>
                    <w:t>（DA001）</w:t>
                  </w:r>
                </w:p>
                <w:p>
                  <w:pPr>
                    <w:pStyle w:val="39"/>
                    <w:rPr>
                      <w:rFonts w:hint="default" w:cs="Times New Roman"/>
                      <w:color w:val="auto"/>
                      <w:sz w:val="21"/>
                      <w:szCs w:val="21"/>
                      <w:lang w:val="en-US" w:eastAsia="zh-CN"/>
                    </w:rPr>
                  </w:pPr>
                  <w:r>
                    <w:rPr>
                      <w:rFonts w:hint="eastAsia" w:cs="Times New Roman"/>
                      <w:color w:val="auto"/>
                      <w:sz w:val="21"/>
                      <w:szCs w:val="21"/>
                      <w:lang w:val="en-US" w:eastAsia="zh-CN"/>
                    </w:rPr>
                    <w:t>焊接</w:t>
                  </w:r>
                </w:p>
              </w:tc>
              <w:tc>
                <w:tcPr>
                  <w:tcW w:w="1219" w:type="dxa"/>
                  <w:vAlign w:val="center"/>
                </w:tcPr>
                <w:p>
                  <w:pPr>
                    <w:pStyle w:val="3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44"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c>
                <w:tcPr>
                  <w:tcW w:w="2895"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《大气污染物综合排放标准》（GB16297-1996）表2中最高允许排放浓度</w:t>
                  </w:r>
                  <w:r>
                    <w:rPr>
                      <w:rFonts w:hint="eastAsia" w:ascii="Times New Roman" w:hAnsi="Times New Roman" w:eastAsia="宋体" w:cs="Times New Roman"/>
                      <w:color w:val="auto"/>
                      <w:sz w:val="21"/>
                      <w:szCs w:val="21"/>
                      <w:lang w:val="en-US" w:eastAsia="zh-CN"/>
                    </w:rPr>
                    <w:t>限值</w:t>
                  </w:r>
                </w:p>
              </w:tc>
              <w:tc>
                <w:tcPr>
                  <w:tcW w:w="2628" w:type="dxa"/>
                  <w:vAlign w:val="center"/>
                </w:tcPr>
                <w:p>
                  <w:pP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总则》（HJ819-2017）</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涂装》（HJ1086-2020）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Align w:val="center"/>
                </w:tcPr>
                <w:p>
                  <w:pPr>
                    <w:pStyle w:val="3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w:t>
                  </w:r>
                </w:p>
                <w:p>
                  <w:pPr>
                    <w:pStyle w:val="3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抛丸</w:t>
                  </w:r>
                </w:p>
              </w:tc>
              <w:tc>
                <w:tcPr>
                  <w:tcW w:w="1219" w:type="dxa"/>
                  <w:vAlign w:val="center"/>
                </w:tcPr>
                <w:p>
                  <w:pPr>
                    <w:pStyle w:val="3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44" w:type="dxa"/>
                  <w:vAlign w:val="center"/>
                </w:tcPr>
                <w:p>
                  <w:pPr>
                    <w:pStyle w:val="3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c>
                <w:tcPr>
                  <w:tcW w:w="2895"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《大气污染物综合排放标准》（GB16297-1996）表2中最高允许排放浓度</w:t>
                  </w:r>
                  <w:r>
                    <w:rPr>
                      <w:rFonts w:hint="eastAsia" w:ascii="Times New Roman" w:hAnsi="Times New Roman" w:eastAsia="宋体" w:cs="Times New Roman"/>
                      <w:color w:val="auto"/>
                      <w:sz w:val="21"/>
                      <w:szCs w:val="21"/>
                      <w:lang w:val="en-US" w:eastAsia="zh-CN"/>
                    </w:rPr>
                    <w:t>限值</w:t>
                  </w:r>
                </w:p>
              </w:tc>
              <w:tc>
                <w:tcPr>
                  <w:tcW w:w="2628" w:type="dxa"/>
                  <w:vAlign w:val="center"/>
                </w:tcPr>
                <w:p>
                  <w:pP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总则》（HJ819-2017）</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涂装》（HJ1086-2020）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Align w:val="center"/>
                </w:tcPr>
                <w:p>
                  <w:pPr>
                    <w:pStyle w:val="3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w:t>
                  </w:r>
                </w:p>
                <w:p>
                  <w:pPr>
                    <w:pStyle w:val="3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小构件及大构件</w:t>
                  </w:r>
                  <w:r>
                    <w:rPr>
                      <w:rFonts w:hint="eastAsia" w:ascii="Times New Roman" w:hAnsi="Times New Roman" w:eastAsia="宋体" w:cs="Times New Roman"/>
                      <w:color w:val="auto"/>
                      <w:sz w:val="21"/>
                      <w:szCs w:val="21"/>
                      <w:lang w:val="en-US" w:eastAsia="zh-CN"/>
                    </w:rPr>
                    <w:t>喷</w:t>
                  </w:r>
                  <w:r>
                    <w:rPr>
                      <w:rFonts w:hint="eastAsia" w:cs="Times New Roman"/>
                      <w:color w:val="auto"/>
                      <w:sz w:val="21"/>
                      <w:szCs w:val="21"/>
                      <w:lang w:val="en-US" w:eastAsia="zh-CN"/>
                    </w:rPr>
                    <w:t>粉</w:t>
                  </w:r>
                  <w:r>
                    <w:rPr>
                      <w:rFonts w:hint="eastAsia" w:ascii="Times New Roman" w:hAnsi="Times New Roman" w:eastAsia="宋体" w:cs="Times New Roman"/>
                      <w:color w:val="auto"/>
                      <w:sz w:val="21"/>
                      <w:szCs w:val="21"/>
                      <w:lang w:val="en-US" w:eastAsia="zh-CN"/>
                    </w:rPr>
                    <w:t>废气排放口</w:t>
                  </w:r>
                </w:p>
              </w:tc>
              <w:tc>
                <w:tcPr>
                  <w:tcW w:w="1219" w:type="dxa"/>
                  <w:vAlign w:val="center"/>
                </w:tcPr>
                <w:p>
                  <w:pPr>
                    <w:pStyle w:val="3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44"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c>
                <w:tcPr>
                  <w:tcW w:w="2895"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《大气污染物综合排放标准》（GB16297-1996）表2中最高允许排放浓度</w:t>
                  </w:r>
                  <w:r>
                    <w:rPr>
                      <w:rFonts w:hint="eastAsia" w:ascii="Times New Roman" w:hAnsi="Times New Roman" w:eastAsia="宋体" w:cs="Times New Roman"/>
                      <w:color w:val="auto"/>
                      <w:sz w:val="21"/>
                      <w:szCs w:val="21"/>
                      <w:lang w:val="en-US" w:eastAsia="zh-CN"/>
                    </w:rPr>
                    <w:t>限值</w:t>
                  </w:r>
                </w:p>
              </w:tc>
              <w:tc>
                <w:tcPr>
                  <w:tcW w:w="2628"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总则》（HJ819-2017）</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涂装》（HJ1086-2020）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Merge w:val="restart"/>
                  <w:vAlign w:val="center"/>
                </w:tcPr>
                <w:p>
                  <w:pPr>
                    <w:pStyle w:val="3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w:t>
                  </w:r>
                </w:p>
                <w:p>
                  <w:pPr>
                    <w:pStyle w:val="3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固化废气排放口</w:t>
                  </w:r>
                </w:p>
              </w:tc>
              <w:tc>
                <w:tcPr>
                  <w:tcW w:w="1219" w:type="dxa"/>
                  <w:vAlign w:val="center"/>
                </w:tcPr>
                <w:p>
                  <w:pPr>
                    <w:pStyle w:val="3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144"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c>
                <w:tcPr>
                  <w:tcW w:w="2895"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《大气污染物综合排放标准》（GB16297-1996）表2中最高允许排放浓度</w:t>
                  </w:r>
                  <w:r>
                    <w:rPr>
                      <w:rFonts w:hint="eastAsia" w:ascii="Times New Roman" w:hAnsi="Times New Roman" w:eastAsia="宋体" w:cs="Times New Roman"/>
                      <w:color w:val="auto"/>
                      <w:sz w:val="21"/>
                      <w:szCs w:val="21"/>
                      <w:lang w:val="en-US" w:eastAsia="zh-CN"/>
                    </w:rPr>
                    <w:t>限值</w:t>
                  </w:r>
                  <w:r>
                    <w:rPr>
                      <w:rFonts w:hint="eastAsia" w:cs="Times New Roman"/>
                      <w:color w:val="auto"/>
                      <w:sz w:val="21"/>
                      <w:szCs w:val="21"/>
                      <w:lang w:val="en-US" w:eastAsia="zh-CN"/>
                    </w:rPr>
                    <w:t>、</w:t>
                  </w:r>
                </w:p>
              </w:tc>
              <w:tc>
                <w:tcPr>
                  <w:tcW w:w="2628"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总则》（HJ819-2017）</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涂装》（HJ1086-2020）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Merge w:val="continue"/>
                  <w:vAlign w:val="center"/>
                </w:tcPr>
                <w:p>
                  <w:pPr>
                    <w:pStyle w:val="39"/>
                    <w:rPr>
                      <w:rFonts w:hint="eastAsia" w:ascii="Times New Roman" w:hAnsi="Times New Roman" w:eastAsia="宋体" w:cs="Times New Roman"/>
                      <w:color w:val="auto"/>
                      <w:sz w:val="21"/>
                      <w:szCs w:val="21"/>
                      <w:lang w:val="en-US" w:eastAsia="zh-CN"/>
                    </w:rPr>
                  </w:pPr>
                </w:p>
              </w:tc>
              <w:tc>
                <w:tcPr>
                  <w:tcW w:w="1219" w:type="dxa"/>
                  <w:vAlign w:val="center"/>
                </w:tcPr>
                <w:p>
                  <w:pPr>
                    <w:pStyle w:val="3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144" w:type="dxa"/>
                  <w:vMerge w:val="restart"/>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c>
                <w:tcPr>
                  <w:tcW w:w="2895" w:type="dxa"/>
                  <w:vMerge w:val="restart"/>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《工业炉窑大气污染物综合治理方案》（环大气【2019】56号）</w:t>
                  </w:r>
                  <w:r>
                    <w:rPr>
                      <w:rFonts w:hint="eastAsia" w:ascii="Times New Roman" w:hAnsi="Times New Roman" w:eastAsia="宋体" w:cs="Times New Roman"/>
                      <w:color w:val="auto"/>
                      <w:sz w:val="21"/>
                      <w:szCs w:val="21"/>
                      <w:lang w:val="en-US" w:eastAsia="zh-CN"/>
                    </w:rPr>
                    <w:t>中[颗粒物：30mg/m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，氮氧化物：300mg/m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，二氧化硫：200mg/m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2628" w:type="dxa"/>
                  <w:vMerge w:val="restart"/>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总则》（HJ819-2017）</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涂装》（HJ1086-2020）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Merge w:val="continue"/>
                  <w:vAlign w:val="center"/>
                </w:tcPr>
                <w:p>
                  <w:pPr>
                    <w:pStyle w:val="39"/>
                    <w:rPr>
                      <w:rFonts w:hint="eastAsia" w:ascii="Times New Roman" w:hAnsi="Times New Roman" w:eastAsia="宋体" w:cs="Times New Roman"/>
                      <w:color w:val="auto"/>
                      <w:sz w:val="21"/>
                      <w:szCs w:val="21"/>
                      <w:lang w:val="en-US" w:eastAsia="zh-CN"/>
                    </w:rPr>
                  </w:pPr>
                </w:p>
              </w:tc>
              <w:tc>
                <w:tcPr>
                  <w:tcW w:w="1219" w:type="dxa"/>
                  <w:vAlign w:val="center"/>
                </w:tcPr>
                <w:p>
                  <w:pPr>
                    <w:pStyle w:val="3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二氧化硫</w:t>
                  </w:r>
                </w:p>
              </w:tc>
              <w:tc>
                <w:tcPr>
                  <w:tcW w:w="1144" w:type="dxa"/>
                  <w:vMerge w:val="continue"/>
                  <w:vAlign w:val="center"/>
                </w:tcPr>
                <w:p>
                  <w:pPr>
                    <w:pStyle w:val="39"/>
                    <w:rPr>
                      <w:rFonts w:hint="default" w:ascii="Times New Roman" w:hAnsi="Times New Roman" w:eastAsia="宋体" w:cs="Times New Roman"/>
                      <w:color w:val="auto"/>
                      <w:sz w:val="21"/>
                      <w:szCs w:val="21"/>
                      <w:lang w:val="en-US" w:eastAsia="zh-CN"/>
                    </w:rPr>
                  </w:pPr>
                </w:p>
              </w:tc>
              <w:tc>
                <w:tcPr>
                  <w:tcW w:w="2895" w:type="dxa"/>
                  <w:vMerge w:val="continue"/>
                  <w:vAlign w:val="center"/>
                </w:tcPr>
                <w:p>
                  <w:pPr>
                    <w:pStyle w:val="39"/>
                    <w:rPr>
                      <w:rFonts w:hint="default" w:ascii="Times New Roman" w:hAnsi="Times New Roman" w:eastAsia="宋体" w:cs="Times New Roman"/>
                      <w:color w:val="auto"/>
                      <w:sz w:val="21"/>
                      <w:szCs w:val="21"/>
                      <w:lang w:val="en-US" w:eastAsia="zh-CN"/>
                    </w:rPr>
                  </w:pPr>
                </w:p>
              </w:tc>
              <w:tc>
                <w:tcPr>
                  <w:tcW w:w="2628" w:type="dxa"/>
                  <w:vMerge w:val="continue"/>
                  <w:vAlign w:val="center"/>
                </w:tcPr>
                <w:p>
                  <w:pPr>
                    <w:pStyle w:val="39"/>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Merge w:val="continue"/>
                  <w:vAlign w:val="center"/>
                </w:tcPr>
                <w:p>
                  <w:pPr>
                    <w:pStyle w:val="39"/>
                    <w:rPr>
                      <w:rFonts w:hint="eastAsia" w:ascii="Times New Roman" w:hAnsi="Times New Roman" w:eastAsia="宋体" w:cs="Times New Roman"/>
                      <w:color w:val="auto"/>
                      <w:sz w:val="21"/>
                      <w:szCs w:val="21"/>
                      <w:lang w:val="en-US" w:eastAsia="zh-CN"/>
                    </w:rPr>
                  </w:pPr>
                </w:p>
              </w:tc>
              <w:tc>
                <w:tcPr>
                  <w:tcW w:w="1219" w:type="dxa"/>
                  <w:vAlign w:val="center"/>
                </w:tcPr>
                <w:p>
                  <w:pPr>
                    <w:pStyle w:val="3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氮氧化物</w:t>
                  </w:r>
                </w:p>
              </w:tc>
              <w:tc>
                <w:tcPr>
                  <w:tcW w:w="1144" w:type="dxa"/>
                  <w:vMerge w:val="continue"/>
                  <w:vAlign w:val="center"/>
                </w:tcPr>
                <w:p>
                  <w:pPr>
                    <w:pStyle w:val="39"/>
                    <w:rPr>
                      <w:rFonts w:hint="default" w:ascii="Times New Roman" w:hAnsi="Times New Roman" w:eastAsia="宋体" w:cs="Times New Roman"/>
                      <w:color w:val="auto"/>
                      <w:sz w:val="21"/>
                      <w:szCs w:val="21"/>
                      <w:lang w:val="en-US" w:eastAsia="zh-CN"/>
                    </w:rPr>
                  </w:pPr>
                </w:p>
              </w:tc>
              <w:tc>
                <w:tcPr>
                  <w:tcW w:w="2895" w:type="dxa"/>
                  <w:vMerge w:val="continue"/>
                  <w:vAlign w:val="center"/>
                </w:tcPr>
                <w:p>
                  <w:pPr>
                    <w:pStyle w:val="39"/>
                    <w:rPr>
                      <w:rFonts w:hint="default" w:ascii="Times New Roman" w:hAnsi="Times New Roman" w:eastAsia="宋体" w:cs="Times New Roman"/>
                      <w:color w:val="auto"/>
                      <w:sz w:val="21"/>
                      <w:szCs w:val="21"/>
                      <w:lang w:val="en-US" w:eastAsia="zh-CN"/>
                    </w:rPr>
                  </w:pPr>
                </w:p>
              </w:tc>
              <w:tc>
                <w:tcPr>
                  <w:tcW w:w="2628" w:type="dxa"/>
                  <w:vMerge w:val="continue"/>
                  <w:vAlign w:val="center"/>
                </w:tcPr>
                <w:p>
                  <w:pPr>
                    <w:pStyle w:val="39"/>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Merge w:val="restart"/>
                  <w:vAlign w:val="center"/>
                </w:tcPr>
                <w:p>
                  <w:pPr>
                    <w:pStyle w:val="3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）预烘、浇注、脱模</w:t>
                  </w:r>
                  <w:r>
                    <w:rPr>
                      <w:rFonts w:hint="eastAsia" w:cs="Times New Roman"/>
                      <w:color w:val="auto"/>
                      <w:sz w:val="21"/>
                      <w:szCs w:val="21"/>
                      <w:lang w:val="en-US" w:eastAsia="zh-CN"/>
                    </w:rPr>
                    <w:t>、清洗、注塑及硫化</w:t>
                  </w:r>
                  <w:r>
                    <w:rPr>
                      <w:rFonts w:hint="eastAsia" w:ascii="Times New Roman" w:hAnsi="Times New Roman" w:eastAsia="宋体" w:cs="Times New Roman"/>
                      <w:color w:val="auto"/>
                      <w:sz w:val="21"/>
                      <w:szCs w:val="21"/>
                      <w:lang w:val="en-US" w:eastAsia="zh-CN"/>
                    </w:rPr>
                    <w:t>废气排放口</w:t>
                  </w:r>
                </w:p>
              </w:tc>
              <w:tc>
                <w:tcPr>
                  <w:tcW w:w="1219" w:type="dxa"/>
                  <w:vAlign w:val="center"/>
                </w:tcPr>
                <w:p>
                  <w:pPr>
                    <w:pStyle w:val="3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非甲烷总烃</w:t>
                  </w:r>
                </w:p>
              </w:tc>
              <w:tc>
                <w:tcPr>
                  <w:tcW w:w="114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w:t>
                  </w:r>
                  <w:r>
                    <w:rPr>
                      <w:rFonts w:hint="eastAsia" w:ascii="Times New Roman" w:hAnsi="Times New Roman" w:eastAsia="宋体" w:cs="Times New Roman"/>
                      <w:color w:val="auto"/>
                      <w:sz w:val="21"/>
                      <w:szCs w:val="21"/>
                      <w:lang w:val="en-US" w:eastAsia="zh-CN"/>
                    </w:rPr>
                    <w:t>半</w:t>
                  </w:r>
                  <w:r>
                    <w:rPr>
                      <w:rFonts w:hint="default" w:ascii="Times New Roman" w:hAnsi="Times New Roman" w:eastAsia="宋体" w:cs="Times New Roman"/>
                      <w:color w:val="auto"/>
                      <w:sz w:val="21"/>
                      <w:szCs w:val="21"/>
                      <w:lang w:val="en-US" w:eastAsia="zh-CN"/>
                    </w:rPr>
                    <w:t>年</w:t>
                  </w:r>
                </w:p>
              </w:tc>
              <w:tc>
                <w:tcPr>
                  <w:tcW w:w="2895" w:type="dxa"/>
                  <w:vMerge w:val="restart"/>
                  <w:vAlign w:val="center"/>
                </w:tcPr>
                <w:p>
                  <w:pPr>
                    <w:pStyle w:val="39"/>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《合成树脂工业污染物排放标准》（GB31572-2015）表5中大气污染物特别排放限值和表9企业边界大气污染物浓度限值</w:t>
                  </w:r>
                  <w:r>
                    <w:rPr>
                      <w:rFonts w:hint="eastAsia" w:cs="Times New Roman"/>
                      <w:color w:val="auto"/>
                      <w:sz w:val="21"/>
                      <w:szCs w:val="21"/>
                      <w:lang w:eastAsia="zh-CN"/>
                    </w:rPr>
                    <w:t>、</w:t>
                  </w:r>
                  <w:r>
                    <w:rPr>
                      <w:rFonts w:hint="eastAsia" w:ascii="Times New Roman" w:hAnsi="Times New Roman" w:cs="Times New Roman"/>
                      <w:color w:val="auto"/>
                      <w:sz w:val="21"/>
                      <w:szCs w:val="21"/>
                      <w:lang w:val="en-US" w:eastAsia="zh-CN"/>
                    </w:rPr>
                    <w:t>《橡胶制品工业污染物排放标准》（GB27632-2011）表5新建企业大气污染物排放限值、</w:t>
                  </w:r>
                  <w:r>
                    <w:rPr>
                      <w:rFonts w:hint="default" w:ascii="Times New Roman" w:hAnsi="Times New Roman" w:cs="Times New Roman"/>
                      <w:color w:val="auto"/>
                      <w:kern w:val="0"/>
                      <w:sz w:val="21"/>
                      <w:szCs w:val="21"/>
                      <w:lang w:eastAsia="zh-CN"/>
                    </w:rPr>
                    <w:t>《恶臭污染物排放标准》</w:t>
                  </w:r>
                  <w:r>
                    <w:rPr>
                      <w:rFonts w:hint="default" w:ascii="Times New Roman" w:hAnsi="Times New Roman" w:eastAsia="宋体" w:cs="Times New Roman"/>
                      <w:color w:val="auto"/>
                      <w:sz w:val="21"/>
                      <w:szCs w:val="21"/>
                    </w:rPr>
                    <w:t>（GB14554-93）</w:t>
                  </w:r>
                  <w:r>
                    <w:rPr>
                      <w:rFonts w:hint="default" w:ascii="Times New Roman" w:hAnsi="Times New Roman" w:cs="Times New Roman"/>
                      <w:color w:val="auto"/>
                      <w:kern w:val="0"/>
                      <w:sz w:val="21"/>
                      <w:szCs w:val="21"/>
                      <w:lang w:eastAsia="zh-CN"/>
                    </w:rPr>
                    <w:t>中表</w:t>
                  </w:r>
                  <w:r>
                    <w:rPr>
                      <w:rFonts w:hint="default" w:ascii="Times New Roman" w:hAnsi="Times New Roman" w:cs="Times New Roman"/>
                      <w:color w:val="auto"/>
                      <w:kern w:val="0"/>
                      <w:sz w:val="21"/>
                      <w:szCs w:val="21"/>
                      <w:lang w:val="en-US" w:eastAsia="zh-CN"/>
                    </w:rPr>
                    <w:t>1</w:t>
                  </w:r>
                  <w:r>
                    <w:rPr>
                      <w:rFonts w:hint="eastAsia" w:ascii="宋体" w:hAnsi="宋体" w:eastAsia="宋体" w:cs="宋体"/>
                      <w:color w:val="auto"/>
                      <w:kern w:val="0"/>
                      <w:sz w:val="21"/>
                      <w:szCs w:val="21"/>
                      <w:lang w:val="en-US" w:eastAsia="zh-CN"/>
                    </w:rPr>
                    <w:t>中“二级新改扩建”标准</w:t>
                  </w:r>
                  <w:r>
                    <w:rPr>
                      <w:rFonts w:hint="default" w:ascii="Times New Roman" w:hAnsi="Times New Roman" w:eastAsia="宋体" w:cs="Times New Roman"/>
                      <w:color w:val="auto"/>
                      <w:kern w:val="0"/>
                      <w:sz w:val="21"/>
                      <w:szCs w:val="21"/>
                      <w:lang w:val="en-US" w:eastAsia="zh-CN"/>
                    </w:rPr>
                    <w:t>限值和表2恶臭污染物排放标准值</w:t>
                  </w:r>
                </w:p>
              </w:tc>
              <w:tc>
                <w:tcPr>
                  <w:tcW w:w="2628" w:type="dxa"/>
                  <w:vMerge w:val="restart"/>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总则》（HJ819-2017）</w:t>
                  </w:r>
                  <w:r>
                    <w:rPr>
                      <w:rFonts w:hint="eastAsia" w:ascii="Times New Roman" w:hAnsi="Times New Roman" w:eastAsia="宋体" w:cs="Times New Roman"/>
                      <w:color w:val="auto"/>
                      <w:sz w:val="21"/>
                      <w:szCs w:val="21"/>
                      <w:lang w:val="en-US" w:eastAsia="zh-CN"/>
                    </w:rPr>
                    <w:t>、《排污单位自行监测技术指南-橡胶和塑料制品》（HJ1207-2021）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Merge w:val="continue"/>
                  <w:vAlign w:val="center"/>
                </w:tcPr>
                <w:p>
                  <w:pPr>
                    <w:pStyle w:val="39"/>
                    <w:rPr>
                      <w:rFonts w:hint="eastAsia" w:ascii="Times New Roman" w:hAnsi="Times New Roman" w:eastAsia="宋体" w:cs="Times New Roman"/>
                      <w:color w:val="auto"/>
                      <w:sz w:val="21"/>
                      <w:szCs w:val="21"/>
                      <w:lang w:val="en-US" w:eastAsia="zh-CN"/>
                    </w:rPr>
                  </w:pPr>
                </w:p>
              </w:tc>
              <w:tc>
                <w:tcPr>
                  <w:tcW w:w="1219" w:type="dxa"/>
                  <w:vAlign w:val="center"/>
                </w:tcPr>
                <w:p>
                  <w:pPr>
                    <w:pStyle w:val="39"/>
                    <w:rPr>
                      <w:rFonts w:hint="eastAsia" w:cs="Times New Roman"/>
                      <w:color w:val="auto"/>
                      <w:sz w:val="21"/>
                      <w:szCs w:val="21"/>
                      <w:lang w:val="en-US" w:eastAsia="zh-CN"/>
                    </w:rPr>
                  </w:pPr>
                  <w:r>
                    <w:rPr>
                      <w:rFonts w:hint="default" w:ascii="Times New Roman" w:hAnsi="Times New Roman" w:cs="Times New Roman"/>
                      <w:b w:val="0"/>
                      <w:bCs w:val="0"/>
                      <w:color w:val="auto"/>
                      <w:sz w:val="21"/>
                      <w:szCs w:val="21"/>
                      <w:lang w:val="en-US" w:eastAsia="zh-CN"/>
                    </w:rPr>
                    <w:t>二苯基甲烷二异氰酸酯（MDI）</w:t>
                  </w:r>
                </w:p>
              </w:tc>
              <w:tc>
                <w:tcPr>
                  <w:tcW w:w="1144" w:type="dxa"/>
                  <w:vAlign w:val="center"/>
                </w:tcPr>
                <w:p>
                  <w:pPr>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c>
                <w:tcPr>
                  <w:tcW w:w="2895" w:type="dxa"/>
                  <w:vMerge w:val="continue"/>
                  <w:vAlign w:val="center"/>
                </w:tcPr>
                <w:p>
                  <w:pPr>
                    <w:pStyle w:val="39"/>
                    <w:rPr>
                      <w:rFonts w:ascii="Times New Roman" w:hAnsi="Times New Roman" w:eastAsia="宋体" w:cs="Times New Roman"/>
                      <w:color w:val="auto"/>
                      <w:sz w:val="21"/>
                      <w:szCs w:val="21"/>
                    </w:rPr>
                  </w:pPr>
                </w:p>
              </w:tc>
              <w:tc>
                <w:tcPr>
                  <w:tcW w:w="2628" w:type="dxa"/>
                  <w:vMerge w:val="continue"/>
                  <w:vAlign w:val="center"/>
                </w:tcPr>
                <w:p>
                  <w:pPr>
                    <w:pStyle w:val="39"/>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Merge w:val="continue"/>
                  <w:vAlign w:val="center"/>
                </w:tcPr>
                <w:p>
                  <w:pPr>
                    <w:pStyle w:val="39"/>
                    <w:rPr>
                      <w:rFonts w:hint="eastAsia" w:ascii="Times New Roman" w:hAnsi="Times New Roman" w:eastAsia="宋体" w:cs="Times New Roman"/>
                      <w:color w:val="auto"/>
                      <w:sz w:val="21"/>
                      <w:szCs w:val="21"/>
                      <w:lang w:val="en-US" w:eastAsia="zh-CN"/>
                    </w:rPr>
                  </w:pPr>
                </w:p>
              </w:tc>
              <w:tc>
                <w:tcPr>
                  <w:tcW w:w="1219" w:type="dxa"/>
                  <w:vAlign w:val="center"/>
                </w:tcPr>
                <w:p>
                  <w:pPr>
                    <w:pStyle w:val="39"/>
                    <w:rPr>
                      <w:rFonts w:hint="default" w:ascii="Times New Roman" w:hAnsi="Times New Roman" w:cs="Times New Roman"/>
                      <w:b w:val="0"/>
                      <w:bCs w:val="0"/>
                      <w:color w:val="auto"/>
                      <w:sz w:val="21"/>
                      <w:szCs w:val="21"/>
                      <w:lang w:val="en-US" w:eastAsia="zh-CN"/>
                    </w:rPr>
                  </w:pPr>
                  <w:r>
                    <w:rPr>
                      <w:rFonts w:hint="eastAsia" w:cs="Times New Roman"/>
                      <w:color w:val="auto"/>
                      <w:sz w:val="21"/>
                      <w:szCs w:val="21"/>
                      <w:lang w:val="en-US" w:eastAsia="zh-CN"/>
                    </w:rPr>
                    <w:t>二硫化碳（CS</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w:t>
                  </w:r>
                </w:p>
              </w:tc>
              <w:tc>
                <w:tcPr>
                  <w:tcW w:w="114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c>
                <w:tcPr>
                  <w:tcW w:w="2895" w:type="dxa"/>
                  <w:vMerge w:val="continue"/>
                  <w:vAlign w:val="center"/>
                </w:tcPr>
                <w:p>
                  <w:pPr>
                    <w:pStyle w:val="39"/>
                    <w:rPr>
                      <w:rFonts w:ascii="Times New Roman" w:hAnsi="Times New Roman" w:eastAsia="宋体" w:cs="Times New Roman"/>
                      <w:color w:val="auto"/>
                      <w:sz w:val="21"/>
                      <w:szCs w:val="21"/>
                    </w:rPr>
                  </w:pPr>
                </w:p>
              </w:tc>
              <w:tc>
                <w:tcPr>
                  <w:tcW w:w="2628" w:type="dxa"/>
                  <w:vMerge w:val="continue"/>
                  <w:vAlign w:val="center"/>
                </w:tcPr>
                <w:p>
                  <w:pPr>
                    <w:pStyle w:val="39"/>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Merge w:val="continue"/>
                  <w:vAlign w:val="center"/>
                </w:tcPr>
                <w:p>
                  <w:pPr>
                    <w:pStyle w:val="39"/>
                    <w:rPr>
                      <w:rFonts w:hint="eastAsia" w:ascii="Times New Roman" w:hAnsi="Times New Roman" w:eastAsia="宋体" w:cs="Times New Roman"/>
                      <w:color w:val="auto"/>
                      <w:sz w:val="21"/>
                      <w:szCs w:val="21"/>
                      <w:lang w:val="en-US" w:eastAsia="zh-CN"/>
                    </w:rPr>
                  </w:pPr>
                </w:p>
              </w:tc>
              <w:tc>
                <w:tcPr>
                  <w:tcW w:w="1219" w:type="dxa"/>
                  <w:vAlign w:val="center"/>
                </w:tcPr>
                <w:p>
                  <w:pPr>
                    <w:pStyle w:val="39"/>
                    <w:rPr>
                      <w:rFonts w:hint="default" w:ascii="Times New Roman" w:hAnsi="Times New Roman" w:cs="Times New Roman"/>
                      <w:b w:val="0"/>
                      <w:bCs w:val="0"/>
                      <w:color w:val="auto"/>
                      <w:sz w:val="21"/>
                      <w:szCs w:val="21"/>
                      <w:lang w:val="en-US" w:eastAsia="zh-CN"/>
                    </w:rPr>
                  </w:pPr>
                  <w:r>
                    <w:rPr>
                      <w:rFonts w:hint="eastAsia" w:cs="Times New Roman"/>
                      <w:color w:val="auto"/>
                      <w:sz w:val="21"/>
                      <w:szCs w:val="21"/>
                      <w:lang w:val="en-US" w:eastAsia="zh-CN"/>
                    </w:rPr>
                    <w:t>臭气浓度</w:t>
                  </w:r>
                </w:p>
              </w:tc>
              <w:tc>
                <w:tcPr>
                  <w:tcW w:w="114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c>
                <w:tcPr>
                  <w:tcW w:w="2895" w:type="dxa"/>
                  <w:vMerge w:val="continue"/>
                  <w:vAlign w:val="center"/>
                </w:tcPr>
                <w:p>
                  <w:pPr>
                    <w:pStyle w:val="39"/>
                    <w:rPr>
                      <w:rFonts w:ascii="Times New Roman" w:hAnsi="Times New Roman" w:eastAsia="宋体" w:cs="Times New Roman"/>
                      <w:color w:val="auto"/>
                      <w:sz w:val="21"/>
                      <w:szCs w:val="21"/>
                    </w:rPr>
                  </w:pPr>
                </w:p>
              </w:tc>
              <w:tc>
                <w:tcPr>
                  <w:tcW w:w="2628" w:type="dxa"/>
                  <w:vMerge w:val="continue"/>
                  <w:vAlign w:val="center"/>
                </w:tcPr>
                <w:p>
                  <w:pPr>
                    <w:pStyle w:val="39"/>
                    <w:rPr>
                      <w:rFonts w:hint="default" w:ascii="Times New Roman" w:hAnsi="Times New Roman" w:eastAsia="宋体" w:cs="Times New Roman"/>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1.2.1无组织废气排放监测点位、监测指标和监测频次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无组织废气排放监测点位、监测指标和最低监测频次一览表见表4.16。</w:t>
            </w:r>
          </w:p>
          <w:p>
            <w:pPr>
              <w:pStyle w:val="29"/>
              <w:spacing w:line="240" w:lineRule="auto"/>
              <w:ind w:left="0" w:leftChars="0" w:firstLine="0" w:firstLineChars="0"/>
              <w:jc w:val="center"/>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表4.16  无</w:t>
            </w:r>
            <w:r>
              <w:rPr>
                <w:rFonts w:hint="eastAsia" w:ascii="Times New Roman" w:hAnsi="Times New Roman" w:cs="Times New Roman"/>
                <w:b/>
                <w:bCs/>
                <w:color w:val="auto"/>
                <w:sz w:val="24"/>
                <w:szCs w:val="24"/>
                <w:highlight w:val="none"/>
                <w:lang w:val="en-US" w:eastAsia="zh-CN"/>
              </w:rPr>
              <w:t>组织废气排放监测点位、监测指标和</w:t>
            </w:r>
            <w:r>
              <w:rPr>
                <w:rFonts w:hint="eastAsia" w:cs="Times New Roman"/>
                <w:b/>
                <w:bCs/>
                <w:color w:val="auto"/>
                <w:sz w:val="24"/>
                <w:szCs w:val="24"/>
                <w:highlight w:val="none"/>
                <w:lang w:val="en-US" w:eastAsia="zh-CN"/>
              </w:rPr>
              <w:t>最低</w:t>
            </w:r>
            <w:r>
              <w:rPr>
                <w:rFonts w:hint="eastAsia" w:ascii="Times New Roman" w:hAnsi="Times New Roman" w:cs="Times New Roman"/>
                <w:b/>
                <w:bCs/>
                <w:color w:val="auto"/>
                <w:sz w:val="24"/>
                <w:szCs w:val="24"/>
                <w:highlight w:val="none"/>
                <w:lang w:val="en-US" w:eastAsia="zh-CN"/>
              </w:rPr>
              <w:t>监测频次</w:t>
            </w:r>
            <w:r>
              <w:rPr>
                <w:rFonts w:hint="eastAsia" w:cs="Times New Roman"/>
                <w:b/>
                <w:bCs/>
                <w:color w:val="auto"/>
                <w:sz w:val="24"/>
                <w:szCs w:val="24"/>
                <w:highlight w:val="none"/>
                <w:lang w:val="en-US" w:eastAsia="zh-CN"/>
              </w:rPr>
              <w:t>一览表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084"/>
              <w:gridCol w:w="1202"/>
              <w:gridCol w:w="3260"/>
              <w:gridCol w:w="2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监测点位</w:t>
                  </w:r>
                </w:p>
              </w:tc>
              <w:tc>
                <w:tcPr>
                  <w:tcW w:w="1095"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监测指标</w:t>
                  </w:r>
                </w:p>
              </w:tc>
              <w:tc>
                <w:tcPr>
                  <w:tcW w:w="1215"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监测频次</w:t>
                  </w:r>
                </w:p>
              </w:tc>
              <w:tc>
                <w:tcPr>
                  <w:tcW w:w="3300"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执行标准</w:t>
                  </w:r>
                </w:p>
              </w:tc>
              <w:tc>
                <w:tcPr>
                  <w:tcW w:w="2997" w:type="dxa"/>
                  <w:vAlign w:val="center"/>
                </w:tcPr>
                <w:p>
                  <w:pPr>
                    <w:pStyle w:val="3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w:t>
                  </w:r>
                </w:p>
              </w:tc>
              <w:tc>
                <w:tcPr>
                  <w:tcW w:w="1095"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非甲烷总烃、颗粒物</w:t>
                  </w:r>
                  <w:r>
                    <w:rPr>
                      <w:rFonts w:hint="eastAsia" w:cs="Times New Roman"/>
                      <w:color w:val="auto"/>
                      <w:sz w:val="21"/>
                      <w:szCs w:val="21"/>
                      <w:lang w:val="en-US" w:eastAsia="zh-CN"/>
                    </w:rPr>
                    <w:t>、臭气浓度、二硫化碳（CS</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w:t>
                  </w:r>
                  <w:r>
                    <w:rPr>
                      <w:rFonts w:hint="default" w:ascii="Times New Roman" w:hAnsi="Times New Roman" w:cs="Times New Roman"/>
                      <w:b w:val="0"/>
                      <w:bCs w:val="0"/>
                      <w:color w:val="auto"/>
                      <w:sz w:val="21"/>
                      <w:szCs w:val="21"/>
                      <w:lang w:val="en-US" w:eastAsia="zh-CN"/>
                    </w:rPr>
                    <w:t>二苯基甲烷二异氰酸酯（MDI）</w:t>
                  </w:r>
                </w:p>
              </w:tc>
              <w:tc>
                <w:tcPr>
                  <w:tcW w:w="1215"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c>
                <w:tcPr>
                  <w:tcW w:w="3300" w:type="dxa"/>
                  <w:vAlign w:val="center"/>
                </w:tcPr>
                <w:p>
                  <w:pPr>
                    <w:pStyle w:val="3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《大气污染物综合排放标准》（GB16297-1996）表2中无组织排放监控浓度限值</w:t>
                  </w:r>
                  <w:r>
                    <w:rPr>
                      <w:rFonts w:hint="eastAsia" w:cs="Times New Roman"/>
                      <w:color w:val="auto"/>
                      <w:sz w:val="21"/>
                      <w:szCs w:val="21"/>
                      <w:lang w:val="en-US" w:eastAsia="zh-CN"/>
                    </w:rPr>
                    <w:t>、</w:t>
                  </w:r>
                  <w:r>
                    <w:rPr>
                      <w:rFonts w:ascii="Times New Roman" w:hAnsi="Times New Roman" w:eastAsia="宋体" w:cs="Times New Roman"/>
                      <w:color w:val="auto"/>
                      <w:sz w:val="21"/>
                      <w:szCs w:val="21"/>
                    </w:rPr>
                    <w:t>《合成树脂工业污染物排放标准》（GB31572-2015）表9企业边界大气污染物浓度限值</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kern w:val="0"/>
                      <w:sz w:val="21"/>
                      <w:szCs w:val="21"/>
                      <w:lang w:eastAsia="zh-CN"/>
                    </w:rPr>
                    <w:t>《恶臭污染物排放标准》</w:t>
                  </w:r>
                  <w:r>
                    <w:rPr>
                      <w:rFonts w:hint="default" w:ascii="Times New Roman" w:hAnsi="Times New Roman" w:eastAsia="宋体" w:cs="Times New Roman"/>
                      <w:color w:val="auto"/>
                      <w:sz w:val="21"/>
                      <w:szCs w:val="21"/>
                    </w:rPr>
                    <w:t>（GB14554-93）</w:t>
                  </w:r>
                  <w:r>
                    <w:rPr>
                      <w:rFonts w:hint="default" w:ascii="Times New Roman" w:hAnsi="Times New Roman" w:cs="Times New Roman"/>
                      <w:color w:val="auto"/>
                      <w:kern w:val="0"/>
                      <w:sz w:val="21"/>
                      <w:szCs w:val="21"/>
                      <w:lang w:eastAsia="zh-CN"/>
                    </w:rPr>
                    <w:t>中表</w:t>
                  </w:r>
                  <w:r>
                    <w:rPr>
                      <w:rFonts w:hint="default" w:ascii="Times New Roman" w:hAnsi="Times New Roman" w:cs="Times New Roman"/>
                      <w:color w:val="auto"/>
                      <w:kern w:val="0"/>
                      <w:sz w:val="21"/>
                      <w:szCs w:val="21"/>
                      <w:lang w:val="en-US" w:eastAsia="zh-CN"/>
                    </w:rPr>
                    <w:t>1</w:t>
                  </w:r>
                  <w:r>
                    <w:rPr>
                      <w:rFonts w:hint="eastAsia" w:ascii="宋体" w:hAnsi="宋体" w:eastAsia="宋体" w:cs="宋体"/>
                      <w:color w:val="auto"/>
                      <w:kern w:val="0"/>
                      <w:sz w:val="21"/>
                      <w:szCs w:val="21"/>
                      <w:lang w:val="en-US" w:eastAsia="zh-CN"/>
                    </w:rPr>
                    <w:t>中“二级新改扩建”标准</w:t>
                  </w:r>
                  <w:r>
                    <w:rPr>
                      <w:rFonts w:hint="default" w:ascii="Times New Roman" w:hAnsi="Times New Roman" w:eastAsia="宋体" w:cs="Times New Roman"/>
                      <w:color w:val="auto"/>
                      <w:kern w:val="0"/>
                      <w:sz w:val="21"/>
                      <w:szCs w:val="21"/>
                      <w:lang w:val="en-US" w:eastAsia="zh-CN"/>
                    </w:rPr>
                    <w:t>限值</w:t>
                  </w:r>
                  <w:r>
                    <w:rPr>
                      <w:rFonts w:hint="eastAsia" w:ascii="Times New Roman" w:hAnsi="Times New Roman" w:eastAsia="宋体" w:cs="Times New Roman"/>
                      <w:color w:val="auto"/>
                      <w:kern w:val="0"/>
                      <w:sz w:val="21"/>
                      <w:szCs w:val="21"/>
                      <w:lang w:val="en-US" w:eastAsia="zh-CN"/>
                    </w:rPr>
                    <w:t>、</w:t>
                  </w:r>
                  <w:r>
                    <w:rPr>
                      <w:rFonts w:hint="eastAsia" w:ascii="Times New Roman" w:hAnsi="Times New Roman" w:cs="Times New Roman"/>
                      <w:color w:val="auto"/>
                      <w:sz w:val="21"/>
                      <w:szCs w:val="21"/>
                      <w:lang w:val="en-US" w:eastAsia="zh-CN"/>
                    </w:rPr>
                    <w:t>《橡胶制品工业污染物排放标准》（GB27632-2011）表6现有和新建企业厂界无组织排放限值、</w:t>
                  </w:r>
                  <w:r>
                    <w:rPr>
                      <w:rFonts w:hint="default" w:ascii="Times New Roman" w:hAnsi="Times New Roman" w:eastAsia="宋体" w:cs="Times New Roman"/>
                      <w:color w:val="auto"/>
                      <w:sz w:val="21"/>
                      <w:szCs w:val="21"/>
                      <w:lang w:val="en-US" w:eastAsia="zh-CN"/>
                    </w:rPr>
                    <w:t>《挥发性有机物无组织排放控制标准》（GB37822-2019）附录A中</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表A.1中限值-特别</w:t>
                  </w:r>
                  <w:r>
                    <w:rPr>
                      <w:rFonts w:hint="eastAsia" w:ascii="Times New Roman" w:hAnsi="Times New Roman" w:eastAsia="宋体" w:cs="Times New Roman"/>
                      <w:color w:val="auto"/>
                      <w:sz w:val="21"/>
                      <w:szCs w:val="21"/>
                      <w:lang w:val="en-US" w:eastAsia="zh-CN"/>
                    </w:rPr>
                    <w:t>排放限值”</w:t>
                  </w:r>
                </w:p>
              </w:tc>
              <w:tc>
                <w:tcPr>
                  <w:tcW w:w="2997" w:type="dxa"/>
                  <w:vMerge w:val="restart"/>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总则》（HJ819-2017）</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涂装》（HJ1086-2020）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《排污单位自行监测技术指南-橡胶和塑料制品》（HJ1207-2021）、《排污许可证申请与核发技术规范-家具制造工业》（HJ1027-2019）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厂区内</w:t>
                  </w:r>
                </w:p>
              </w:tc>
              <w:tc>
                <w:tcPr>
                  <w:tcW w:w="1095" w:type="dxa"/>
                  <w:vAlign w:val="center"/>
                </w:tcPr>
                <w:p>
                  <w:pPr>
                    <w:pStyle w:val="3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215"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c>
                <w:tcPr>
                  <w:tcW w:w="3300" w:type="dxa"/>
                  <w:vAlign w:val="center"/>
                </w:tcPr>
                <w:p>
                  <w:pPr>
                    <w:pStyle w:val="3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《挥发性有机物无组织排放控制标准》（GB37822-2019）附录A中</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表A.1中限值-特别</w:t>
                  </w:r>
                  <w:r>
                    <w:rPr>
                      <w:rFonts w:hint="eastAsia" w:ascii="Times New Roman" w:hAnsi="Times New Roman" w:eastAsia="宋体" w:cs="Times New Roman"/>
                      <w:color w:val="auto"/>
                      <w:sz w:val="21"/>
                      <w:szCs w:val="21"/>
                      <w:lang w:val="en-US" w:eastAsia="zh-CN"/>
                    </w:rPr>
                    <w:t>排放限值”</w:t>
                  </w:r>
                </w:p>
              </w:tc>
              <w:tc>
                <w:tcPr>
                  <w:tcW w:w="2997" w:type="dxa"/>
                  <w:vMerge w:val="continue"/>
                  <w:vAlign w:val="center"/>
                </w:tcPr>
                <w:p>
                  <w:pPr>
                    <w:pStyle w:val="39"/>
                    <w:rPr>
                      <w:rFonts w:hint="default" w:ascii="Times New Roman" w:hAnsi="Times New Roman" w:eastAsia="宋体" w:cs="Times New Roman"/>
                      <w:color w:val="auto"/>
                      <w:sz w:val="21"/>
                      <w:szCs w:val="21"/>
                      <w:lang w:val="en-US" w:eastAsia="zh-CN"/>
                    </w:rPr>
                  </w:pPr>
                </w:p>
              </w:tc>
            </w:tr>
          </w:tbl>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1.</w:t>
            </w:r>
            <w:r>
              <w:rPr>
                <w:rFonts w:hint="eastAsia" w:ascii="Times New Roman" w:hAnsi="Times New Roman" w:cs="Times New Roman"/>
                <w:color w:val="auto"/>
                <w:sz w:val="24"/>
              </w:rPr>
              <w:t>3</w:t>
            </w:r>
            <w:r>
              <w:rPr>
                <w:rFonts w:ascii="Times New Roman" w:hAnsi="Times New Roman" w:cs="Times New Roman"/>
                <w:color w:val="auto"/>
                <w:sz w:val="24"/>
              </w:rPr>
              <w:t>废气达标排放情况</w:t>
            </w:r>
          </w:p>
          <w:p>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1.3.1有组织废气措施有效性分析</w:t>
            </w:r>
          </w:p>
          <w:p>
            <w:pPr>
              <w:pStyle w:val="55"/>
              <w:adjustRightInd/>
              <w:snapToGrid/>
              <w:ind w:firstLineChars="0"/>
              <w:jc w:val="both"/>
              <w:rPr>
                <w:rFonts w:ascii="Times New Roman" w:hAnsi="Times New Roman" w:eastAsia="宋体" w:cs="Times New Roman"/>
                <w:color w:val="auto"/>
                <w:szCs w:val="24"/>
                <w:lang w:val="zh-CN"/>
              </w:rPr>
            </w:pPr>
            <w:r>
              <w:rPr>
                <w:rFonts w:hint="eastAsia" w:ascii="Times New Roman" w:hAnsi="Times New Roman" w:cs="Times New Roman"/>
                <w:color w:val="auto"/>
                <w:szCs w:val="24"/>
                <w:lang w:val="zh-CN"/>
              </w:rPr>
              <w:t>（</w:t>
            </w:r>
            <w:r>
              <w:rPr>
                <w:rFonts w:hint="eastAsia" w:ascii="Times New Roman" w:hAnsi="Times New Roman" w:cs="Times New Roman"/>
                <w:color w:val="auto"/>
                <w:szCs w:val="24"/>
              </w:rPr>
              <w:t>1</w:t>
            </w:r>
            <w:r>
              <w:rPr>
                <w:rFonts w:hint="eastAsia" w:ascii="Times New Roman" w:hAnsi="Times New Roman" w:cs="Times New Roman"/>
                <w:color w:val="auto"/>
                <w:szCs w:val="24"/>
                <w:lang w:val="zh-CN"/>
              </w:rPr>
              <w:t>）颗粒物</w:t>
            </w:r>
          </w:p>
          <w:p>
            <w:pPr>
              <w:pStyle w:val="33"/>
              <w:rPr>
                <w:rFonts w:hint="default"/>
                <w:b w:val="0"/>
                <w:bCs w:val="0"/>
                <w:snapToGrid w:val="0"/>
                <w:color w:val="auto"/>
                <w:lang w:val="en-US" w:eastAsia="zh-CN"/>
              </w:rPr>
            </w:pPr>
            <w:r>
              <w:rPr>
                <w:rFonts w:hint="eastAsia"/>
                <w:b w:val="0"/>
                <w:bCs w:val="0"/>
                <w:snapToGrid w:val="0"/>
                <w:color w:val="auto"/>
                <w:lang w:eastAsia="zh-CN"/>
              </w:rPr>
              <w:t>①下料、焊接</w:t>
            </w:r>
            <w:r>
              <w:rPr>
                <w:rFonts w:hint="eastAsia"/>
                <w:b w:val="0"/>
                <w:bCs w:val="0"/>
                <w:snapToGrid w:val="0"/>
                <w:color w:val="auto"/>
                <w:lang w:val="en-US" w:eastAsia="zh-CN"/>
              </w:rPr>
              <w:t>-颗粒物</w:t>
            </w:r>
          </w:p>
          <w:p>
            <w:pPr>
              <w:pStyle w:val="33"/>
              <w:rPr>
                <w:rFonts w:hint="default" w:ascii="Times New Roman" w:hAnsi="Times New Roman" w:cs="Times New Roman"/>
                <w:snapToGrid w:val="0"/>
                <w:color w:val="auto"/>
                <w:lang w:val="en-US" w:eastAsia="zh-CN"/>
              </w:rPr>
            </w:pPr>
            <w:r>
              <w:rPr>
                <w:rFonts w:hint="eastAsia"/>
                <w:b/>
                <w:bCs/>
                <w:snapToGrid w:val="0"/>
                <w:color w:val="auto"/>
                <w:lang w:eastAsia="zh-CN"/>
              </w:rPr>
              <w:t>参考</w:t>
            </w:r>
            <w:r>
              <w:rPr>
                <w:rFonts w:hint="eastAsia"/>
                <w:snapToGrid w:val="0"/>
                <w:color w:val="auto"/>
              </w:rPr>
              <w:t>《汽车工业污染防治可行技术指南》</w:t>
            </w:r>
            <w:r>
              <w:rPr>
                <w:rFonts w:hint="default" w:ascii="Times New Roman" w:hAnsi="Times New Roman" w:cs="Times New Roman"/>
                <w:snapToGrid w:val="0"/>
                <w:color w:val="auto"/>
              </w:rPr>
              <w:t>（HJ1181-2021</w:t>
            </w:r>
            <w:r>
              <w:rPr>
                <w:rFonts w:hint="eastAsia"/>
                <w:snapToGrid w:val="0"/>
                <w:color w:val="auto"/>
              </w:rPr>
              <w:t>）：“</w:t>
            </w:r>
            <w:r>
              <w:rPr>
                <w:rFonts w:hint="default" w:ascii="Times New Roman" w:hAnsi="Times New Roman" w:cs="Times New Roman"/>
                <w:snapToGrid w:val="0"/>
                <w:color w:val="auto"/>
                <w:lang w:val="en-US" w:eastAsia="zh-CN"/>
              </w:rPr>
              <w:t>8.1.1下</w:t>
            </w:r>
            <w:r>
              <w:rPr>
                <w:rFonts w:hint="eastAsia"/>
                <w:snapToGrid w:val="0"/>
                <w:color w:val="auto"/>
                <w:lang w:val="en-US" w:eastAsia="zh-CN"/>
              </w:rPr>
              <w:t>料、干式机械加工、焊接、机械预处理和粉末冶金工序废气污染防治可行技术</w:t>
            </w:r>
            <w:r>
              <w:rPr>
                <w:rFonts w:hint="eastAsia"/>
                <w:snapToGrid w:val="0"/>
                <w:color w:val="auto"/>
              </w:rPr>
              <w:t>”</w:t>
            </w:r>
            <w:r>
              <w:rPr>
                <w:rFonts w:hint="default" w:ascii="Times New Roman" w:hAnsi="Times New Roman" w:cs="Times New Roman"/>
                <w:snapToGrid w:val="0"/>
                <w:color w:val="auto"/>
              </w:rPr>
              <w:t>，</w:t>
            </w:r>
            <w:r>
              <w:rPr>
                <w:rFonts w:hint="default" w:ascii="Times New Roman" w:hAnsi="Times New Roman" w:cs="Times New Roman"/>
                <w:snapToGrid w:val="0"/>
                <w:color w:val="auto"/>
                <w:lang w:eastAsia="zh-CN"/>
              </w:rPr>
              <w:t>见表</w:t>
            </w:r>
            <w:r>
              <w:rPr>
                <w:rFonts w:hint="default" w:ascii="Times New Roman" w:hAnsi="Times New Roman" w:cs="Times New Roman"/>
                <w:snapToGrid w:val="0"/>
                <w:color w:val="auto"/>
                <w:lang w:val="en-US" w:eastAsia="zh-CN"/>
              </w:rPr>
              <w:t>4.</w:t>
            </w:r>
            <w:r>
              <w:rPr>
                <w:rFonts w:hint="eastAsia" w:ascii="Times New Roman" w:hAnsi="Times New Roman" w:cs="Times New Roman"/>
                <w:snapToGrid w:val="0"/>
                <w:color w:val="auto"/>
                <w:lang w:val="en-US" w:eastAsia="zh-CN"/>
              </w:rPr>
              <w:t>17</w:t>
            </w:r>
            <w:r>
              <w:rPr>
                <w:rFonts w:hint="default" w:ascii="Times New Roman" w:hAnsi="Times New Roman" w:cs="Times New Roman"/>
                <w:snapToGrid w:val="0"/>
                <w:color w:val="auto"/>
                <w:lang w:val="en-US" w:eastAsia="zh-CN"/>
              </w:rPr>
              <w:t>。</w:t>
            </w:r>
          </w:p>
          <w:p>
            <w:pPr>
              <w:pStyle w:val="29"/>
              <w:spacing w:line="240" w:lineRule="auto"/>
              <w:ind w:left="0" w:leftChars="0" w:firstLine="0" w:firstLineChars="0"/>
              <w:jc w:val="center"/>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表4.17  </w:t>
            </w:r>
            <w:r>
              <w:rPr>
                <w:rFonts w:hint="default" w:ascii="Times New Roman" w:hAnsi="Times New Roman" w:cs="Times New Roman"/>
                <w:b/>
                <w:bCs/>
                <w:snapToGrid w:val="0"/>
                <w:color w:val="auto"/>
                <w:lang w:val="en-US" w:eastAsia="zh-CN"/>
              </w:rPr>
              <w:t>下</w:t>
            </w:r>
            <w:r>
              <w:rPr>
                <w:rFonts w:hint="eastAsia"/>
                <w:b/>
                <w:bCs/>
                <w:snapToGrid w:val="0"/>
                <w:color w:val="auto"/>
                <w:lang w:val="en-US" w:eastAsia="zh-CN"/>
              </w:rPr>
              <w:t>料、干式机械加工、焊接、机械预处理和粉末冶金工序废气污染防治可行技术</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039"/>
              <w:gridCol w:w="1142"/>
              <w:gridCol w:w="1897"/>
              <w:gridCol w:w="2774"/>
              <w:gridCol w:w="2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可行技术</w:t>
                  </w:r>
                </w:p>
              </w:tc>
              <w:tc>
                <w:tcPr>
                  <w:tcW w:w="1039"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预防技术</w:t>
                  </w:r>
                </w:p>
              </w:tc>
              <w:tc>
                <w:tcPr>
                  <w:tcW w:w="1142"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治理技术</w:t>
                  </w:r>
                </w:p>
              </w:tc>
              <w:tc>
                <w:tcPr>
                  <w:tcW w:w="1897" w:type="dxa"/>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污染物排放水平/（mg/m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2774" w:type="dxa"/>
                  <w:vMerge w:val="restart"/>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技术适用条件</w:t>
                  </w:r>
                </w:p>
              </w:tc>
              <w:tc>
                <w:tcPr>
                  <w:tcW w:w="2106" w:type="dxa"/>
                  <w:vMerge w:val="restart"/>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1039"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1142"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1897" w:type="dxa"/>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2774"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2106" w:type="dxa"/>
                  <w:vMerge w:val="continue"/>
                  <w:vAlign w:val="center"/>
                </w:tcPr>
                <w:p>
                  <w:pPr>
                    <w:pStyle w:val="43"/>
                    <w:spacing w:line="240" w:lineRule="auto"/>
                    <w:rPr>
                      <w:rFonts w:hint="eastAsia"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shd w:val="clear" w:color="auto" w:fill="auto"/>
                  <w:vAlign w:val="center"/>
                </w:tcPr>
                <w:p>
                  <w:pPr>
                    <w:pStyle w:val="4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可行技术1</w:t>
                  </w:r>
                </w:p>
              </w:tc>
              <w:tc>
                <w:tcPr>
                  <w:tcW w:w="1039"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42" w:type="dxa"/>
                  <w:shd w:val="clear" w:color="auto" w:fill="auto"/>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①旋风除尘技术</w:t>
                  </w:r>
                  <w:r>
                    <w:rPr>
                      <w:rFonts w:hint="eastAsia" w:ascii="Times New Roman" w:hAnsi="Times New Roman" w:cs="Times New Roman"/>
                      <w:color w:val="auto"/>
                      <w:sz w:val="21"/>
                      <w:szCs w:val="21"/>
                      <w:vertAlign w:val="superscript"/>
                      <w:lang w:val="en-US" w:eastAsia="zh-CN"/>
                    </w:rPr>
                    <w:t>a</w:t>
                  </w:r>
                  <w:r>
                    <w:rPr>
                      <w:rFonts w:hint="eastAsia" w:ascii="Times New Roman" w:hAnsi="Times New Roman" w:cs="Times New Roman"/>
                      <w:color w:val="auto"/>
                      <w:sz w:val="21"/>
                      <w:szCs w:val="21"/>
                      <w:lang w:val="en-US" w:eastAsia="zh-CN"/>
                    </w:rPr>
                    <w:t>＋</w:t>
                  </w:r>
                </w:p>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②袋式除尘技术</w:t>
                  </w:r>
                </w:p>
              </w:tc>
              <w:tc>
                <w:tcPr>
                  <w:tcW w:w="1897" w:type="dxa"/>
                  <w:shd w:val="clear" w:color="auto" w:fill="auto"/>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2774" w:type="dxa"/>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适用于所有企业下料、干式机械加工、焊接、机械预处理、金属粉末制取及粉料输送等工序。该技术需定期清理或更换滤袋。</w:t>
                  </w:r>
                </w:p>
              </w:tc>
              <w:tc>
                <w:tcPr>
                  <w:tcW w:w="2106" w:type="dxa"/>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抛丸工序产生的颗粒物采用“袋式除尘器”。为可行技术。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可行技术2</w:t>
                  </w:r>
                </w:p>
              </w:tc>
              <w:tc>
                <w:tcPr>
                  <w:tcW w:w="1039"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42"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滤筒除尘技术</w:t>
                  </w:r>
                </w:p>
              </w:tc>
              <w:tc>
                <w:tcPr>
                  <w:tcW w:w="1897"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2774" w:type="dxa"/>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适用于所有企业下料、干式机械加工、焊接、机械预处理、金属粉末制取及粉料输送等工序。该技术占地空间小，该技术需定期清理或更换滤筒。</w:t>
                  </w:r>
                </w:p>
              </w:tc>
              <w:tc>
                <w:tcPr>
                  <w:tcW w:w="2106" w:type="dxa"/>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激光切割</w:t>
                  </w:r>
                  <w:r>
                    <w:rPr>
                      <w:rFonts w:hint="eastAsia" w:ascii="Times New Roman" w:hAnsi="Times New Roman" w:cs="Times New Roman"/>
                      <w:color w:val="auto"/>
                      <w:sz w:val="21"/>
                      <w:szCs w:val="21"/>
                      <w:lang w:val="en-US" w:eastAsia="zh-CN"/>
                    </w:rPr>
                    <w:t>及焊接工序产生的颗粒物采用“工业集尘器”，内置8个滤筒；焊接工序产生的颗粒物采用“滤筒除尘器”。为可行技术。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6"/>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注：表中“＋”代表废气污染治理技术组合。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6"/>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superscript"/>
                      <w:lang w:val="en-US" w:eastAsia="zh-CN"/>
                    </w:rPr>
                    <w:t>a</w:t>
                  </w:r>
                  <w:r>
                    <w:rPr>
                      <w:rFonts w:hint="eastAsia" w:ascii="Times New Roman" w:hAnsi="Times New Roman" w:eastAsia="宋体" w:cs="Times New Roman"/>
                      <w:color w:val="auto"/>
                      <w:sz w:val="21"/>
                      <w:szCs w:val="21"/>
                      <w:lang w:val="en-US" w:eastAsia="zh-CN"/>
                    </w:rPr>
                    <w:t>适用于抛丸清理、滚筒清理、喷砂清理等工艺废气的预除尘。</w:t>
                  </w:r>
                </w:p>
              </w:tc>
            </w:tr>
          </w:tbl>
          <w:p>
            <w:pPr>
              <w:pStyle w:val="33"/>
              <w:rPr>
                <w:rFonts w:hint="default"/>
                <w:b w:val="0"/>
                <w:bCs w:val="0"/>
                <w:snapToGrid w:val="0"/>
                <w:color w:val="auto"/>
                <w:lang w:val="en-US" w:eastAsia="zh-CN"/>
              </w:rPr>
            </w:pPr>
            <w:r>
              <w:rPr>
                <w:rFonts w:hint="eastAsia"/>
                <w:b w:val="0"/>
                <w:bCs w:val="0"/>
                <w:snapToGrid w:val="0"/>
                <w:color w:val="auto"/>
                <w:lang w:eastAsia="zh-CN"/>
              </w:rPr>
              <w:t>②喷塑</w:t>
            </w:r>
            <w:r>
              <w:rPr>
                <w:rFonts w:hint="eastAsia"/>
                <w:b w:val="0"/>
                <w:bCs w:val="0"/>
                <w:snapToGrid w:val="0"/>
                <w:color w:val="auto"/>
                <w:lang w:val="en-US" w:eastAsia="zh-CN"/>
              </w:rPr>
              <w:t>-颗粒物</w:t>
            </w:r>
          </w:p>
          <w:p>
            <w:pPr>
              <w:pStyle w:val="33"/>
              <w:rPr>
                <w:rFonts w:hint="default" w:ascii="Times New Roman" w:hAnsi="Times New Roman" w:cs="Times New Roman"/>
                <w:snapToGrid w:val="0"/>
                <w:color w:val="auto"/>
                <w:lang w:val="en-US" w:eastAsia="zh-CN"/>
              </w:rPr>
            </w:pPr>
            <w:r>
              <w:rPr>
                <w:rFonts w:hint="eastAsia"/>
                <w:b/>
                <w:bCs/>
                <w:snapToGrid w:val="0"/>
                <w:color w:val="auto"/>
                <w:lang w:eastAsia="zh-CN"/>
              </w:rPr>
              <w:t>参考</w:t>
            </w:r>
            <w:r>
              <w:rPr>
                <w:rFonts w:hint="eastAsia"/>
                <w:snapToGrid w:val="0"/>
                <w:color w:val="auto"/>
              </w:rPr>
              <w:t>《汽车工业污染防治可行技术指南》</w:t>
            </w:r>
            <w:r>
              <w:rPr>
                <w:rFonts w:hint="default" w:ascii="Times New Roman" w:hAnsi="Times New Roman" w:cs="Times New Roman"/>
                <w:snapToGrid w:val="0"/>
                <w:color w:val="auto"/>
              </w:rPr>
              <w:t>（HJ1181-2021</w:t>
            </w:r>
            <w:r>
              <w:rPr>
                <w:rFonts w:hint="eastAsia"/>
                <w:snapToGrid w:val="0"/>
                <w:color w:val="auto"/>
              </w:rPr>
              <w:t>）：“</w:t>
            </w:r>
            <w:r>
              <w:rPr>
                <w:rFonts w:hint="default" w:ascii="Times New Roman" w:hAnsi="Times New Roman" w:cs="Times New Roman"/>
                <w:snapToGrid w:val="0"/>
                <w:color w:val="auto"/>
                <w:lang w:val="en-US" w:eastAsia="zh-CN"/>
              </w:rPr>
              <w:t>8.1.</w:t>
            </w:r>
            <w:r>
              <w:rPr>
                <w:rFonts w:hint="eastAsia" w:ascii="Times New Roman" w:hAnsi="Times New Roman" w:cs="Times New Roman"/>
                <w:snapToGrid w:val="0"/>
                <w:color w:val="auto"/>
                <w:lang w:val="en-US" w:eastAsia="zh-CN"/>
              </w:rPr>
              <w:t>4涂装、树脂纤维加工</w:t>
            </w:r>
            <w:r>
              <w:rPr>
                <w:rFonts w:hint="eastAsia"/>
                <w:snapToGrid w:val="0"/>
                <w:color w:val="auto"/>
                <w:lang w:val="en-US" w:eastAsia="zh-CN"/>
              </w:rPr>
              <w:t>工序废气污染防治可行技术</w:t>
            </w:r>
            <w:r>
              <w:rPr>
                <w:rFonts w:hint="eastAsia"/>
                <w:snapToGrid w:val="0"/>
                <w:color w:val="auto"/>
              </w:rPr>
              <w:t>”</w:t>
            </w:r>
            <w:r>
              <w:rPr>
                <w:rFonts w:hint="default" w:ascii="Times New Roman" w:hAnsi="Times New Roman" w:cs="Times New Roman"/>
                <w:snapToGrid w:val="0"/>
                <w:color w:val="auto"/>
              </w:rPr>
              <w:t>，</w:t>
            </w:r>
            <w:r>
              <w:rPr>
                <w:rFonts w:hint="default" w:ascii="Times New Roman" w:hAnsi="Times New Roman" w:cs="Times New Roman"/>
                <w:snapToGrid w:val="0"/>
                <w:color w:val="auto"/>
                <w:lang w:eastAsia="zh-CN"/>
              </w:rPr>
              <w:t>见表</w:t>
            </w:r>
            <w:r>
              <w:rPr>
                <w:rFonts w:hint="default" w:ascii="Times New Roman" w:hAnsi="Times New Roman" w:cs="Times New Roman"/>
                <w:snapToGrid w:val="0"/>
                <w:color w:val="auto"/>
                <w:lang w:val="en-US" w:eastAsia="zh-CN"/>
              </w:rPr>
              <w:t>4.</w:t>
            </w:r>
            <w:r>
              <w:rPr>
                <w:rFonts w:hint="eastAsia" w:ascii="Times New Roman" w:hAnsi="Times New Roman" w:cs="Times New Roman"/>
                <w:snapToGrid w:val="0"/>
                <w:color w:val="auto"/>
                <w:lang w:val="en-US" w:eastAsia="zh-CN"/>
              </w:rPr>
              <w:t>18</w:t>
            </w:r>
            <w:r>
              <w:rPr>
                <w:rFonts w:hint="default" w:ascii="Times New Roman" w:hAnsi="Times New Roman" w:cs="Times New Roman"/>
                <w:snapToGrid w:val="0"/>
                <w:color w:val="auto"/>
                <w:lang w:val="en-US" w:eastAsia="zh-CN"/>
              </w:rPr>
              <w:t>。</w:t>
            </w:r>
          </w:p>
          <w:p>
            <w:pPr>
              <w:pStyle w:val="29"/>
              <w:spacing w:line="240" w:lineRule="auto"/>
              <w:ind w:left="0" w:leftChars="0" w:firstLine="0" w:firstLineChars="0"/>
              <w:jc w:val="center"/>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表4.18  </w:t>
            </w:r>
            <w:r>
              <w:rPr>
                <w:rFonts w:hint="eastAsia" w:ascii="Times New Roman" w:hAnsi="Times New Roman" w:cs="Times New Roman"/>
                <w:b/>
                <w:bCs/>
                <w:snapToGrid w:val="0"/>
                <w:color w:val="auto"/>
                <w:lang w:val="en-US" w:eastAsia="zh-CN"/>
              </w:rPr>
              <w:t>涂装、树脂纤维加工</w:t>
            </w:r>
            <w:r>
              <w:rPr>
                <w:rFonts w:hint="eastAsia"/>
                <w:b/>
                <w:bCs/>
                <w:snapToGrid w:val="0"/>
                <w:color w:val="auto"/>
                <w:lang w:val="en-US" w:eastAsia="zh-CN"/>
              </w:rPr>
              <w:t>工序废气污染防治可行技术</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772"/>
              <w:gridCol w:w="772"/>
              <w:gridCol w:w="842"/>
              <w:gridCol w:w="993"/>
              <w:gridCol w:w="964"/>
              <w:gridCol w:w="2663"/>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可行技术</w:t>
                  </w:r>
                </w:p>
              </w:tc>
              <w:tc>
                <w:tcPr>
                  <w:tcW w:w="772" w:type="dxa"/>
                  <w:vMerge w:val="restart"/>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工序类型</w:t>
                  </w:r>
                </w:p>
              </w:tc>
              <w:tc>
                <w:tcPr>
                  <w:tcW w:w="772"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预防技术</w:t>
                  </w:r>
                </w:p>
              </w:tc>
              <w:tc>
                <w:tcPr>
                  <w:tcW w:w="842"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治理技术</w:t>
                  </w:r>
                </w:p>
              </w:tc>
              <w:tc>
                <w:tcPr>
                  <w:tcW w:w="1957" w:type="dxa"/>
                  <w:gridSpan w:val="2"/>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污染物排放水平/（mg/m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2663" w:type="dxa"/>
                  <w:vMerge w:val="restart"/>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技术适用条件</w:t>
                  </w:r>
                </w:p>
              </w:tc>
              <w:tc>
                <w:tcPr>
                  <w:tcW w:w="2102" w:type="dxa"/>
                  <w:vMerge w:val="restart"/>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772"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772"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842"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993" w:type="dxa"/>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NMHC</w:t>
                  </w:r>
                </w:p>
              </w:tc>
              <w:tc>
                <w:tcPr>
                  <w:tcW w:w="964" w:type="dxa"/>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2663"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2102" w:type="dxa"/>
                  <w:vMerge w:val="continue"/>
                  <w:vAlign w:val="center"/>
                </w:tcPr>
                <w:p>
                  <w:pPr>
                    <w:pStyle w:val="43"/>
                    <w:spacing w:line="240" w:lineRule="auto"/>
                    <w:rPr>
                      <w:rFonts w:hint="eastAsia"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可行技术5</w:t>
                  </w:r>
                </w:p>
              </w:tc>
              <w:tc>
                <w:tcPr>
                  <w:tcW w:w="772" w:type="dxa"/>
                  <w:shd w:val="clear" w:color="auto" w:fill="auto"/>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喷涂</w:t>
                  </w:r>
                </w:p>
              </w:tc>
              <w:tc>
                <w:tcPr>
                  <w:tcW w:w="772"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①粉末涂料替代技术+②静电喷涂技术</w:t>
                  </w:r>
                </w:p>
              </w:tc>
              <w:tc>
                <w:tcPr>
                  <w:tcW w:w="842"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①旋风除尘技术+②袋式除尘技术</w:t>
                  </w:r>
                </w:p>
              </w:tc>
              <w:tc>
                <w:tcPr>
                  <w:tcW w:w="993"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64" w:type="dxa"/>
                  <w:shd w:val="clear" w:color="auto" w:fill="auto"/>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10～30</w:t>
                  </w:r>
                </w:p>
              </w:tc>
              <w:tc>
                <w:tcPr>
                  <w:tcW w:w="2663" w:type="dxa"/>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适用于零部件及配件的涂装。典型污染治理技术路线为：旋风除尘+袋式除尘。后期维护需定期清理或更换过滤材料。</w:t>
                  </w:r>
                </w:p>
              </w:tc>
              <w:tc>
                <w:tcPr>
                  <w:tcW w:w="2102" w:type="dxa"/>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喷粉工序采用粉末替代技术+静电喷入技术，治理技术为“</w:t>
                  </w:r>
                  <w:r>
                    <w:rPr>
                      <w:rFonts w:hint="eastAsia" w:ascii="Times New Roman" w:hAnsi="Times New Roman" w:cs="Times New Roman"/>
                      <w:b w:val="0"/>
                      <w:bCs w:val="0"/>
                      <w:color w:val="auto"/>
                      <w:sz w:val="21"/>
                      <w:szCs w:val="21"/>
                      <w:lang w:val="en-US" w:eastAsia="zh-CN"/>
                    </w:rPr>
                    <w:t>大旋风分离器+</w:t>
                  </w:r>
                  <w:r>
                    <w:rPr>
                      <w:rFonts w:hint="eastAsia" w:ascii="幼圆" w:hAnsi="宋体" w:eastAsia="幼圆" w:cs="宋体"/>
                      <w:b w:val="0"/>
                      <w:bCs w:val="0"/>
                      <w:color w:val="auto"/>
                      <w:sz w:val="21"/>
                      <w:szCs w:val="21"/>
                      <w:lang w:eastAsia="zh-CN"/>
                    </w:rPr>
                    <w:t>袋式除尘器</w:t>
                  </w:r>
                  <w:r>
                    <w:rPr>
                      <w:rFonts w:hint="eastAsia" w:ascii="Times New Roman" w:hAnsi="Times New Roman" w:cs="Times New Roman"/>
                      <w:color w:val="auto"/>
                      <w:sz w:val="21"/>
                      <w:szCs w:val="21"/>
                      <w:lang w:val="en-US" w:eastAsia="zh-CN"/>
                    </w:rPr>
                    <w:t>”。为可行技术。</w:t>
                  </w:r>
                </w:p>
              </w:tc>
            </w:tr>
          </w:tbl>
          <w:p>
            <w:pPr>
              <w:pStyle w:val="33"/>
              <w:rPr>
                <w:rFonts w:hint="default"/>
                <w:b w:val="0"/>
                <w:bCs w:val="0"/>
                <w:snapToGrid w:val="0"/>
                <w:color w:val="auto"/>
                <w:lang w:val="en-US" w:eastAsia="zh-CN"/>
              </w:rPr>
            </w:pPr>
            <w:r>
              <w:rPr>
                <w:rFonts w:hint="eastAsia"/>
                <w:b w:val="0"/>
                <w:bCs w:val="0"/>
                <w:snapToGrid w:val="0"/>
                <w:color w:val="auto"/>
                <w:lang w:eastAsia="zh-CN"/>
              </w:rPr>
              <w:t>③天然气燃烧机</w:t>
            </w:r>
            <w:r>
              <w:rPr>
                <w:rFonts w:hint="eastAsia"/>
                <w:b w:val="0"/>
                <w:bCs w:val="0"/>
                <w:snapToGrid w:val="0"/>
                <w:color w:val="auto"/>
                <w:lang w:val="en-US" w:eastAsia="zh-CN"/>
              </w:rPr>
              <w:t>-颗粒物、二氧化硫、氮氧化物</w:t>
            </w:r>
          </w:p>
          <w:p>
            <w:pPr>
              <w:pStyle w:val="33"/>
              <w:rPr>
                <w:rFonts w:hint="default" w:ascii="Times New Roman" w:hAnsi="Times New Roman" w:cs="Times New Roman"/>
                <w:snapToGrid w:val="0"/>
                <w:color w:val="auto"/>
                <w:lang w:val="en-US" w:eastAsia="zh-CN"/>
              </w:rPr>
            </w:pPr>
            <w:r>
              <w:rPr>
                <w:rFonts w:hint="eastAsia"/>
                <w:b/>
                <w:bCs/>
                <w:snapToGrid w:val="0"/>
                <w:color w:val="auto"/>
                <w:lang w:eastAsia="zh-CN"/>
              </w:rPr>
              <w:t>参考</w:t>
            </w:r>
            <w:r>
              <w:rPr>
                <w:rFonts w:hint="eastAsia"/>
                <w:snapToGrid w:val="0"/>
                <w:color w:val="auto"/>
              </w:rPr>
              <w:t>《汽车工业污染防治可行技术指南》</w:t>
            </w:r>
            <w:r>
              <w:rPr>
                <w:rFonts w:hint="default" w:ascii="Times New Roman" w:hAnsi="Times New Roman" w:cs="Times New Roman"/>
                <w:snapToGrid w:val="0"/>
                <w:color w:val="auto"/>
              </w:rPr>
              <w:t>（HJ1181-2021</w:t>
            </w:r>
            <w:r>
              <w:rPr>
                <w:rFonts w:hint="eastAsia"/>
                <w:snapToGrid w:val="0"/>
                <w:color w:val="auto"/>
              </w:rPr>
              <w:t>）：“</w:t>
            </w:r>
            <w:r>
              <w:rPr>
                <w:rFonts w:hint="default" w:ascii="Times New Roman" w:hAnsi="Times New Roman" w:cs="Times New Roman"/>
                <w:snapToGrid w:val="0"/>
                <w:color w:val="auto"/>
                <w:lang w:val="en-US" w:eastAsia="zh-CN"/>
              </w:rPr>
              <w:t>8.1.</w:t>
            </w:r>
            <w:r>
              <w:rPr>
                <w:rFonts w:hint="eastAsia" w:ascii="Times New Roman" w:hAnsi="Times New Roman" w:cs="Times New Roman"/>
                <w:snapToGrid w:val="0"/>
                <w:color w:val="auto"/>
                <w:lang w:val="en-US" w:eastAsia="zh-CN"/>
              </w:rPr>
              <w:t>6燃油、燃气加热炉、加热装置</w:t>
            </w:r>
            <w:r>
              <w:rPr>
                <w:rFonts w:hint="eastAsia"/>
                <w:snapToGrid w:val="0"/>
                <w:color w:val="auto"/>
                <w:lang w:val="en-US" w:eastAsia="zh-CN"/>
              </w:rPr>
              <w:t>废气污染防治可行技术</w:t>
            </w:r>
            <w:r>
              <w:rPr>
                <w:rFonts w:hint="eastAsia"/>
                <w:snapToGrid w:val="0"/>
                <w:color w:val="auto"/>
              </w:rPr>
              <w:t>”</w:t>
            </w:r>
            <w:r>
              <w:rPr>
                <w:rFonts w:hint="default" w:ascii="Times New Roman" w:hAnsi="Times New Roman" w:cs="Times New Roman"/>
                <w:snapToGrid w:val="0"/>
                <w:color w:val="auto"/>
              </w:rPr>
              <w:t>，</w:t>
            </w:r>
            <w:r>
              <w:rPr>
                <w:rFonts w:hint="default" w:ascii="Times New Roman" w:hAnsi="Times New Roman" w:cs="Times New Roman"/>
                <w:snapToGrid w:val="0"/>
                <w:color w:val="auto"/>
                <w:lang w:eastAsia="zh-CN"/>
              </w:rPr>
              <w:t>见表</w:t>
            </w:r>
            <w:r>
              <w:rPr>
                <w:rFonts w:hint="default" w:ascii="Times New Roman" w:hAnsi="Times New Roman" w:cs="Times New Roman"/>
                <w:snapToGrid w:val="0"/>
                <w:color w:val="auto"/>
                <w:lang w:val="en-US" w:eastAsia="zh-CN"/>
              </w:rPr>
              <w:t>4.</w:t>
            </w:r>
            <w:r>
              <w:rPr>
                <w:rFonts w:hint="eastAsia" w:ascii="Times New Roman" w:hAnsi="Times New Roman" w:cs="Times New Roman"/>
                <w:snapToGrid w:val="0"/>
                <w:color w:val="auto"/>
                <w:lang w:val="en-US" w:eastAsia="zh-CN"/>
              </w:rPr>
              <w:t>19</w:t>
            </w:r>
            <w:r>
              <w:rPr>
                <w:rFonts w:hint="default" w:ascii="Times New Roman" w:hAnsi="Times New Roman" w:cs="Times New Roman"/>
                <w:snapToGrid w:val="0"/>
                <w:color w:val="auto"/>
                <w:lang w:val="en-US" w:eastAsia="zh-CN"/>
              </w:rPr>
              <w:t>。</w:t>
            </w:r>
          </w:p>
          <w:p>
            <w:pPr>
              <w:pStyle w:val="29"/>
              <w:spacing w:line="240" w:lineRule="auto"/>
              <w:ind w:left="0" w:leftChars="0" w:firstLine="0" w:firstLineChars="0"/>
              <w:jc w:val="center"/>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表4.19  </w:t>
            </w:r>
            <w:r>
              <w:rPr>
                <w:rFonts w:hint="eastAsia" w:ascii="Times New Roman" w:hAnsi="Times New Roman" w:cs="Times New Roman"/>
                <w:b/>
                <w:bCs/>
                <w:snapToGrid w:val="0"/>
                <w:color w:val="auto"/>
                <w:lang w:val="en-US" w:eastAsia="zh-CN"/>
              </w:rPr>
              <w:t>燃油、燃气加热炉、加热装置</w:t>
            </w:r>
            <w:r>
              <w:rPr>
                <w:rFonts w:hint="eastAsia"/>
                <w:b/>
                <w:bCs/>
                <w:snapToGrid w:val="0"/>
                <w:color w:val="auto"/>
                <w:lang w:val="en-US" w:eastAsia="zh-CN"/>
              </w:rPr>
              <w:t>废气污染防治可行技术</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923"/>
              <w:gridCol w:w="924"/>
              <w:gridCol w:w="924"/>
              <w:gridCol w:w="924"/>
              <w:gridCol w:w="925"/>
              <w:gridCol w:w="1928"/>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可行技术</w:t>
                  </w:r>
                </w:p>
              </w:tc>
              <w:tc>
                <w:tcPr>
                  <w:tcW w:w="933"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预防技术</w:t>
                  </w:r>
                </w:p>
              </w:tc>
              <w:tc>
                <w:tcPr>
                  <w:tcW w:w="934"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治理技术</w:t>
                  </w:r>
                </w:p>
              </w:tc>
              <w:tc>
                <w:tcPr>
                  <w:tcW w:w="2803" w:type="dxa"/>
                  <w:gridSpan w:val="3"/>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污染物排放水平/（mg/m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953" w:type="dxa"/>
                  <w:vMerge w:val="restart"/>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技术适用条件</w:t>
                  </w:r>
                </w:p>
              </w:tc>
              <w:tc>
                <w:tcPr>
                  <w:tcW w:w="2195" w:type="dxa"/>
                  <w:vMerge w:val="restart"/>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933"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934"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934" w:type="dxa"/>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934" w:type="dxa"/>
                  <w:vAlign w:val="center"/>
                </w:tcPr>
                <w:p>
                  <w:pPr>
                    <w:pStyle w:val="43"/>
                    <w:spacing w:line="240" w:lineRule="auto"/>
                    <w:rPr>
                      <w:rFonts w:hint="default" w:ascii="Times New Roman" w:hAnsi="Times New Roman" w:cs="Times New Roman"/>
                      <w:color w:val="auto"/>
                      <w:sz w:val="21"/>
                      <w:szCs w:val="21"/>
                      <w:vertAlign w:val="subscript"/>
                      <w:lang w:val="en-US" w:eastAsia="zh-CN"/>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p>
              </w:tc>
              <w:tc>
                <w:tcPr>
                  <w:tcW w:w="935" w:type="dxa"/>
                  <w:vAlign w:val="center"/>
                </w:tcPr>
                <w:p>
                  <w:pPr>
                    <w:pStyle w:val="43"/>
                    <w:spacing w:line="240" w:lineRule="auto"/>
                    <w:rPr>
                      <w:rFonts w:hint="default" w:ascii="Times New Roman" w:hAnsi="Times New Roman" w:cs="Times New Roman"/>
                      <w:color w:val="auto"/>
                      <w:sz w:val="21"/>
                      <w:szCs w:val="21"/>
                      <w:vertAlign w:val="subscript"/>
                      <w:lang w:val="en-US" w:eastAsia="zh-CN"/>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x</w:t>
                  </w:r>
                </w:p>
              </w:tc>
              <w:tc>
                <w:tcPr>
                  <w:tcW w:w="1953"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2195" w:type="dxa"/>
                  <w:vMerge w:val="continue"/>
                  <w:vAlign w:val="center"/>
                </w:tcPr>
                <w:p>
                  <w:pPr>
                    <w:pStyle w:val="43"/>
                    <w:spacing w:line="240" w:lineRule="auto"/>
                    <w:rPr>
                      <w:rFonts w:hint="eastAsia"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可行技术1</w:t>
                  </w:r>
                </w:p>
              </w:tc>
              <w:tc>
                <w:tcPr>
                  <w:tcW w:w="933"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①天然气燃料替代技术+②低氮燃烧技术</w:t>
                  </w:r>
                </w:p>
              </w:tc>
              <w:tc>
                <w:tcPr>
                  <w:tcW w:w="934"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34"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934" w:type="dxa"/>
                  <w:shd w:val="clear" w:color="auto" w:fill="auto"/>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935" w:type="dxa"/>
                  <w:shd w:val="clear" w:color="auto" w:fill="auto"/>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1953" w:type="dxa"/>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适用于新建燃气加热炉、燃气加热装置及现有燃气加热炉、燃气加热装置的改造；也适用于现有燃油加热炉、加热装置的改造。</w:t>
                  </w:r>
                </w:p>
              </w:tc>
              <w:tc>
                <w:tcPr>
                  <w:tcW w:w="2195" w:type="dxa"/>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固化工序使用天然气燃料替代技术+低氮燃烧技术。为可行技术。</w:t>
                  </w:r>
                </w:p>
              </w:tc>
            </w:tr>
          </w:tbl>
          <w:p>
            <w:pPr>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④木材下料-颗粒物</w:t>
            </w:r>
          </w:p>
          <w:p>
            <w:pPr>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对照《排污许可证申请与核发技术规范-家具制造工业》（HJ1027-2019）：“表6废气治理可行技术参照表”，见表4.20。</w:t>
            </w:r>
          </w:p>
          <w:p>
            <w:pPr>
              <w:pStyle w:val="29"/>
              <w:spacing w:line="240" w:lineRule="auto"/>
              <w:ind w:left="0" w:leftChars="0" w:firstLine="0" w:firstLineChars="0"/>
              <w:jc w:val="center"/>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表4.20  </w:t>
            </w:r>
            <w:r>
              <w:rPr>
                <w:rFonts w:hint="eastAsia" w:ascii="Times New Roman" w:hAnsi="Times New Roman" w:cs="Times New Roman"/>
                <w:b/>
                <w:bCs/>
                <w:color w:val="auto"/>
                <w:sz w:val="24"/>
                <w:lang w:val="en-US" w:eastAsia="zh-CN"/>
              </w:rPr>
              <w:t>废气治理可行技术参照表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459"/>
              <w:gridCol w:w="1800"/>
              <w:gridCol w:w="3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废气来源</w:t>
                  </w:r>
                </w:p>
              </w:tc>
              <w:tc>
                <w:tcPr>
                  <w:tcW w:w="1459"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污染物种类</w:t>
                  </w:r>
                </w:p>
              </w:tc>
              <w:tc>
                <w:tcPr>
                  <w:tcW w:w="1800"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可行技术</w:t>
                  </w:r>
                </w:p>
              </w:tc>
              <w:tc>
                <w:tcPr>
                  <w:tcW w:w="3970"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基材加工车间废气（木工车间、金属家具冲压焊接车间）</w:t>
                  </w:r>
                </w:p>
              </w:tc>
              <w:tc>
                <w:tcPr>
                  <w:tcW w:w="1459"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颗粒物</w:t>
                  </w:r>
                </w:p>
              </w:tc>
              <w:tc>
                <w:tcPr>
                  <w:tcW w:w="1800"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集尘罩</w:t>
                  </w:r>
                </w:p>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中央除尘</w:t>
                  </w:r>
                </w:p>
                <w:p>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袋式除尘</w:t>
                  </w:r>
                </w:p>
              </w:tc>
              <w:tc>
                <w:tcPr>
                  <w:tcW w:w="39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木材下料工序颗粒物采用“</w:t>
                  </w:r>
                  <w:r>
                    <w:rPr>
                      <w:rFonts w:hint="eastAsia" w:ascii="Times New Roman" w:hAnsi="Times New Roman" w:eastAsia="宋体"/>
                      <w:color w:val="auto"/>
                      <w:sz w:val="21"/>
                      <w:szCs w:val="21"/>
                      <w:lang w:val="en-US" w:eastAsia="zh-CN"/>
                    </w:rPr>
                    <w:t>双桶布袋吸尘机</w:t>
                  </w:r>
                  <w:r>
                    <w:rPr>
                      <w:rFonts w:hint="eastAsia" w:ascii="Times New Roman" w:hAnsi="Times New Roman" w:cs="Times New Roman"/>
                      <w:color w:val="auto"/>
                      <w:sz w:val="21"/>
                      <w:szCs w:val="21"/>
                      <w:vertAlign w:val="baseline"/>
                      <w:lang w:val="en-US" w:eastAsia="zh-CN"/>
                    </w:rPr>
                    <w:t>”处理。为可行技术。</w:t>
                  </w:r>
                </w:p>
              </w:tc>
            </w:tr>
          </w:tbl>
          <w:p>
            <w:pPr>
              <w:pStyle w:val="33"/>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）挥发性有机物</w:t>
            </w:r>
          </w:p>
          <w:p>
            <w:pPr>
              <w:pStyle w:val="33"/>
              <w:rPr>
                <w:rFonts w:hint="default"/>
                <w:b w:val="0"/>
                <w:bCs w:val="0"/>
                <w:snapToGrid w:val="0"/>
                <w:color w:val="auto"/>
                <w:lang w:val="en-US" w:eastAsia="zh-CN"/>
              </w:rPr>
            </w:pPr>
            <w:r>
              <w:rPr>
                <w:rFonts w:hint="eastAsia"/>
                <w:b w:val="0"/>
                <w:bCs w:val="0"/>
                <w:snapToGrid w:val="0"/>
                <w:color w:val="auto"/>
                <w:lang w:eastAsia="zh-CN"/>
              </w:rPr>
              <w:t>①固化</w:t>
            </w:r>
            <w:r>
              <w:rPr>
                <w:rFonts w:hint="eastAsia"/>
                <w:b w:val="0"/>
                <w:bCs w:val="0"/>
                <w:snapToGrid w:val="0"/>
                <w:color w:val="auto"/>
                <w:lang w:val="en-US" w:eastAsia="zh-CN"/>
              </w:rPr>
              <w:t>-非甲烷总烃</w:t>
            </w:r>
          </w:p>
          <w:p>
            <w:pPr>
              <w:pStyle w:val="33"/>
              <w:rPr>
                <w:rFonts w:hint="default" w:ascii="Times New Roman" w:hAnsi="Times New Roman" w:cs="Times New Roman"/>
                <w:snapToGrid w:val="0"/>
                <w:color w:val="auto"/>
                <w:lang w:val="en-US" w:eastAsia="zh-CN"/>
              </w:rPr>
            </w:pPr>
            <w:r>
              <w:rPr>
                <w:rFonts w:hint="eastAsia"/>
                <w:b/>
                <w:bCs/>
                <w:snapToGrid w:val="0"/>
                <w:color w:val="auto"/>
                <w:lang w:eastAsia="zh-CN"/>
              </w:rPr>
              <w:t>参考</w:t>
            </w:r>
            <w:r>
              <w:rPr>
                <w:rFonts w:hint="eastAsia"/>
                <w:snapToGrid w:val="0"/>
                <w:color w:val="auto"/>
              </w:rPr>
              <w:t>《汽车工业污染防治可行技术指南》</w:t>
            </w:r>
            <w:r>
              <w:rPr>
                <w:rFonts w:hint="default" w:ascii="Times New Roman" w:hAnsi="Times New Roman" w:cs="Times New Roman"/>
                <w:snapToGrid w:val="0"/>
                <w:color w:val="auto"/>
              </w:rPr>
              <w:t>（HJ1181-2021</w:t>
            </w:r>
            <w:r>
              <w:rPr>
                <w:rFonts w:hint="eastAsia"/>
                <w:snapToGrid w:val="0"/>
                <w:color w:val="auto"/>
              </w:rPr>
              <w:t>）：“</w:t>
            </w:r>
            <w:r>
              <w:rPr>
                <w:rFonts w:hint="default" w:ascii="Times New Roman" w:hAnsi="Times New Roman" w:cs="Times New Roman"/>
                <w:snapToGrid w:val="0"/>
                <w:color w:val="auto"/>
                <w:lang w:val="en-US" w:eastAsia="zh-CN"/>
              </w:rPr>
              <w:t>8.1.</w:t>
            </w:r>
            <w:r>
              <w:rPr>
                <w:rFonts w:hint="eastAsia" w:ascii="Times New Roman" w:hAnsi="Times New Roman" w:cs="Times New Roman"/>
                <w:snapToGrid w:val="0"/>
                <w:color w:val="auto"/>
                <w:lang w:val="en-US" w:eastAsia="zh-CN"/>
              </w:rPr>
              <w:t>4涂装、树脂纤维加工</w:t>
            </w:r>
            <w:r>
              <w:rPr>
                <w:rFonts w:hint="eastAsia"/>
                <w:snapToGrid w:val="0"/>
                <w:color w:val="auto"/>
                <w:lang w:val="en-US" w:eastAsia="zh-CN"/>
              </w:rPr>
              <w:t>工序废气污染防治可行技术</w:t>
            </w:r>
            <w:r>
              <w:rPr>
                <w:rFonts w:hint="eastAsia"/>
                <w:snapToGrid w:val="0"/>
                <w:color w:val="auto"/>
              </w:rPr>
              <w:t>”</w:t>
            </w:r>
            <w:r>
              <w:rPr>
                <w:rFonts w:hint="default" w:ascii="Times New Roman" w:hAnsi="Times New Roman" w:cs="Times New Roman"/>
                <w:snapToGrid w:val="0"/>
                <w:color w:val="auto"/>
              </w:rPr>
              <w:t>，</w:t>
            </w:r>
            <w:r>
              <w:rPr>
                <w:rFonts w:hint="default" w:ascii="Times New Roman" w:hAnsi="Times New Roman" w:cs="Times New Roman"/>
                <w:snapToGrid w:val="0"/>
                <w:color w:val="auto"/>
                <w:lang w:eastAsia="zh-CN"/>
              </w:rPr>
              <w:t>见表</w:t>
            </w:r>
            <w:r>
              <w:rPr>
                <w:rFonts w:hint="default" w:ascii="Times New Roman" w:hAnsi="Times New Roman" w:cs="Times New Roman"/>
                <w:snapToGrid w:val="0"/>
                <w:color w:val="auto"/>
                <w:lang w:val="en-US" w:eastAsia="zh-CN"/>
              </w:rPr>
              <w:t>4.</w:t>
            </w:r>
            <w:r>
              <w:rPr>
                <w:rFonts w:hint="eastAsia" w:ascii="Times New Roman" w:hAnsi="Times New Roman" w:cs="Times New Roman"/>
                <w:snapToGrid w:val="0"/>
                <w:color w:val="auto"/>
                <w:lang w:val="en-US" w:eastAsia="zh-CN"/>
              </w:rPr>
              <w:t>21</w:t>
            </w:r>
            <w:r>
              <w:rPr>
                <w:rFonts w:hint="default" w:ascii="Times New Roman" w:hAnsi="Times New Roman" w:cs="Times New Roman"/>
                <w:snapToGrid w:val="0"/>
                <w:color w:val="auto"/>
                <w:lang w:val="en-US" w:eastAsia="zh-CN"/>
              </w:rPr>
              <w:t>。</w:t>
            </w:r>
          </w:p>
          <w:p>
            <w:pPr>
              <w:pStyle w:val="29"/>
              <w:spacing w:line="240" w:lineRule="auto"/>
              <w:ind w:left="0" w:leftChars="0" w:firstLine="0" w:firstLineChars="0"/>
              <w:jc w:val="center"/>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表4.21  </w:t>
            </w:r>
            <w:r>
              <w:rPr>
                <w:rFonts w:hint="eastAsia" w:ascii="Times New Roman" w:hAnsi="Times New Roman" w:cs="Times New Roman"/>
                <w:b/>
                <w:bCs/>
                <w:snapToGrid w:val="0"/>
                <w:color w:val="auto"/>
                <w:lang w:val="en-US" w:eastAsia="zh-CN"/>
              </w:rPr>
              <w:t>涂装、树脂纤维加工</w:t>
            </w:r>
            <w:r>
              <w:rPr>
                <w:rFonts w:hint="eastAsia"/>
                <w:b/>
                <w:bCs/>
                <w:snapToGrid w:val="0"/>
                <w:color w:val="auto"/>
                <w:lang w:val="en-US" w:eastAsia="zh-CN"/>
              </w:rPr>
              <w:t>工序废气污染防治可行技术</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772"/>
              <w:gridCol w:w="772"/>
              <w:gridCol w:w="842"/>
              <w:gridCol w:w="993"/>
              <w:gridCol w:w="964"/>
              <w:gridCol w:w="2663"/>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可行技术</w:t>
                  </w:r>
                </w:p>
              </w:tc>
              <w:tc>
                <w:tcPr>
                  <w:tcW w:w="772" w:type="dxa"/>
                  <w:vMerge w:val="restart"/>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工序类型</w:t>
                  </w:r>
                </w:p>
              </w:tc>
              <w:tc>
                <w:tcPr>
                  <w:tcW w:w="772"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预防技术</w:t>
                  </w:r>
                </w:p>
              </w:tc>
              <w:tc>
                <w:tcPr>
                  <w:tcW w:w="842" w:type="dxa"/>
                  <w:vMerge w:val="restart"/>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治理技术</w:t>
                  </w:r>
                </w:p>
              </w:tc>
              <w:tc>
                <w:tcPr>
                  <w:tcW w:w="1957" w:type="dxa"/>
                  <w:gridSpan w:val="2"/>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污染物排放水平/（mg/m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2663" w:type="dxa"/>
                  <w:vMerge w:val="restart"/>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技术适用条件</w:t>
                  </w:r>
                </w:p>
              </w:tc>
              <w:tc>
                <w:tcPr>
                  <w:tcW w:w="2102" w:type="dxa"/>
                  <w:vMerge w:val="restart"/>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772"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772"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842"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993" w:type="dxa"/>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NMHC</w:t>
                  </w:r>
                </w:p>
              </w:tc>
              <w:tc>
                <w:tcPr>
                  <w:tcW w:w="964" w:type="dxa"/>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2663" w:type="dxa"/>
                  <w:vMerge w:val="continue"/>
                  <w:vAlign w:val="center"/>
                </w:tcPr>
                <w:p>
                  <w:pPr>
                    <w:pStyle w:val="43"/>
                    <w:spacing w:line="240" w:lineRule="auto"/>
                    <w:rPr>
                      <w:rFonts w:hint="default" w:ascii="Times New Roman" w:hAnsi="Times New Roman" w:cs="Times New Roman"/>
                      <w:color w:val="auto"/>
                      <w:sz w:val="21"/>
                      <w:szCs w:val="21"/>
                      <w:lang w:val="en-US" w:eastAsia="zh-CN"/>
                    </w:rPr>
                  </w:pPr>
                </w:p>
              </w:tc>
              <w:tc>
                <w:tcPr>
                  <w:tcW w:w="2102" w:type="dxa"/>
                  <w:vMerge w:val="continue"/>
                  <w:vAlign w:val="center"/>
                </w:tcPr>
                <w:p>
                  <w:pPr>
                    <w:pStyle w:val="43"/>
                    <w:spacing w:line="240" w:lineRule="auto"/>
                    <w:rPr>
                      <w:rFonts w:hint="eastAsia"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可行技术10</w:t>
                  </w:r>
                </w:p>
              </w:tc>
              <w:tc>
                <w:tcPr>
                  <w:tcW w:w="772" w:type="dxa"/>
                  <w:shd w:val="clear" w:color="auto" w:fill="auto"/>
                  <w:vAlign w:val="center"/>
                </w:tcPr>
                <w:p>
                  <w:pPr>
                    <w:pStyle w:val="4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辅助设施</w:t>
                  </w:r>
                </w:p>
              </w:tc>
              <w:tc>
                <w:tcPr>
                  <w:tcW w:w="772"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42"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吸附技术</w:t>
                  </w:r>
                </w:p>
              </w:tc>
              <w:tc>
                <w:tcPr>
                  <w:tcW w:w="993"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10～60</w:t>
                  </w:r>
                </w:p>
              </w:tc>
              <w:tc>
                <w:tcPr>
                  <w:tcW w:w="964" w:type="dxa"/>
                  <w:shd w:val="clear" w:color="auto" w:fill="auto"/>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663" w:type="dxa"/>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适用于注蜡、调漆、漆膜修补、漆渣处理、溶剂擦洗、喷漆室格栅及工装载具溶剂清洗等过程VOCs排放浓度、排放速率超过排放标准或涂装生产单元单位涂装面积VOCs排放量超过允许排放阿玲需要处理的情形。该技术需根据污染物处理负荷、处理要求等定时再生或更换吸附材料。</w:t>
                  </w:r>
                </w:p>
              </w:tc>
              <w:tc>
                <w:tcPr>
                  <w:tcW w:w="2102" w:type="dxa"/>
                  <w:shd w:val="clear" w:color="auto" w:fill="auto"/>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固化工序产生的VOCs采用“两级活性炭吸附箱”进行处理。为可行技术。</w:t>
                  </w:r>
                </w:p>
              </w:tc>
            </w:tr>
          </w:tbl>
          <w:p>
            <w:pPr>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②硫化-非甲烷总烃、二硫化碳、臭气浓度</w:t>
            </w:r>
          </w:p>
          <w:p>
            <w:pPr>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对照《排污许可证申请与核发技术规范 橡胶和塑料制品工业》（HJ1122-2020）：“表A.1橡胶制品工业排污单位废气污染防治可行技术参考表”，见表4.22。</w:t>
            </w:r>
          </w:p>
          <w:p>
            <w:pPr>
              <w:pStyle w:val="29"/>
              <w:spacing w:line="240" w:lineRule="auto"/>
              <w:ind w:left="0" w:leftChars="0" w:firstLine="0" w:firstLineChars="0"/>
              <w:jc w:val="center"/>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表4.22  </w:t>
            </w:r>
            <w:r>
              <w:rPr>
                <w:rFonts w:hint="eastAsia" w:ascii="Times New Roman" w:hAnsi="Times New Roman" w:cs="Times New Roman"/>
                <w:b/>
                <w:bCs/>
                <w:color w:val="auto"/>
                <w:sz w:val="24"/>
                <w:lang w:val="en-US" w:eastAsia="zh-CN"/>
              </w:rPr>
              <w:t>橡胶制品工业排污单位废气污染防治可行技术参考表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1927"/>
              <w:gridCol w:w="1928"/>
              <w:gridCol w:w="1928"/>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产排污环节</w:t>
                  </w:r>
                </w:p>
              </w:tc>
              <w:tc>
                <w:tcPr>
                  <w:tcW w:w="1927"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污染物种类</w:t>
                  </w:r>
                </w:p>
              </w:tc>
              <w:tc>
                <w:tcPr>
                  <w:tcW w:w="1928"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过程控制技术</w:t>
                  </w:r>
                </w:p>
              </w:tc>
              <w:tc>
                <w:tcPr>
                  <w:tcW w:w="1928"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可行技术</w:t>
                  </w:r>
                </w:p>
              </w:tc>
              <w:tc>
                <w:tcPr>
                  <w:tcW w:w="1928"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dxa"/>
                  <w:vMerge w:val="restart"/>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硫化废气</w:t>
                  </w:r>
                </w:p>
              </w:tc>
              <w:tc>
                <w:tcPr>
                  <w:tcW w:w="1927"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tc>
              <w:tc>
                <w:tcPr>
                  <w:tcW w:w="1928" w:type="dxa"/>
                  <w:vMerge w:val="restart"/>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密闭过程</w:t>
                  </w:r>
                </w:p>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密闭场所</w:t>
                  </w:r>
                </w:p>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局部收集</w:t>
                  </w:r>
                </w:p>
              </w:tc>
              <w:tc>
                <w:tcPr>
                  <w:tcW w:w="1928" w:type="dxa"/>
                  <w:vAlign w:val="center"/>
                </w:tcPr>
                <w:p>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928" w:type="dxa"/>
                  <w:vMerge w:val="restart"/>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硫化工序废气采用“两级活性炭吸附箱”处理。为可行技术。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dxa"/>
                  <w:vMerge w:val="continue"/>
                  <w:vAlign w:val="center"/>
                </w:tcPr>
                <w:p>
                  <w:pPr>
                    <w:spacing w:line="240" w:lineRule="auto"/>
                    <w:jc w:val="center"/>
                    <w:rPr>
                      <w:rFonts w:hint="eastAsia" w:ascii="Times New Roman" w:hAnsi="Times New Roman" w:cs="Times New Roman"/>
                      <w:color w:val="auto"/>
                      <w:sz w:val="21"/>
                      <w:szCs w:val="21"/>
                      <w:vertAlign w:val="baseline"/>
                      <w:lang w:val="en-US" w:eastAsia="zh-CN"/>
                    </w:rPr>
                  </w:pPr>
                </w:p>
              </w:tc>
              <w:tc>
                <w:tcPr>
                  <w:tcW w:w="1927"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臭气浓度、二硫化碳</w:t>
                  </w:r>
                </w:p>
              </w:tc>
              <w:tc>
                <w:tcPr>
                  <w:tcW w:w="1928" w:type="dxa"/>
                  <w:vMerge w:val="continue"/>
                  <w:vAlign w:val="center"/>
                </w:tcPr>
                <w:p>
                  <w:pPr>
                    <w:spacing w:line="240" w:lineRule="auto"/>
                    <w:jc w:val="center"/>
                    <w:rPr>
                      <w:rFonts w:hint="eastAsia" w:ascii="Times New Roman" w:hAnsi="Times New Roman" w:cs="Times New Roman"/>
                      <w:color w:val="auto"/>
                      <w:sz w:val="21"/>
                      <w:szCs w:val="21"/>
                      <w:vertAlign w:val="baseline"/>
                      <w:lang w:val="en-US" w:eastAsia="zh-CN"/>
                    </w:rPr>
                  </w:pPr>
                </w:p>
              </w:tc>
              <w:tc>
                <w:tcPr>
                  <w:tcW w:w="1928" w:type="dxa"/>
                  <w:vAlign w:val="center"/>
                </w:tcPr>
                <w:p>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喷淋、吸附、低温等离子体、UV光氧催化、生物法两种及以上组合技术</w:t>
                  </w:r>
                </w:p>
              </w:tc>
              <w:tc>
                <w:tcPr>
                  <w:tcW w:w="1928" w:type="dxa"/>
                  <w:vMerge w:val="continue"/>
                  <w:vAlign w:val="center"/>
                </w:tcPr>
                <w:p>
                  <w:pPr>
                    <w:spacing w:line="240" w:lineRule="auto"/>
                    <w:jc w:val="center"/>
                    <w:rPr>
                      <w:rFonts w:hint="eastAsia" w:ascii="Times New Roman" w:hAnsi="Times New Roman" w:cs="Times New Roman"/>
                      <w:color w:val="auto"/>
                      <w:sz w:val="21"/>
                      <w:szCs w:val="21"/>
                      <w:vertAlign w:val="baseline"/>
                      <w:lang w:val="en-US" w:eastAsia="zh-CN"/>
                    </w:rPr>
                  </w:pPr>
                </w:p>
              </w:tc>
            </w:tr>
          </w:tbl>
          <w:p>
            <w:pPr>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③预烘、浇注、脱模、清洗-非甲烷总烃</w:t>
            </w:r>
          </w:p>
          <w:p>
            <w:pPr>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对照《排污许可证申请与核发技术规范 橡胶和塑料制品工业》（HJ1122-2020）：“表A.2塑料制品工业排污单位废气污染防治可行技术参考表”，见表4.23。</w:t>
            </w:r>
          </w:p>
          <w:p>
            <w:pPr>
              <w:pStyle w:val="29"/>
              <w:spacing w:line="240" w:lineRule="auto"/>
              <w:ind w:left="0" w:leftChars="0" w:firstLine="0" w:firstLineChars="0"/>
              <w:jc w:val="center"/>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表4.23  </w:t>
            </w:r>
            <w:r>
              <w:rPr>
                <w:rFonts w:hint="eastAsia" w:cs="Times New Roman"/>
                <w:b/>
                <w:bCs/>
                <w:color w:val="auto"/>
                <w:sz w:val="24"/>
                <w:lang w:val="en-US" w:eastAsia="zh-CN"/>
              </w:rPr>
              <w:t>塑料</w:t>
            </w:r>
            <w:r>
              <w:rPr>
                <w:rFonts w:hint="eastAsia" w:ascii="Times New Roman" w:hAnsi="Times New Roman" w:cs="Times New Roman"/>
                <w:b/>
                <w:bCs/>
                <w:color w:val="auto"/>
                <w:sz w:val="24"/>
                <w:lang w:val="en-US" w:eastAsia="zh-CN"/>
              </w:rPr>
              <w:t>制品工业排污单位废气污染防治可行技术参考表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1394"/>
              <w:gridCol w:w="1620"/>
              <w:gridCol w:w="1785"/>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产排污环节</w:t>
                  </w:r>
                </w:p>
              </w:tc>
              <w:tc>
                <w:tcPr>
                  <w:tcW w:w="1394"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污染物种类</w:t>
                  </w:r>
                </w:p>
              </w:tc>
              <w:tc>
                <w:tcPr>
                  <w:tcW w:w="1620"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过程控制技术</w:t>
                  </w:r>
                </w:p>
              </w:tc>
              <w:tc>
                <w:tcPr>
                  <w:tcW w:w="1785"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可行技术</w:t>
                  </w:r>
                </w:p>
              </w:tc>
              <w:tc>
                <w:tcPr>
                  <w:tcW w:w="2912"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塑料零件及其他塑料制品制造废气</w:t>
                  </w:r>
                </w:p>
              </w:tc>
              <w:tc>
                <w:tcPr>
                  <w:tcW w:w="1394"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tc>
              <w:tc>
                <w:tcPr>
                  <w:tcW w:w="1620" w:type="dxa"/>
                  <w:vAlign w:val="center"/>
                </w:tcPr>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溶剂替代</w:t>
                  </w:r>
                </w:p>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密闭过程</w:t>
                  </w:r>
                </w:p>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密闭场所</w:t>
                  </w:r>
                </w:p>
                <w:p>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局部收集</w:t>
                  </w:r>
                </w:p>
              </w:tc>
              <w:tc>
                <w:tcPr>
                  <w:tcW w:w="1785" w:type="dxa"/>
                  <w:vAlign w:val="center"/>
                </w:tcPr>
                <w:p>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喷淋；吸附；吸附浓缩+热力焚烧/催化燃烧</w:t>
                  </w:r>
                </w:p>
              </w:tc>
              <w:tc>
                <w:tcPr>
                  <w:tcW w:w="291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预烘、浇注、脱模、清洗及注塑工序废气采用“两级活性炭吸附箱”处理。为可行技术。</w:t>
                  </w:r>
                </w:p>
              </w:tc>
            </w:tr>
          </w:tbl>
          <w:p>
            <w:pPr>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1.4废气无组织管控措施</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对于无组织排放的有机废气，建设单位需采取必要的措施减少无组织废气的排放，主要包括：</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①尽量保持集气设备和收集系统的密闭，合理设计送排风系统，提高废气捕集率，尽量将废气收集集中处理。</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②定期检查生产过程中的关键点，建立专人定期定点巡查制度，发现问题立刻解决；在生产过程中，一旦发现有物料的跑冒滴漏发生，应立刻按照规范的操作过程，停止正在进行的操作，尽量减少跑冒滴漏量，并且对已经泄漏的物料进行无害化应急处理。</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③严格按照规范要求进行生产，减少生产过程中易挥发物质的无组织排放；加强对操作工的培训和管理，减少人为造成的废气无组织排放。</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④</w:t>
            </w:r>
            <w:r>
              <w:rPr>
                <w:rFonts w:hint="default" w:ascii="Times New Roman" w:hAnsi="Times New Roman" w:cs="Times New Roman"/>
                <w:color w:val="auto"/>
                <w:sz w:val="24"/>
                <w:szCs w:val="24"/>
                <w:highlight w:val="none"/>
                <w:lang w:val="en-US" w:eastAsia="zh-CN"/>
              </w:rPr>
              <w:t>废气收集系统排风罩（集气罩）的设置应符合GB/T16758的规定。采用外部排风罩的，应按GB/T16758、AQ/T4274</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2016规定的方法测量控制风速，测量点应选取在距排风罩开口面最远处的VOCs无组织排放位置，控制风速不应低于0.3m/s（行业相关规范有具体规定的，按相关规定执行）</w:t>
            </w:r>
            <w:r>
              <w:rPr>
                <w:rFonts w:hint="eastAsia" w:ascii="Times New Roman" w:hAnsi="Times New Roman" w:cs="Times New Roman"/>
                <w:color w:val="auto"/>
                <w:sz w:val="24"/>
                <w:lang w:val="en-US" w:eastAsia="zh-CN"/>
              </w:rPr>
              <w:t>。</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⑤</w:t>
            </w:r>
            <w:r>
              <w:rPr>
                <w:rFonts w:hint="default" w:ascii="Times New Roman" w:hAnsi="Times New Roman" w:cs="Times New Roman"/>
                <w:color w:val="auto"/>
                <w:sz w:val="24"/>
                <w:lang w:val="en-US" w:eastAsia="zh-CN"/>
              </w:rPr>
              <w:t>废气收集系统的输送管道应密闭。废气收集系统应在负压下运行，若处于正压状态，应对输送组件的密封点进行泄漏检测，泄漏检测值不应超过500mmol/</w:t>
            </w:r>
            <w:r>
              <w:rPr>
                <w:rFonts w:hint="eastAsia" w:ascii="Times New Roman" w:hAnsi="Times New Roman" w:cs="Times New Roman"/>
                <w:color w:val="auto"/>
                <w:sz w:val="24"/>
                <w:lang w:val="en-US" w:eastAsia="zh-CN"/>
              </w:rPr>
              <w:t>mol</w:t>
            </w:r>
            <w:r>
              <w:rPr>
                <w:rFonts w:hint="default" w:ascii="Times New Roman" w:hAnsi="Times New Roman" w:cs="Times New Roman"/>
                <w:color w:val="auto"/>
                <w:sz w:val="24"/>
                <w:lang w:val="en-US" w:eastAsia="zh-CN"/>
              </w:rPr>
              <w:t>，亦不应有感官可察觉泄漏。</w:t>
            </w:r>
          </w:p>
          <w:p>
            <w:pPr>
              <w:spacing w:line="360" w:lineRule="auto"/>
              <w:ind w:firstLine="480" w:firstLineChars="200"/>
              <w:rPr>
                <w:rFonts w:hint="eastAsia"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en-US" w:eastAsia="zh-CN"/>
              </w:rPr>
              <w:t>非正常工况</w:t>
            </w:r>
            <w:r>
              <w:rPr>
                <w:rFonts w:hint="eastAsia" w:ascii="Times New Roman" w:hAnsi="Times New Roman" w:cs="Times New Roman"/>
                <w:color w:val="auto"/>
                <w:sz w:val="24"/>
                <w:lang w:val="en-US" w:eastAsia="zh-CN"/>
              </w:rPr>
              <w:t>废气排放情况</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非正常工况一般是污染物排放控制措施达不到应有效率、工艺设备运转异常等情况下的排放。工艺设备运转异常应停产检修，废气处理系统出现故障，一般有3种情况：停电、净化装置和风机出现故障，对生产异常情况，采取以下措施：</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a.如果全厂停电，停止生产，无污染物产生。为确保安全，风机仍然继续运转。</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b.风机出现故障时，备用风机立即启动。</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c.当废气处理设施出现故障时，应立即进行维修，必要时停止生产原料的供给。</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本报告废气非正常排放考虑装置处理效率为0的情况，</w:t>
            </w:r>
            <w:r>
              <w:rPr>
                <w:rFonts w:hint="eastAsia" w:ascii="Times New Roman" w:hAnsi="Times New Roman" w:cs="Times New Roman"/>
                <w:color w:val="auto"/>
                <w:sz w:val="24"/>
                <w:lang w:val="en-US" w:eastAsia="zh-CN"/>
              </w:rPr>
              <w:t>非正常工况排放参数表</w:t>
            </w:r>
            <w:r>
              <w:rPr>
                <w:rFonts w:hint="default" w:ascii="Times New Roman" w:hAnsi="Times New Roman" w:cs="Times New Roman"/>
                <w:color w:val="auto"/>
                <w:sz w:val="24"/>
                <w:lang w:val="en-US" w:eastAsia="zh-CN"/>
              </w:rPr>
              <w:t>见下表4.</w:t>
            </w:r>
            <w:r>
              <w:rPr>
                <w:rFonts w:hint="eastAsia" w:ascii="Times New Roman" w:hAnsi="Times New Roman" w:cs="Times New Roman"/>
                <w:color w:val="auto"/>
                <w:sz w:val="24"/>
                <w:lang w:val="en-US" w:eastAsia="zh-CN"/>
              </w:rPr>
              <w:t>24</w:t>
            </w:r>
            <w:r>
              <w:rPr>
                <w:rFonts w:hint="default" w:ascii="Times New Roman" w:hAnsi="Times New Roman"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ascii="Times New Roman" w:hAnsi="Times New Roman" w:cs="Times New Roman"/>
                <w:b/>
                <w:bCs/>
                <w:color w:val="auto"/>
                <w:sz w:val="24"/>
                <w:szCs w:val="24"/>
                <w:lang w:val="en-US" w:eastAsia="zh-CN"/>
              </w:rPr>
              <w:t xml:space="preserve">24  </w:t>
            </w:r>
            <w:r>
              <w:rPr>
                <w:rFonts w:hint="default" w:ascii="Times New Roman" w:hAnsi="Times New Roman" w:cs="Times New Roman"/>
                <w:b/>
                <w:bCs/>
                <w:color w:val="auto"/>
                <w:sz w:val="24"/>
                <w:szCs w:val="24"/>
                <w:lang w:val="en-US" w:eastAsia="zh-CN"/>
              </w:rPr>
              <w:t>非正常工况排放参数表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076"/>
              <w:gridCol w:w="1328"/>
              <w:gridCol w:w="1193"/>
              <w:gridCol w:w="1194"/>
              <w:gridCol w:w="1211"/>
              <w:gridCol w:w="1212"/>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非正常工况排放源</w:t>
                  </w:r>
                </w:p>
              </w:tc>
              <w:tc>
                <w:tcPr>
                  <w:tcW w:w="107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排气筒</w:t>
                  </w:r>
                </w:p>
              </w:tc>
              <w:tc>
                <w:tcPr>
                  <w:tcW w:w="1328"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污染物名称</w:t>
                  </w:r>
                </w:p>
              </w:tc>
              <w:tc>
                <w:tcPr>
                  <w:tcW w:w="1193"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非正常排放速率（kg/h）</w:t>
                  </w:r>
                </w:p>
              </w:tc>
              <w:tc>
                <w:tcPr>
                  <w:tcW w:w="1194"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非正常</w:t>
                  </w:r>
                  <w:r>
                    <w:rPr>
                      <w:rFonts w:hint="default" w:ascii="Times New Roman" w:hAnsi="Times New Roman" w:cs="Times New Roman"/>
                      <w:color w:val="auto"/>
                      <w:sz w:val="21"/>
                      <w:szCs w:val="21"/>
                      <w:lang w:val="en-US" w:eastAsia="zh-CN"/>
                    </w:rPr>
                    <w:t>排放浓度</w:t>
                  </w:r>
                  <w:r>
                    <w:rPr>
                      <w:rFonts w:hint="eastAsia" w:ascii="Times New Roman" w:hAnsi="Times New Roman" w:cs="Times New Roman"/>
                      <w:color w:val="auto"/>
                      <w:sz w:val="21"/>
                      <w:szCs w:val="21"/>
                      <w:lang w:val="en-US" w:eastAsia="zh-CN"/>
                    </w:rPr>
                    <w:t>（mg/m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w:t>
                  </w:r>
                </w:p>
              </w:tc>
              <w:tc>
                <w:tcPr>
                  <w:tcW w:w="12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单次持续时间</w:t>
                  </w:r>
                </w:p>
              </w:tc>
              <w:tc>
                <w:tcPr>
                  <w:tcW w:w="1212"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年发生频次</w:t>
                  </w:r>
                </w:p>
              </w:tc>
              <w:tc>
                <w:tcPr>
                  <w:tcW w:w="1214"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焊接</w:t>
                  </w:r>
                </w:p>
              </w:tc>
              <w:tc>
                <w:tcPr>
                  <w:tcW w:w="1076"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DA001</w:t>
                  </w:r>
                </w:p>
              </w:tc>
              <w:tc>
                <w:tcPr>
                  <w:tcW w:w="1328"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193" w:type="dxa"/>
                  <w:vAlign w:val="center"/>
                </w:tcPr>
                <w:p>
                  <w:pPr>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0.07352</w:t>
                  </w:r>
                </w:p>
              </w:tc>
              <w:tc>
                <w:tcPr>
                  <w:tcW w:w="1194" w:type="dxa"/>
                  <w:vAlign w:val="center"/>
                </w:tcPr>
                <w:p>
                  <w:pPr>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7.352</w:t>
                  </w:r>
                </w:p>
              </w:tc>
              <w:tc>
                <w:tcPr>
                  <w:tcW w:w="1211"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212"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14" w:type="dxa"/>
                  <w:vAlign w:val="center"/>
                </w:tcPr>
                <w:p>
                  <w:pPr>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抛丸</w:t>
                  </w:r>
                </w:p>
              </w:tc>
              <w:tc>
                <w:tcPr>
                  <w:tcW w:w="1076"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DA002</w:t>
                  </w:r>
                </w:p>
              </w:tc>
              <w:tc>
                <w:tcPr>
                  <w:tcW w:w="1328"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193" w:type="dxa"/>
                  <w:vAlign w:val="center"/>
                </w:tcPr>
                <w:p>
                  <w:pPr>
                    <w:snapToGrid w:val="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3.285</w:t>
                  </w:r>
                </w:p>
              </w:tc>
              <w:tc>
                <w:tcPr>
                  <w:tcW w:w="1194" w:type="dxa"/>
                  <w:vAlign w:val="center"/>
                </w:tcPr>
                <w:p>
                  <w:pPr>
                    <w:snapToGrid w:val="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219</w:t>
                  </w:r>
                </w:p>
              </w:tc>
              <w:tc>
                <w:tcPr>
                  <w:tcW w:w="1211"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212"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14" w:type="dxa"/>
                  <w:vAlign w:val="center"/>
                </w:tcPr>
                <w:p>
                  <w:pPr>
                    <w:jc w:val="center"/>
                    <w:rPr>
                      <w:rFonts w:hint="default" w:ascii="Times New Roman" w:hAnsi="Times New Roman" w:cs="Times New Roman"/>
                      <w:color w:val="auto"/>
                      <w:sz w:val="21"/>
                      <w:szCs w:val="21"/>
                      <w:lang w:val="en-US" w:eastAsia="zh-CN"/>
                    </w:rPr>
                  </w:pPr>
                  <w:r>
                    <w:rPr>
                      <w:rFonts w:hint="eastAsia"/>
                      <w:color w:val="auto"/>
                      <w:sz w:val="21"/>
                      <w:szCs w:val="21"/>
                    </w:rPr>
                    <w:t>停工</w:t>
                  </w:r>
                  <w:r>
                    <w:rPr>
                      <w:rFonts w:hint="eastAsia"/>
                      <w:color w:val="auto"/>
                      <w:sz w:val="21"/>
                      <w:szCs w:val="21"/>
                      <w:lang w:eastAsia="zh-CN"/>
                    </w:rPr>
                    <w:t>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喷粉</w:t>
                  </w:r>
                </w:p>
              </w:tc>
              <w:tc>
                <w:tcPr>
                  <w:tcW w:w="1076" w:type="dxa"/>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DA003</w:t>
                  </w:r>
                </w:p>
              </w:tc>
              <w:tc>
                <w:tcPr>
                  <w:tcW w:w="132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193" w:type="dxa"/>
                  <w:vAlign w:val="center"/>
                </w:tcPr>
                <w:p>
                  <w:pPr>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1.758</w:t>
                  </w:r>
                </w:p>
              </w:tc>
              <w:tc>
                <w:tcPr>
                  <w:tcW w:w="1194" w:type="dxa"/>
                  <w:vAlign w:val="center"/>
                </w:tcPr>
                <w:p>
                  <w:pPr>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70.32</w:t>
                  </w:r>
                </w:p>
              </w:tc>
              <w:tc>
                <w:tcPr>
                  <w:tcW w:w="1211"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212"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14" w:type="dxa"/>
                  <w:vAlign w:val="center"/>
                </w:tcPr>
                <w:p>
                  <w:pPr>
                    <w:jc w:val="center"/>
                    <w:rPr>
                      <w:rFonts w:hint="eastAsia"/>
                      <w:color w:val="auto"/>
                      <w:sz w:val="21"/>
                      <w:szCs w:val="21"/>
                    </w:rPr>
                  </w:pPr>
                  <w:r>
                    <w:rPr>
                      <w:rFonts w:hint="eastAsia"/>
                      <w:color w:val="auto"/>
                      <w:sz w:val="21"/>
                      <w:szCs w:val="21"/>
                    </w:rPr>
                    <w:t>停工</w:t>
                  </w:r>
                  <w:r>
                    <w:rPr>
                      <w:rFonts w:hint="eastAsia"/>
                      <w:color w:val="auto"/>
                      <w:sz w:val="21"/>
                      <w:szCs w:val="21"/>
                      <w:lang w:eastAsia="zh-CN"/>
                    </w:rPr>
                    <w:t>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vMerge w:val="restart"/>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固化</w:t>
                  </w:r>
                </w:p>
              </w:tc>
              <w:tc>
                <w:tcPr>
                  <w:tcW w:w="1076" w:type="dxa"/>
                  <w:vMerge w:val="restar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DA004</w:t>
                  </w:r>
                </w:p>
              </w:tc>
              <w:tc>
                <w:tcPr>
                  <w:tcW w:w="132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w:t>
                  </w:r>
                </w:p>
              </w:tc>
              <w:tc>
                <w:tcPr>
                  <w:tcW w:w="1193" w:type="dxa"/>
                  <w:vAlign w:val="center"/>
                </w:tcPr>
                <w:p>
                  <w:pPr>
                    <w:snapToGrid w:val="0"/>
                    <w:jc w:val="center"/>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0.01152</w:t>
                  </w:r>
                </w:p>
              </w:tc>
              <w:tc>
                <w:tcPr>
                  <w:tcW w:w="1194" w:type="dxa"/>
                  <w:vAlign w:val="center"/>
                </w:tcPr>
                <w:p>
                  <w:pPr>
                    <w:snapToGrid w:val="0"/>
                    <w:jc w:val="center"/>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3.84</w:t>
                  </w:r>
                </w:p>
              </w:tc>
              <w:tc>
                <w:tcPr>
                  <w:tcW w:w="1211"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212"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14" w:type="dxa"/>
                  <w:vAlign w:val="center"/>
                </w:tcPr>
                <w:p>
                  <w:pPr>
                    <w:jc w:val="center"/>
                    <w:rPr>
                      <w:rFonts w:hint="eastAsia"/>
                      <w:color w:val="auto"/>
                      <w:sz w:val="21"/>
                      <w:szCs w:val="21"/>
                    </w:rPr>
                  </w:pPr>
                  <w:r>
                    <w:rPr>
                      <w:rFonts w:hint="eastAsia"/>
                      <w:color w:val="auto"/>
                      <w:sz w:val="21"/>
                      <w:szCs w:val="21"/>
                    </w:rPr>
                    <w:t>停工</w:t>
                  </w:r>
                  <w:r>
                    <w:rPr>
                      <w:rFonts w:hint="eastAsia"/>
                      <w:color w:val="auto"/>
                      <w:sz w:val="21"/>
                      <w:szCs w:val="21"/>
                      <w:lang w:eastAsia="zh-CN"/>
                    </w:rPr>
                    <w:t>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vMerge w:val="continue"/>
                  <w:vAlign w:val="center"/>
                </w:tcPr>
                <w:p>
                  <w:pPr>
                    <w:jc w:val="center"/>
                    <w:rPr>
                      <w:rFonts w:hint="eastAsia" w:ascii="Times New Roman" w:hAnsi="Times New Roman" w:cs="Times New Roman"/>
                      <w:color w:val="auto"/>
                      <w:sz w:val="21"/>
                      <w:szCs w:val="21"/>
                      <w:lang w:val="en-US" w:eastAsia="zh-CN"/>
                    </w:rPr>
                  </w:pPr>
                </w:p>
              </w:tc>
              <w:tc>
                <w:tcPr>
                  <w:tcW w:w="1076" w:type="dxa"/>
                  <w:vMerge w:val="continue"/>
                  <w:vAlign w:val="center"/>
                </w:tcPr>
                <w:p>
                  <w:pPr>
                    <w:jc w:val="center"/>
                    <w:rPr>
                      <w:rFonts w:hint="eastAsia" w:ascii="Times New Roman" w:hAnsi="Times New Roman" w:cs="Times New Roman"/>
                      <w:color w:val="auto"/>
                      <w:sz w:val="21"/>
                      <w:szCs w:val="21"/>
                      <w:lang w:val="en-US" w:eastAsia="zh-CN"/>
                    </w:rPr>
                  </w:pPr>
                </w:p>
              </w:tc>
              <w:tc>
                <w:tcPr>
                  <w:tcW w:w="132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193" w:type="dxa"/>
                  <w:vAlign w:val="center"/>
                </w:tcPr>
                <w:p>
                  <w:pPr>
                    <w:snapToGrid w:val="0"/>
                    <w:jc w:val="center"/>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0.0286</w:t>
                  </w:r>
                </w:p>
              </w:tc>
              <w:tc>
                <w:tcPr>
                  <w:tcW w:w="1194" w:type="dxa"/>
                  <w:vAlign w:val="center"/>
                </w:tcPr>
                <w:p>
                  <w:pPr>
                    <w:snapToGrid w:val="0"/>
                    <w:jc w:val="center"/>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9.53</w:t>
                  </w:r>
                </w:p>
              </w:tc>
              <w:tc>
                <w:tcPr>
                  <w:tcW w:w="1211"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212"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14" w:type="dxa"/>
                  <w:vAlign w:val="center"/>
                </w:tcPr>
                <w:p>
                  <w:pPr>
                    <w:jc w:val="center"/>
                    <w:rPr>
                      <w:rFonts w:hint="eastAsia"/>
                      <w:color w:val="auto"/>
                      <w:sz w:val="21"/>
                      <w:szCs w:val="21"/>
                    </w:rPr>
                  </w:pPr>
                  <w:r>
                    <w:rPr>
                      <w:rFonts w:hint="eastAsia"/>
                      <w:color w:val="auto"/>
                      <w:sz w:val="21"/>
                      <w:szCs w:val="21"/>
                    </w:rPr>
                    <w:t>停工</w:t>
                  </w:r>
                  <w:r>
                    <w:rPr>
                      <w:rFonts w:hint="eastAsia"/>
                      <w:color w:val="auto"/>
                      <w:sz w:val="21"/>
                      <w:szCs w:val="21"/>
                      <w:lang w:eastAsia="zh-CN"/>
                    </w:rPr>
                    <w:t>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vMerge w:val="continue"/>
                  <w:vAlign w:val="center"/>
                </w:tcPr>
                <w:p>
                  <w:pPr>
                    <w:jc w:val="center"/>
                    <w:rPr>
                      <w:rFonts w:hint="eastAsia" w:ascii="Times New Roman" w:hAnsi="Times New Roman" w:cs="Times New Roman"/>
                      <w:color w:val="auto"/>
                      <w:sz w:val="21"/>
                      <w:szCs w:val="21"/>
                      <w:lang w:val="en-US" w:eastAsia="zh-CN"/>
                    </w:rPr>
                  </w:pPr>
                </w:p>
              </w:tc>
              <w:tc>
                <w:tcPr>
                  <w:tcW w:w="1076" w:type="dxa"/>
                  <w:vMerge w:val="continue"/>
                  <w:vAlign w:val="center"/>
                </w:tcPr>
                <w:p>
                  <w:pPr>
                    <w:jc w:val="center"/>
                    <w:rPr>
                      <w:rFonts w:hint="eastAsia" w:ascii="Times New Roman" w:hAnsi="Times New Roman" w:cs="Times New Roman"/>
                      <w:color w:val="auto"/>
                      <w:sz w:val="21"/>
                      <w:szCs w:val="21"/>
                      <w:lang w:val="en-US" w:eastAsia="zh-CN"/>
                    </w:rPr>
                  </w:pPr>
                </w:p>
              </w:tc>
              <w:tc>
                <w:tcPr>
                  <w:tcW w:w="132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二氧化硫</w:t>
                  </w:r>
                </w:p>
              </w:tc>
              <w:tc>
                <w:tcPr>
                  <w:tcW w:w="1193" w:type="dxa"/>
                  <w:vAlign w:val="center"/>
                </w:tcPr>
                <w:p>
                  <w:pPr>
                    <w:snapToGrid w:val="0"/>
                    <w:jc w:val="center"/>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0.004</w:t>
                  </w:r>
                </w:p>
              </w:tc>
              <w:tc>
                <w:tcPr>
                  <w:tcW w:w="1194" w:type="dxa"/>
                  <w:vAlign w:val="center"/>
                </w:tcPr>
                <w:p>
                  <w:pPr>
                    <w:snapToGrid w:val="0"/>
                    <w:jc w:val="center"/>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1.33</w:t>
                  </w:r>
                </w:p>
              </w:tc>
              <w:tc>
                <w:tcPr>
                  <w:tcW w:w="1211"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212"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14" w:type="dxa"/>
                  <w:vAlign w:val="center"/>
                </w:tcPr>
                <w:p>
                  <w:pPr>
                    <w:jc w:val="center"/>
                    <w:rPr>
                      <w:rFonts w:hint="eastAsia"/>
                      <w:color w:val="auto"/>
                      <w:sz w:val="21"/>
                      <w:szCs w:val="21"/>
                    </w:rPr>
                  </w:pPr>
                  <w:r>
                    <w:rPr>
                      <w:rFonts w:hint="eastAsia"/>
                      <w:color w:val="auto"/>
                      <w:sz w:val="21"/>
                      <w:szCs w:val="21"/>
                    </w:rPr>
                    <w:t>停工</w:t>
                  </w:r>
                  <w:r>
                    <w:rPr>
                      <w:rFonts w:hint="eastAsia"/>
                      <w:color w:val="auto"/>
                      <w:sz w:val="21"/>
                      <w:szCs w:val="21"/>
                      <w:lang w:eastAsia="zh-CN"/>
                    </w:rPr>
                    <w:t>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vMerge w:val="continue"/>
                  <w:vAlign w:val="center"/>
                </w:tcPr>
                <w:p>
                  <w:pPr>
                    <w:jc w:val="center"/>
                    <w:rPr>
                      <w:rFonts w:hint="eastAsia" w:ascii="Times New Roman" w:hAnsi="Times New Roman" w:cs="Times New Roman"/>
                      <w:color w:val="auto"/>
                      <w:sz w:val="21"/>
                      <w:szCs w:val="21"/>
                      <w:lang w:val="en-US" w:eastAsia="zh-CN"/>
                    </w:rPr>
                  </w:pPr>
                </w:p>
              </w:tc>
              <w:tc>
                <w:tcPr>
                  <w:tcW w:w="1076" w:type="dxa"/>
                  <w:vMerge w:val="continue"/>
                  <w:vAlign w:val="center"/>
                </w:tcPr>
                <w:p>
                  <w:pPr>
                    <w:jc w:val="center"/>
                    <w:rPr>
                      <w:rFonts w:hint="eastAsia" w:ascii="Times New Roman" w:hAnsi="Times New Roman" w:cs="Times New Roman" w:eastAsiaTheme="minorEastAsia"/>
                      <w:color w:val="auto"/>
                      <w:kern w:val="2"/>
                      <w:sz w:val="21"/>
                      <w:szCs w:val="21"/>
                      <w:lang w:val="en-US" w:eastAsia="zh-CN" w:bidi="ar-SA"/>
                    </w:rPr>
                  </w:pPr>
                </w:p>
              </w:tc>
              <w:tc>
                <w:tcPr>
                  <w:tcW w:w="132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氮氧化物</w:t>
                  </w:r>
                </w:p>
              </w:tc>
              <w:tc>
                <w:tcPr>
                  <w:tcW w:w="1193" w:type="dxa"/>
                  <w:vAlign w:val="center"/>
                </w:tcPr>
                <w:p>
                  <w:pPr>
                    <w:snapToGrid w:val="0"/>
                    <w:jc w:val="center"/>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0.0936</w:t>
                  </w:r>
                </w:p>
              </w:tc>
              <w:tc>
                <w:tcPr>
                  <w:tcW w:w="1194" w:type="dxa"/>
                  <w:vAlign w:val="center"/>
                </w:tcPr>
                <w:p>
                  <w:pPr>
                    <w:snapToGrid w:val="0"/>
                    <w:jc w:val="center"/>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31.2</w:t>
                  </w:r>
                </w:p>
              </w:tc>
              <w:tc>
                <w:tcPr>
                  <w:tcW w:w="1211"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212"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14" w:type="dxa"/>
                  <w:vAlign w:val="center"/>
                </w:tcPr>
                <w:p>
                  <w:pPr>
                    <w:jc w:val="center"/>
                    <w:rPr>
                      <w:rFonts w:hint="eastAsia"/>
                      <w:color w:val="auto"/>
                      <w:sz w:val="21"/>
                      <w:szCs w:val="21"/>
                    </w:rPr>
                  </w:pPr>
                  <w:r>
                    <w:rPr>
                      <w:rFonts w:hint="eastAsia"/>
                      <w:color w:val="auto"/>
                      <w:sz w:val="21"/>
                      <w:szCs w:val="21"/>
                    </w:rPr>
                    <w:t>停工</w:t>
                  </w:r>
                  <w:r>
                    <w:rPr>
                      <w:rFonts w:hint="eastAsia"/>
                      <w:color w:val="auto"/>
                      <w:sz w:val="21"/>
                      <w:szCs w:val="21"/>
                      <w:lang w:eastAsia="zh-CN"/>
                    </w:rPr>
                    <w:t>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vMerge w:val="restart"/>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预烘、浇注、脱模、清洗及注塑、硫化</w:t>
                  </w:r>
                </w:p>
              </w:tc>
              <w:tc>
                <w:tcPr>
                  <w:tcW w:w="1076" w:type="dxa"/>
                  <w:vMerge w:val="restart"/>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DA005</w:t>
                  </w:r>
                </w:p>
              </w:tc>
              <w:tc>
                <w:tcPr>
                  <w:tcW w:w="132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w:t>
                  </w:r>
                </w:p>
              </w:tc>
              <w:tc>
                <w:tcPr>
                  <w:tcW w:w="1193" w:type="dxa"/>
                  <w:vAlign w:val="center"/>
                </w:tcPr>
                <w:p>
                  <w:pPr>
                    <w:snapToGrid w:val="0"/>
                    <w:jc w:val="center"/>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0.43482</w:t>
                  </w:r>
                </w:p>
              </w:tc>
              <w:tc>
                <w:tcPr>
                  <w:tcW w:w="1194" w:type="dxa"/>
                  <w:vAlign w:val="center"/>
                </w:tcPr>
                <w:p>
                  <w:pPr>
                    <w:snapToGrid w:val="0"/>
                    <w:jc w:val="center"/>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14.494</w:t>
                  </w:r>
                </w:p>
              </w:tc>
              <w:tc>
                <w:tcPr>
                  <w:tcW w:w="1211"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212"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14" w:type="dxa"/>
                  <w:vAlign w:val="center"/>
                </w:tcPr>
                <w:p>
                  <w:pPr>
                    <w:jc w:val="center"/>
                    <w:rPr>
                      <w:rFonts w:hint="eastAsia"/>
                      <w:color w:val="auto"/>
                      <w:sz w:val="21"/>
                      <w:szCs w:val="21"/>
                    </w:rPr>
                  </w:pPr>
                  <w:r>
                    <w:rPr>
                      <w:rFonts w:hint="eastAsia"/>
                      <w:color w:val="auto"/>
                      <w:sz w:val="21"/>
                      <w:szCs w:val="21"/>
                    </w:rPr>
                    <w:t>停工</w:t>
                  </w:r>
                  <w:r>
                    <w:rPr>
                      <w:rFonts w:hint="eastAsia"/>
                      <w:color w:val="auto"/>
                      <w:sz w:val="21"/>
                      <w:szCs w:val="21"/>
                      <w:lang w:eastAsia="zh-CN"/>
                    </w:rPr>
                    <w:t>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vMerge w:val="continue"/>
                  <w:vAlign w:val="center"/>
                </w:tcPr>
                <w:p>
                  <w:pPr>
                    <w:jc w:val="center"/>
                    <w:rPr>
                      <w:rFonts w:hint="eastAsia" w:ascii="Times New Roman" w:hAnsi="Times New Roman" w:cs="Times New Roman"/>
                      <w:color w:val="auto"/>
                      <w:sz w:val="21"/>
                      <w:szCs w:val="21"/>
                      <w:lang w:val="en-US" w:eastAsia="zh-CN"/>
                    </w:rPr>
                  </w:pPr>
                </w:p>
              </w:tc>
              <w:tc>
                <w:tcPr>
                  <w:tcW w:w="1076" w:type="dxa"/>
                  <w:vMerge w:val="continue"/>
                  <w:vAlign w:val="center"/>
                </w:tcPr>
                <w:p>
                  <w:pPr>
                    <w:jc w:val="center"/>
                    <w:rPr>
                      <w:rFonts w:hint="eastAsia" w:ascii="Times New Roman" w:hAnsi="Times New Roman" w:cs="Times New Roman"/>
                      <w:color w:val="auto"/>
                      <w:sz w:val="21"/>
                      <w:szCs w:val="21"/>
                      <w:lang w:val="en-US" w:eastAsia="zh-CN"/>
                    </w:rPr>
                  </w:pPr>
                </w:p>
              </w:tc>
              <w:tc>
                <w:tcPr>
                  <w:tcW w:w="1328" w:type="dxa"/>
                  <w:vAlign w:val="center"/>
                </w:tcPr>
                <w:p>
                  <w:pPr>
                    <w:jc w:val="center"/>
                    <w:rPr>
                      <w:rFonts w:hint="eastAsia" w:ascii="Times New Roman" w:hAnsi="Times New Roman" w:cs="Times New Roman"/>
                      <w:color w:val="auto"/>
                      <w:sz w:val="21"/>
                      <w:szCs w:val="21"/>
                      <w:lang w:val="en-US" w:eastAsia="zh-CN"/>
                    </w:rPr>
                  </w:pPr>
                  <w:r>
                    <w:rPr>
                      <w:rFonts w:hint="default" w:ascii="Times New Roman" w:hAnsi="Times New Roman" w:cs="Times New Roman"/>
                      <w:b w:val="0"/>
                      <w:bCs w:val="0"/>
                      <w:color w:val="auto"/>
                      <w:sz w:val="21"/>
                      <w:szCs w:val="21"/>
                      <w:lang w:val="en-US" w:eastAsia="zh-CN"/>
                    </w:rPr>
                    <w:t>二苯基甲烷二异氰酸酯（MDI）</w:t>
                  </w:r>
                </w:p>
              </w:tc>
              <w:tc>
                <w:tcPr>
                  <w:tcW w:w="1193" w:type="dxa"/>
                  <w:vAlign w:val="center"/>
                </w:tcPr>
                <w:p>
                  <w:pPr>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0.036</w:t>
                  </w:r>
                </w:p>
              </w:tc>
              <w:tc>
                <w:tcPr>
                  <w:tcW w:w="1194" w:type="dxa"/>
                  <w:vAlign w:val="center"/>
                </w:tcPr>
                <w:p>
                  <w:pPr>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w:t>
                  </w:r>
                </w:p>
              </w:tc>
              <w:tc>
                <w:tcPr>
                  <w:tcW w:w="1211"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212"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14" w:type="dxa"/>
                  <w:vAlign w:val="center"/>
                </w:tcPr>
                <w:p>
                  <w:pPr>
                    <w:jc w:val="center"/>
                    <w:rPr>
                      <w:rFonts w:hint="eastAsia"/>
                      <w:color w:val="auto"/>
                      <w:sz w:val="21"/>
                      <w:szCs w:val="21"/>
                    </w:rPr>
                  </w:pPr>
                  <w:r>
                    <w:rPr>
                      <w:rFonts w:hint="eastAsia"/>
                      <w:color w:val="auto"/>
                      <w:sz w:val="21"/>
                      <w:szCs w:val="21"/>
                    </w:rPr>
                    <w:t>停工</w:t>
                  </w:r>
                  <w:r>
                    <w:rPr>
                      <w:rFonts w:hint="eastAsia"/>
                      <w:color w:val="auto"/>
                      <w:sz w:val="21"/>
                      <w:szCs w:val="21"/>
                      <w:lang w:eastAsia="zh-CN"/>
                    </w:rPr>
                    <w:t>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vMerge w:val="continue"/>
                  <w:vAlign w:val="center"/>
                </w:tcPr>
                <w:p>
                  <w:pPr>
                    <w:jc w:val="center"/>
                    <w:rPr>
                      <w:rFonts w:hint="eastAsia" w:ascii="Times New Roman" w:hAnsi="Times New Roman" w:cs="Times New Roman"/>
                      <w:color w:val="auto"/>
                      <w:sz w:val="21"/>
                      <w:szCs w:val="21"/>
                      <w:lang w:val="en-US" w:eastAsia="zh-CN"/>
                    </w:rPr>
                  </w:pPr>
                </w:p>
              </w:tc>
              <w:tc>
                <w:tcPr>
                  <w:tcW w:w="1076" w:type="dxa"/>
                  <w:vMerge w:val="continue"/>
                  <w:vAlign w:val="center"/>
                </w:tcPr>
                <w:p>
                  <w:pPr>
                    <w:jc w:val="center"/>
                    <w:rPr>
                      <w:rFonts w:hint="eastAsia" w:ascii="Times New Roman" w:hAnsi="Times New Roman" w:cs="Times New Roman"/>
                      <w:color w:val="auto"/>
                      <w:sz w:val="21"/>
                      <w:szCs w:val="21"/>
                      <w:lang w:val="en-US" w:eastAsia="zh-CN"/>
                    </w:rPr>
                  </w:pPr>
                </w:p>
              </w:tc>
              <w:tc>
                <w:tcPr>
                  <w:tcW w:w="132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二硫化碳</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CS</w:t>
                  </w:r>
                  <w:r>
                    <w:rPr>
                      <w:rFonts w:hint="default" w:ascii="Times New Roman" w:hAnsi="Times New Roman" w:cs="Times New Roman"/>
                      <w:color w:val="auto"/>
                      <w:sz w:val="21"/>
                      <w:szCs w:val="21"/>
                      <w:vertAlign w:val="subscript"/>
                      <w:lang w:val="en-US" w:eastAsia="zh-CN"/>
                    </w:rPr>
                    <w:t>2</w:t>
                  </w:r>
                  <w:r>
                    <w:rPr>
                      <w:rFonts w:hint="eastAsia" w:cs="Times New Roman"/>
                      <w:color w:val="auto"/>
                      <w:sz w:val="21"/>
                      <w:szCs w:val="21"/>
                      <w:lang w:val="en-US" w:eastAsia="zh-CN"/>
                    </w:rPr>
                    <w:t>）</w:t>
                  </w:r>
                </w:p>
              </w:tc>
              <w:tc>
                <w:tcPr>
                  <w:tcW w:w="1193" w:type="dxa"/>
                  <w:vAlign w:val="center"/>
                </w:tcPr>
                <w:p>
                  <w:pPr>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0.00042</w:t>
                  </w:r>
                </w:p>
              </w:tc>
              <w:tc>
                <w:tcPr>
                  <w:tcW w:w="1194" w:type="dxa"/>
                  <w:vAlign w:val="center"/>
                </w:tcPr>
                <w:p>
                  <w:pPr>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0.014</w:t>
                  </w:r>
                </w:p>
              </w:tc>
              <w:tc>
                <w:tcPr>
                  <w:tcW w:w="1211"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212"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14" w:type="dxa"/>
                  <w:vAlign w:val="center"/>
                </w:tcPr>
                <w:p>
                  <w:pPr>
                    <w:jc w:val="center"/>
                    <w:rPr>
                      <w:rFonts w:hint="eastAsia"/>
                      <w:color w:val="auto"/>
                      <w:sz w:val="21"/>
                      <w:szCs w:val="21"/>
                    </w:rPr>
                  </w:pPr>
                  <w:r>
                    <w:rPr>
                      <w:rFonts w:hint="eastAsia"/>
                      <w:color w:val="auto"/>
                      <w:sz w:val="21"/>
                      <w:szCs w:val="21"/>
                    </w:rPr>
                    <w:t>停工</w:t>
                  </w:r>
                  <w:r>
                    <w:rPr>
                      <w:rFonts w:hint="eastAsia"/>
                      <w:color w:val="auto"/>
                      <w:sz w:val="21"/>
                      <w:szCs w:val="21"/>
                      <w:lang w:eastAsia="zh-CN"/>
                    </w:rPr>
                    <w:t>检修</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建设单位须加强废气净化设备的管理，定期检修，确保净化装置正常运行，在净化装置停止运行或出现故障时，产生废气的各工序也必须立即停止生产，进行检修，避免事故状态下污染物的排放。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废气环境影响分析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项目所在地为大气环境空气质量不达标区。目前，</w:t>
            </w:r>
            <w:r>
              <w:rPr>
                <w:rFonts w:hint="eastAsia" w:ascii="Times New Roman" w:hAnsi="Times New Roman" w:cs="Times New Roman"/>
                <w:color w:val="auto"/>
                <w:sz w:val="24"/>
                <w:szCs w:val="24"/>
                <w:lang w:val="en-US" w:eastAsia="zh-CN"/>
              </w:rPr>
              <w:t>宿州市正</w:t>
            </w:r>
            <w:r>
              <w:rPr>
                <w:rFonts w:hint="default" w:ascii="Times New Roman" w:hAnsi="Times New Roman" w:cs="Times New Roman"/>
                <w:color w:val="auto"/>
                <w:sz w:val="24"/>
                <w:szCs w:val="24"/>
                <w:lang w:val="en-US" w:eastAsia="zh-CN"/>
              </w:rPr>
              <w:t>积极开展大气污染物防治工作，为强化环境空气质量目标管理，进一步落实各县（市、区）人民政府对本辖区环境空气质量的属地责任，改善环境空气质量，结合实际，在全省率先出台了环境空气质量生态补偿暂行办法，</w:t>
            </w:r>
            <w:r>
              <w:rPr>
                <w:rFonts w:hint="eastAsia" w:ascii="Times New Roman" w:hAnsi="Times New Roman" w:cs="Times New Roman"/>
                <w:color w:val="auto"/>
                <w:sz w:val="24"/>
                <w:szCs w:val="24"/>
                <w:lang w:val="en-US" w:eastAsia="zh-CN"/>
              </w:rPr>
              <w:t>宿州市</w:t>
            </w:r>
            <w:r>
              <w:rPr>
                <w:rFonts w:hint="default" w:ascii="Times New Roman" w:hAnsi="Times New Roman" w:cs="Times New Roman"/>
                <w:color w:val="auto"/>
                <w:sz w:val="24"/>
                <w:szCs w:val="24"/>
                <w:lang w:val="en-US" w:eastAsia="zh-CN"/>
              </w:rPr>
              <w:t>从产业结构调整、能源结构调整、运输结构调整、用地结构调整、工业炉窑专项整治、VOCs专项整治、区域大气污染联防联控等方面提出各项整改措施，以改善环境质量。根据大气环境质量达标规划，通过进一步控制工业废气治理、扬尘污染等措施，大气环境质量状况可以得到进一步改善。</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经工程分析，本项目</w:t>
            </w:r>
            <w:r>
              <w:rPr>
                <w:rFonts w:hint="eastAsia" w:ascii="宋体" w:hAnsi="宋体" w:eastAsia="宋体" w:cs="宋体"/>
                <w:color w:val="auto"/>
                <w:sz w:val="24"/>
                <w:szCs w:val="24"/>
                <w:lang w:eastAsia="zh-CN"/>
              </w:rPr>
              <w:t>天然气燃烧机废气污染物</w:t>
            </w:r>
            <w:r>
              <w:rPr>
                <w:rFonts w:hint="eastAsia" w:ascii="Times New Roman" w:hAnsi="Times New Roman" w:eastAsia="宋体" w:cs="Times New Roman"/>
                <w:color w:val="auto"/>
                <w:sz w:val="24"/>
                <w:szCs w:val="24"/>
                <w:lang w:eastAsia="zh-CN"/>
              </w:rPr>
              <w:t>二氧化硫</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氮氧化物</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颗粒物</w:t>
            </w:r>
            <w:r>
              <w:rPr>
                <w:rFonts w:hint="eastAsia" w:ascii="Times New Roman" w:hAnsi="Times New Roman" w:cs="Times New Roman"/>
                <w:color w:val="auto"/>
                <w:sz w:val="24"/>
                <w:szCs w:val="24"/>
                <w:lang w:eastAsia="zh-CN"/>
              </w:rPr>
              <w:t>满足</w:t>
            </w:r>
            <w:r>
              <w:rPr>
                <w:rFonts w:hint="default" w:ascii="Times New Roman" w:hAnsi="Times New Roman" w:cs="Times New Roman"/>
                <w:color w:val="auto"/>
                <w:sz w:val="24"/>
                <w:szCs w:val="24"/>
                <w:lang w:eastAsia="zh-CN"/>
              </w:rPr>
              <w:t>《工业炉窑大气污染物综合治理方案》（环大气【</w:t>
            </w:r>
            <w:r>
              <w:rPr>
                <w:rFonts w:hint="default" w:ascii="Times New Roman" w:hAnsi="Times New Roman" w:cs="Times New Roman"/>
                <w:color w:val="auto"/>
                <w:sz w:val="24"/>
                <w:szCs w:val="24"/>
                <w:lang w:val="en-US" w:eastAsia="zh-CN"/>
              </w:rPr>
              <w:t>2019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56号</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中</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颗粒物：30mg/m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，氮氧化物：300mg/m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，二氧化硫：200mg/m</w:t>
            </w:r>
            <w:r>
              <w:rPr>
                <w:rFonts w:hint="default" w:ascii="Times New Roman" w:hAnsi="Times New Roman" w:cs="Times New Roman"/>
                <w:color w:val="auto"/>
                <w:sz w:val="24"/>
                <w:szCs w:val="24"/>
                <w:vertAlign w:val="superscript"/>
                <w:lang w:val="en-US" w:eastAsia="zh-CN"/>
              </w:rPr>
              <w:t>3</w:t>
            </w:r>
            <w:r>
              <w:rPr>
                <w:rFonts w:hint="eastAsia" w:cs="Times New Roman"/>
                <w:color w:val="auto"/>
                <w:sz w:val="24"/>
                <w:szCs w:val="24"/>
                <w:lang w:val="en-US" w:eastAsia="zh-CN"/>
              </w:rPr>
              <w:t>]限值</w:t>
            </w:r>
            <w:r>
              <w:rPr>
                <w:rFonts w:hint="eastAsia" w:ascii="Times New Roman" w:hAnsi="Times New Roman" w:cs="Times New Roman"/>
                <w:color w:val="auto"/>
                <w:sz w:val="24"/>
                <w:szCs w:val="24"/>
                <w:lang w:val="en-US" w:eastAsia="zh-CN"/>
              </w:rPr>
              <w:t>；激光切割、焊接、抛丸、喷粉、固化及木材下料工序排放的颗粒物和非甲烷总烃满足</w:t>
            </w:r>
            <w:r>
              <w:rPr>
                <w:rFonts w:hint="default" w:ascii="Times New Roman" w:hAnsi="Times New Roman" w:cs="Times New Roman"/>
                <w:color w:val="auto"/>
                <w:sz w:val="24"/>
                <w:szCs w:val="24"/>
              </w:rPr>
              <w:t>《大气污染物综合排放标准》（GB16297-1996）表2中二级标准及无组织监控浓度限值</w:t>
            </w:r>
            <w:r>
              <w:rPr>
                <w:rFonts w:hint="eastAsia" w:ascii="Times New Roman" w:hAnsi="Times New Roman" w:cs="Times New Roman"/>
                <w:color w:val="auto"/>
                <w:sz w:val="24"/>
                <w:szCs w:val="24"/>
                <w:lang w:val="en-US" w:eastAsia="zh-CN"/>
              </w:rPr>
              <w:t>；硫化工序排放的非甲烷总烃、二硫化碳（CS</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）及臭气浓度满足《橡胶制品工业污染物排放标准》（GB27632-2011）表5新建企业大气污染物排放限值和表6现有和新建企业厂界无组织排放限值、</w:t>
            </w:r>
            <w:r>
              <w:rPr>
                <w:rFonts w:hint="default" w:ascii="Times New Roman" w:hAnsi="Times New Roman" w:cs="Times New Roman"/>
                <w:color w:val="auto"/>
                <w:kern w:val="0"/>
                <w:sz w:val="24"/>
                <w:szCs w:val="24"/>
                <w:lang w:eastAsia="zh-CN"/>
              </w:rPr>
              <w:t>《恶臭污染物排放标准》</w:t>
            </w:r>
            <w:r>
              <w:rPr>
                <w:rFonts w:hint="default" w:ascii="Times New Roman" w:hAnsi="Times New Roman" w:eastAsia="宋体" w:cs="Times New Roman"/>
                <w:color w:val="auto"/>
                <w:sz w:val="24"/>
                <w:szCs w:val="24"/>
              </w:rPr>
              <w:t>（GB14554-93）</w:t>
            </w:r>
            <w:r>
              <w:rPr>
                <w:rFonts w:hint="default" w:ascii="Times New Roman" w:hAnsi="Times New Roman" w:cs="Times New Roman"/>
                <w:color w:val="auto"/>
                <w:kern w:val="0"/>
                <w:sz w:val="24"/>
                <w:szCs w:val="24"/>
                <w:lang w:eastAsia="zh-CN"/>
              </w:rPr>
              <w:t>中表</w:t>
            </w:r>
            <w:r>
              <w:rPr>
                <w:rFonts w:hint="default" w:ascii="Times New Roman" w:hAnsi="Times New Roman" w:cs="Times New Roman"/>
                <w:color w:val="auto"/>
                <w:kern w:val="0"/>
                <w:sz w:val="24"/>
                <w:szCs w:val="24"/>
                <w:lang w:val="en-US" w:eastAsia="zh-CN"/>
              </w:rPr>
              <w:t>1</w:t>
            </w:r>
            <w:r>
              <w:rPr>
                <w:rFonts w:hint="eastAsia" w:ascii="宋体" w:hAnsi="宋体" w:eastAsia="宋体" w:cs="宋体"/>
                <w:color w:val="auto"/>
                <w:kern w:val="0"/>
                <w:sz w:val="24"/>
                <w:szCs w:val="24"/>
                <w:lang w:val="en-US" w:eastAsia="zh-CN"/>
              </w:rPr>
              <w:t>中“二级新改扩建”标准</w:t>
            </w:r>
            <w:r>
              <w:rPr>
                <w:rFonts w:hint="default" w:ascii="Times New Roman" w:hAnsi="Times New Roman" w:eastAsia="宋体" w:cs="Times New Roman"/>
                <w:color w:val="auto"/>
                <w:kern w:val="0"/>
                <w:sz w:val="24"/>
                <w:szCs w:val="24"/>
                <w:lang w:val="en-US" w:eastAsia="zh-CN"/>
              </w:rPr>
              <w:t>限值和表2恶臭污染物排放标准值</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lang w:eastAsia="zh-CN"/>
              </w:rPr>
              <w:t>预烘、浇注、脱模、清洗及注塑</w:t>
            </w:r>
            <w:r>
              <w:rPr>
                <w:rFonts w:ascii="Times New Roman" w:hAnsi="Times New Roman" w:eastAsia="宋体" w:cs="Times New Roman"/>
                <w:color w:val="auto"/>
                <w:sz w:val="24"/>
              </w:rPr>
              <w:t>工序排放的非甲烷总烃（NMHC）</w:t>
            </w:r>
            <w:r>
              <w:rPr>
                <w:rFonts w:hint="eastAsia" w:ascii="Times New Roman" w:hAnsi="Times New Roman" w:eastAsia="宋体" w:cs="Times New Roman"/>
                <w:color w:val="auto"/>
                <w:sz w:val="24"/>
                <w:lang w:eastAsia="zh-CN"/>
              </w:rPr>
              <w:t>和</w:t>
            </w:r>
            <w:r>
              <w:rPr>
                <w:rFonts w:hint="default" w:ascii="Times New Roman" w:hAnsi="Times New Roman" w:cs="Times New Roman"/>
                <w:b w:val="0"/>
                <w:bCs w:val="0"/>
                <w:color w:val="auto"/>
                <w:sz w:val="24"/>
                <w:szCs w:val="24"/>
                <w:lang w:val="en-US" w:eastAsia="zh-CN"/>
              </w:rPr>
              <w:t>二苯基甲烷二异氰酸酯（MDI）</w:t>
            </w:r>
            <w:r>
              <w:rPr>
                <w:rFonts w:hint="eastAsia" w:ascii="Times New Roman" w:hAnsi="Times New Roman" w:eastAsia="宋体" w:cs="Times New Roman"/>
                <w:color w:val="auto"/>
                <w:sz w:val="24"/>
                <w:lang w:eastAsia="zh-CN"/>
              </w:rPr>
              <w:t>满足</w:t>
            </w:r>
            <w:r>
              <w:rPr>
                <w:rFonts w:ascii="Times New Roman" w:hAnsi="Times New Roman" w:eastAsia="宋体" w:cs="Times New Roman"/>
                <w:color w:val="auto"/>
                <w:sz w:val="24"/>
              </w:rPr>
              <w:t>《合成树脂工业污染物排放标准》（GB31572-2015）表5中大气污染物特别排放限值和表9企业边界大气污染物浓度限值</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lang w:val="en-US" w:eastAsia="zh-CN"/>
              </w:rPr>
              <w:t>厂区内无组织非甲烷总烃排放满足《挥发性有机物无组织排放控制标准》（GB37822-2019）中特别排放限值</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eastAsia="zh-CN"/>
              </w:rPr>
              <w:t>职工</w:t>
            </w:r>
            <w:r>
              <w:rPr>
                <w:rFonts w:hint="default" w:ascii="Times New Roman" w:hAnsi="Times New Roman" w:cs="Times New Roman"/>
                <w:color w:val="auto"/>
                <w:sz w:val="24"/>
                <w:szCs w:val="24"/>
              </w:rPr>
              <w:t>食堂油烟排放</w:t>
            </w:r>
            <w:r>
              <w:rPr>
                <w:rFonts w:hint="eastAsia" w:ascii="Times New Roman" w:hAnsi="Times New Roman" w:cs="Times New Roman"/>
                <w:color w:val="auto"/>
                <w:sz w:val="24"/>
                <w:szCs w:val="24"/>
                <w:lang w:val="en-US" w:eastAsia="zh-CN"/>
              </w:rPr>
              <w:t>满足</w:t>
            </w:r>
            <w:r>
              <w:rPr>
                <w:rFonts w:hint="default" w:ascii="Times New Roman" w:hAnsi="Times New Roman" w:cs="Times New Roman"/>
                <w:color w:val="auto"/>
                <w:sz w:val="24"/>
                <w:szCs w:val="24"/>
              </w:rPr>
              <w:t>《饮食业油烟排放标准（试行）》（GB1843-2001）中限值</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且</w:t>
            </w:r>
            <w:r>
              <w:rPr>
                <w:rFonts w:hint="default" w:ascii="Times New Roman" w:hAnsi="Times New Roman" w:eastAsia="宋体" w:cs="Times New Roman"/>
                <w:color w:val="auto"/>
                <w:sz w:val="24"/>
                <w:szCs w:val="24"/>
              </w:rPr>
              <w:t>本项目废气治理技术为可行技术，因此项目排放的废气对周围环境的影响较小。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2、废水</w:t>
            </w:r>
          </w:p>
          <w:p>
            <w:pPr>
              <w:tabs>
                <w:tab w:val="left" w:pos="1260"/>
              </w:tabs>
              <w:autoSpaceDE w:val="0"/>
              <w:autoSpaceDN w:val="0"/>
              <w:adjustRightInd w:val="0"/>
              <w:spacing w:line="360" w:lineRule="auto"/>
              <w:ind w:firstLine="477" w:firstLineChars="199"/>
              <w:textAlignment w:val="baseline"/>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lang w:eastAsia="zh-CN"/>
              </w:rPr>
              <w:t>生活用水</w:t>
            </w:r>
          </w:p>
          <w:p>
            <w:pPr>
              <w:tabs>
                <w:tab w:val="left" w:pos="1260"/>
              </w:tabs>
              <w:autoSpaceDE w:val="0"/>
              <w:autoSpaceDN w:val="0"/>
              <w:adjustRightInd w:val="0"/>
              <w:spacing w:line="360" w:lineRule="auto"/>
              <w:ind w:firstLine="477" w:firstLineChars="199"/>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项目用水主要是职工生活、办公用水，厂区提供</w:t>
            </w:r>
            <w:r>
              <w:rPr>
                <w:rFonts w:hint="default" w:ascii="Times New Roman" w:hAnsi="Times New Roman" w:cs="Times New Roman"/>
                <w:color w:val="auto"/>
                <w:sz w:val="24"/>
                <w:szCs w:val="24"/>
                <w:highlight w:val="none"/>
                <w:lang w:eastAsia="zh-CN"/>
              </w:rPr>
              <w:t>职工</w:t>
            </w:r>
            <w:r>
              <w:rPr>
                <w:rFonts w:hint="default" w:ascii="Times New Roman" w:hAnsi="Times New Roman" w:cs="Times New Roman"/>
                <w:color w:val="auto"/>
                <w:sz w:val="24"/>
                <w:szCs w:val="24"/>
                <w:highlight w:val="none"/>
              </w:rPr>
              <w:t>食堂</w:t>
            </w:r>
            <w:r>
              <w:rPr>
                <w:rFonts w:hint="eastAsia" w:ascii="Times New Roman" w:hAnsi="Times New Roman" w:cs="Times New Roman"/>
                <w:color w:val="auto"/>
                <w:sz w:val="24"/>
                <w:szCs w:val="24"/>
                <w:highlight w:val="none"/>
                <w:lang w:eastAsia="zh-CN"/>
              </w:rPr>
              <w:t>，不提供职工宿舍</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rPr>
              <w:t>根据《宿州市城市行业用水定额》（DB34</w:t>
            </w:r>
            <w:r>
              <w:rPr>
                <w:rFonts w:hint="eastAsia"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/T</w:t>
            </w:r>
            <w:r>
              <w:rPr>
                <w:rFonts w:hint="eastAsia" w:ascii="Times New Roman" w:hAnsi="Times New Roman" w:cs="Times New Roman"/>
                <w:color w:val="auto"/>
                <w:sz w:val="24"/>
                <w:szCs w:val="24"/>
                <w:lang w:val="en-US" w:eastAsia="zh-CN"/>
              </w:rPr>
              <w:t>0001</w:t>
            </w:r>
            <w:r>
              <w:rPr>
                <w:rFonts w:hint="default" w:ascii="Times New Roman" w:hAnsi="Times New Roman" w:cs="Times New Roman"/>
                <w:color w:val="auto"/>
                <w:sz w:val="24"/>
                <w:szCs w:val="24"/>
              </w:rPr>
              <w:t>-20</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）（用水系数：</w:t>
            </w:r>
            <w:r>
              <w:rPr>
                <w:rFonts w:hint="eastAsia"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rPr>
              <w:t>L/人</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有</w:t>
            </w:r>
            <w:r>
              <w:rPr>
                <w:rFonts w:hint="default" w:ascii="Times New Roman" w:hAnsi="Times New Roman" w:cs="Times New Roman"/>
                <w:color w:val="auto"/>
                <w:sz w:val="24"/>
                <w:szCs w:val="24"/>
                <w:lang w:eastAsia="zh-CN"/>
              </w:rPr>
              <w:t>食堂</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highlight w:val="none"/>
              </w:rPr>
              <w:t>，职工生活用水按</w:t>
            </w:r>
            <w:r>
              <w:rPr>
                <w:rFonts w:hint="eastAsia" w:ascii="Times New Roman" w:hAnsi="Times New Roman" w:cs="Times New Roman"/>
                <w:color w:val="auto"/>
                <w:sz w:val="24"/>
                <w:szCs w:val="24"/>
                <w:highlight w:val="none"/>
                <w:lang w:val="en-US" w:eastAsia="zh-CN"/>
              </w:rPr>
              <w:t>90</w:t>
            </w:r>
            <w:r>
              <w:rPr>
                <w:rFonts w:hint="default" w:ascii="Times New Roman" w:hAnsi="Times New Roman" w:cs="Times New Roman"/>
                <w:color w:val="auto"/>
                <w:sz w:val="24"/>
                <w:szCs w:val="24"/>
                <w:highlight w:val="none"/>
              </w:rPr>
              <w:t>L/人</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d计。项目员工总数为</w:t>
            </w:r>
            <w:r>
              <w:rPr>
                <w:rFonts w:hint="eastAsia" w:ascii="Times New Roman" w:hAnsi="Times New Roman" w:cs="Times New Roman"/>
                <w:color w:val="auto"/>
                <w:sz w:val="24"/>
                <w:szCs w:val="24"/>
                <w:highlight w:val="none"/>
                <w:lang w:val="en-US" w:eastAsia="zh-CN"/>
              </w:rPr>
              <w:t>50</w:t>
            </w:r>
            <w:r>
              <w:rPr>
                <w:rFonts w:hint="default" w:ascii="Times New Roman" w:hAnsi="Times New Roman" w:cs="Times New Roman"/>
                <w:color w:val="auto"/>
                <w:sz w:val="24"/>
                <w:szCs w:val="24"/>
                <w:highlight w:val="none"/>
              </w:rPr>
              <w:t>人，年工作300天，则项目用水量为</w:t>
            </w:r>
            <w:r>
              <w:rPr>
                <w:rFonts w:hint="eastAsia" w:ascii="Times New Roman" w:hAnsi="Times New Roman" w:cs="Times New Roman"/>
                <w:color w:val="auto"/>
                <w:sz w:val="24"/>
                <w:szCs w:val="24"/>
                <w:highlight w:val="none"/>
                <w:lang w:val="en-US" w:eastAsia="zh-CN"/>
              </w:rPr>
              <w:t>4.5</w:t>
            </w:r>
            <w:r>
              <w:rPr>
                <w:rFonts w:hint="default" w:ascii="Times New Roman" w:hAnsi="Times New Roman" w:cs="Times New Roman"/>
                <w:color w:val="auto"/>
                <w:sz w:val="24"/>
                <w:szCs w:val="24"/>
                <w:highlight w:val="none"/>
              </w:rPr>
              <w:t>t/d，</w:t>
            </w:r>
            <w:r>
              <w:rPr>
                <w:rFonts w:hint="eastAsia" w:ascii="Times New Roman" w:hAnsi="Times New Roman" w:cs="Times New Roman"/>
                <w:color w:val="auto"/>
                <w:sz w:val="24"/>
                <w:szCs w:val="24"/>
                <w:highlight w:val="none"/>
                <w:lang w:val="en-US" w:eastAsia="zh-CN"/>
              </w:rPr>
              <w:t>1350</w:t>
            </w:r>
            <w:r>
              <w:rPr>
                <w:rFonts w:hint="default" w:ascii="Times New Roman" w:hAnsi="Times New Roman" w:cs="Times New Roman"/>
                <w:color w:val="auto"/>
                <w:sz w:val="24"/>
                <w:szCs w:val="24"/>
                <w:highlight w:val="none"/>
              </w:rPr>
              <w:t>t/a。废水产生量按照用水量的80%计算，则产生的生活污水量为</w:t>
            </w:r>
            <w:r>
              <w:rPr>
                <w:rFonts w:hint="eastAsia" w:ascii="Times New Roman" w:hAnsi="Times New Roman" w:cs="Times New Roman"/>
                <w:color w:val="auto"/>
                <w:sz w:val="24"/>
                <w:szCs w:val="24"/>
                <w:highlight w:val="none"/>
                <w:lang w:val="en-US" w:eastAsia="zh-CN"/>
              </w:rPr>
              <w:t>3.6</w:t>
            </w:r>
            <w:r>
              <w:rPr>
                <w:rFonts w:hint="default" w:ascii="Times New Roman" w:hAnsi="Times New Roman" w:cs="Times New Roman"/>
                <w:color w:val="auto"/>
                <w:sz w:val="24"/>
                <w:szCs w:val="24"/>
                <w:highlight w:val="none"/>
              </w:rPr>
              <w:t>t/d，</w:t>
            </w:r>
            <w:r>
              <w:rPr>
                <w:rFonts w:hint="eastAsia" w:ascii="Times New Roman" w:hAnsi="Times New Roman" w:cs="Times New Roman"/>
                <w:color w:val="auto"/>
                <w:sz w:val="24"/>
                <w:szCs w:val="24"/>
                <w:highlight w:val="none"/>
                <w:lang w:val="en-US" w:eastAsia="zh-CN"/>
              </w:rPr>
              <w:t>1080</w:t>
            </w:r>
            <w:r>
              <w:rPr>
                <w:rFonts w:hint="default" w:ascii="Times New Roman" w:hAnsi="Times New Roman" w:cs="Times New Roman"/>
                <w:color w:val="auto"/>
                <w:sz w:val="24"/>
                <w:szCs w:val="24"/>
                <w:highlight w:val="none"/>
              </w:rPr>
              <w:t>t/a。污水主要污染物因子为COD、NH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-N、SS、BOD</w:t>
            </w:r>
            <w:r>
              <w:rPr>
                <w:rFonts w:hint="default" w:ascii="Times New Roman" w:hAnsi="Times New Roman" w:cs="Times New Roman"/>
                <w:color w:val="auto"/>
                <w:sz w:val="24"/>
                <w:szCs w:val="24"/>
                <w:highlight w:val="none"/>
                <w:vertAlign w:val="subscript"/>
              </w:rPr>
              <w:t>5</w:t>
            </w:r>
            <w:r>
              <w:rPr>
                <w:rFonts w:hint="eastAsia" w:ascii="Times New Roman" w:hAnsi="Times New Roman" w:cs="Times New Roman"/>
                <w:color w:val="auto"/>
                <w:sz w:val="24"/>
                <w:szCs w:val="24"/>
                <w:highlight w:val="none"/>
                <w:lang w:eastAsia="zh-CN"/>
              </w:rPr>
              <w:t>、动植物油。</w:t>
            </w:r>
            <w:r>
              <w:rPr>
                <w:rFonts w:hint="default" w:ascii="Times New Roman" w:hAnsi="Times New Roman" w:cs="Times New Roman"/>
                <w:b/>
                <w:bCs/>
                <w:color w:val="auto"/>
                <w:sz w:val="24"/>
                <w:szCs w:val="24"/>
                <w:highlight w:val="none"/>
                <w:lang w:eastAsia="zh-CN"/>
              </w:rPr>
              <w:t>参考</w:t>
            </w:r>
            <w:r>
              <w:rPr>
                <w:rFonts w:hint="default" w:ascii="Times New Roman" w:hAnsi="Times New Roman" w:cs="Times New Roman"/>
                <w:color w:val="auto"/>
                <w:sz w:val="24"/>
                <w:szCs w:val="24"/>
                <w:highlight w:val="none"/>
                <w:lang w:eastAsia="zh-CN"/>
              </w:rPr>
              <w:t>中国建筑工业出版社《给水排水设计手册（第</w:t>
            </w:r>
            <w:r>
              <w:rPr>
                <w:rFonts w:hint="default" w:ascii="Times New Roman" w:hAnsi="Times New Roman" w:cs="Times New Roman"/>
                <w:color w:val="auto"/>
                <w:sz w:val="24"/>
                <w:szCs w:val="24"/>
                <w:highlight w:val="none"/>
                <w:lang w:val="en-US" w:eastAsia="zh-CN"/>
              </w:rPr>
              <w:t>5侧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——城镇排水</w:t>
            </w:r>
            <w:r>
              <w:rPr>
                <w:rFonts w:hint="default" w:ascii="Times New Roman" w:hAnsi="Times New Roman" w:cs="Times New Roman"/>
                <w:color w:val="auto"/>
                <w:sz w:val="24"/>
                <w:szCs w:val="24"/>
                <w:highlight w:val="none"/>
                <w:lang w:eastAsia="zh-CN"/>
              </w:rPr>
              <w:t>》（第二版）数据资料，拟建项目生活污水污染物浓度按中度浓度考虑，即</w:t>
            </w:r>
            <w:r>
              <w:rPr>
                <w:rFonts w:hint="default" w:ascii="Times New Roman" w:hAnsi="Times New Roman" w:cs="Times New Roman"/>
                <w:color w:val="auto"/>
                <w:sz w:val="24"/>
                <w:szCs w:val="24"/>
                <w:highlight w:val="none"/>
              </w:rPr>
              <w:t>COD：</w:t>
            </w:r>
            <w:r>
              <w:rPr>
                <w:rFonts w:hint="default" w:ascii="Times New Roman" w:hAnsi="Times New Roman" w:cs="Times New Roman"/>
                <w:color w:val="auto"/>
                <w:sz w:val="24"/>
                <w:szCs w:val="24"/>
                <w:highlight w:val="none"/>
                <w:lang w:val="en-US" w:eastAsia="zh-CN"/>
              </w:rPr>
              <w:t>300</w:t>
            </w:r>
            <w:r>
              <w:rPr>
                <w:rFonts w:hint="default" w:ascii="Times New Roman" w:hAnsi="Times New Roman" w:cs="Times New Roman"/>
                <w:color w:val="auto"/>
                <w:sz w:val="24"/>
                <w:szCs w:val="24"/>
                <w:highlight w:val="none"/>
              </w:rPr>
              <w:t>mg/L，NH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w:t>
            </w:r>
            <w:r>
              <w:rPr>
                <w:rFonts w:hint="eastAsia"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rPr>
              <w:t>mg/L，SS：200mg/L，BOD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150</w:t>
            </w:r>
            <w:r>
              <w:rPr>
                <w:rFonts w:hint="default" w:ascii="Times New Roman" w:hAnsi="Times New Roman" w:cs="Times New Roman"/>
                <w:color w:val="auto"/>
                <w:sz w:val="24"/>
                <w:szCs w:val="24"/>
                <w:highlight w:val="none"/>
              </w:rPr>
              <w:t>mg/L</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lang w:eastAsia="zh-CN"/>
              </w:rPr>
              <w:t>动植物油：</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mg/L。</w:t>
            </w:r>
          </w:p>
          <w:p>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eastAsia" w:cs="Times New Roman"/>
                <w:color w:val="auto"/>
                <w:sz w:val="24"/>
                <w:szCs w:val="24"/>
                <w:lang w:eastAsia="zh-CN"/>
              </w:rPr>
              <w:t>绿化</w:t>
            </w:r>
            <w:r>
              <w:rPr>
                <w:rFonts w:hint="default" w:ascii="Times New Roman" w:hAnsi="Times New Roman" w:cs="Times New Roman"/>
                <w:color w:val="auto"/>
                <w:sz w:val="24"/>
                <w:szCs w:val="24"/>
              </w:rPr>
              <w:t>用水</w:t>
            </w:r>
          </w:p>
          <w:p>
            <w:pPr>
              <w:pStyle w:val="45"/>
              <w:spacing w:line="360" w:lineRule="auto"/>
              <w:ind w:firstLineChars="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本项目绿化用地</w:t>
            </w:r>
            <w:r>
              <w:rPr>
                <w:rFonts w:hint="default" w:ascii="Times New Roman" w:hAnsi="Times New Roman" w:eastAsia="宋体" w:cs="Times New Roman"/>
                <w:color w:val="auto"/>
                <w:sz w:val="24"/>
                <w:szCs w:val="24"/>
              </w:rPr>
              <w:t>面积为</w:t>
            </w:r>
            <w:r>
              <w:rPr>
                <w:rFonts w:hint="eastAsia" w:ascii="Times New Roman" w:hAnsi="Times New Roman" w:cs="Times New Roman"/>
                <w:color w:val="auto"/>
                <w:sz w:val="24"/>
                <w:szCs w:val="24"/>
                <w:lang w:val="en-US" w:eastAsia="zh-CN"/>
              </w:rPr>
              <w:t>2604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，根据</w:t>
            </w:r>
            <w:r>
              <w:rPr>
                <w:rFonts w:hint="eastAsia" w:ascii="宋体" w:hAnsi="宋体" w:eastAsia="宋体" w:cs="宋体"/>
                <w:color w:val="auto"/>
                <w:sz w:val="24"/>
                <w:szCs w:val="24"/>
              </w:rPr>
              <w:t>《宿州市城市行业用水定额》（</w:t>
            </w:r>
            <w:r>
              <w:rPr>
                <w:rFonts w:hint="default" w:ascii="Times New Roman" w:hAnsi="Times New Roman" w:cs="Times New Roman"/>
                <w:color w:val="auto"/>
                <w:sz w:val="24"/>
                <w:szCs w:val="24"/>
              </w:rPr>
              <w:t>DB34</w:t>
            </w:r>
            <w:r>
              <w:rPr>
                <w:rFonts w:hint="eastAsia"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/T</w:t>
            </w:r>
            <w:r>
              <w:rPr>
                <w:rFonts w:hint="eastAsia" w:ascii="Times New Roman" w:hAnsi="Times New Roman" w:cs="Times New Roman"/>
                <w:color w:val="auto"/>
                <w:sz w:val="24"/>
                <w:szCs w:val="24"/>
                <w:lang w:val="en-US" w:eastAsia="zh-CN"/>
              </w:rPr>
              <w:t>0001</w:t>
            </w:r>
            <w:r>
              <w:rPr>
                <w:rFonts w:hint="default" w:ascii="Times New Roman" w:hAnsi="Times New Roman" w:cs="Times New Roman"/>
                <w:color w:val="auto"/>
                <w:sz w:val="24"/>
                <w:szCs w:val="24"/>
              </w:rPr>
              <w:t>-20</w:t>
            </w:r>
            <w:r>
              <w:rPr>
                <w:rFonts w:hint="eastAsia" w:ascii="Times New Roman" w:hAnsi="Times New Roman" w:cs="Times New Roman"/>
                <w:color w:val="auto"/>
                <w:sz w:val="24"/>
                <w:szCs w:val="24"/>
                <w:lang w:val="en-US" w:eastAsia="zh-CN"/>
              </w:rPr>
              <w:t>20</w:t>
            </w:r>
            <w:r>
              <w:rPr>
                <w:rFonts w:hint="eastAsia" w:ascii="宋体" w:hAnsi="宋体" w:eastAsia="宋体" w:cs="宋体"/>
                <w:color w:val="auto"/>
                <w:sz w:val="24"/>
                <w:szCs w:val="24"/>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绿地绿化用水定额为</w:t>
            </w:r>
            <w:r>
              <w:rPr>
                <w:rFonts w:hint="eastAsia" w:ascii="Times New Roman" w:hAnsi="Times New Roman" w:eastAsia="宋体" w:cs="Times New Roman"/>
                <w:color w:val="auto"/>
                <w:sz w:val="24"/>
                <w:szCs w:val="24"/>
                <w:lang w:val="en-US" w:eastAsia="zh-CN"/>
              </w:rPr>
              <w:t>800L</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，则绿地绿化用水量为</w:t>
            </w:r>
            <w:r>
              <w:rPr>
                <w:rFonts w:hint="eastAsia" w:ascii="Times New Roman" w:hAnsi="Times New Roman" w:eastAsia="宋体" w:cs="Times New Roman"/>
                <w:color w:val="auto"/>
                <w:sz w:val="24"/>
                <w:szCs w:val="24"/>
                <w:lang w:val="en-US" w:eastAsia="zh-CN"/>
              </w:rPr>
              <w:t>2083.2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6.944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Cs w:val="24"/>
              </w:rPr>
              <w:t>此部分水挥发或进入土壤。</w:t>
            </w:r>
          </w:p>
          <w:p>
            <w:pPr>
              <w:pStyle w:val="45"/>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③冷却用水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val="en-US" w:eastAsia="zh-CN"/>
              </w:rPr>
              <w:t>项目注塑工序产品需要过水冷却定型，</w:t>
            </w:r>
            <w:r>
              <w:rPr>
                <w:rFonts w:hint="eastAsia" w:ascii="Times New Roman" w:hAnsi="Times New Roman" w:eastAsia="宋体" w:cs="Times New Roman"/>
                <w:color w:val="auto"/>
                <w:sz w:val="24"/>
                <w:szCs w:val="24"/>
                <w:lang w:val="en-US" w:eastAsia="zh-CN"/>
              </w:rPr>
              <w:t>注塑机配套的</w:t>
            </w:r>
            <w:r>
              <w:rPr>
                <w:rFonts w:hint="default" w:ascii="Times New Roman" w:hAnsi="Times New Roman" w:cs="Times New Roman"/>
                <w:color w:val="auto"/>
                <w:sz w:val="24"/>
              </w:rPr>
              <w:t>冷却水池循环量为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损耗量按循环量的</w:t>
            </w:r>
            <w:r>
              <w:rPr>
                <w:rFonts w:hint="eastAsia" w:ascii="Times New Roman" w:hAnsi="Times New Roman" w:cs="Times New Roman"/>
                <w:color w:val="auto"/>
                <w:sz w:val="24"/>
                <w:lang w:val="en-US" w:eastAsia="zh-CN"/>
              </w:rPr>
              <w:t>10%计，则</w:t>
            </w:r>
            <w:r>
              <w:rPr>
                <w:rFonts w:hint="default" w:ascii="Times New Roman" w:hAnsi="Times New Roman" w:cs="Times New Roman"/>
                <w:color w:val="auto"/>
                <w:sz w:val="24"/>
              </w:rPr>
              <w:t>损耗量为0.</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t/d</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0t/a，定期补充不外排。</w:t>
            </w:r>
          </w:p>
          <w:p>
            <w:pPr>
              <w:pStyle w:val="45"/>
              <w:spacing w:line="360" w:lineRule="auto"/>
              <w:rPr>
                <w:rFonts w:hint="default" w:ascii="Times New Roman" w:hAnsi="Times New Roman" w:cs="Times New Roman"/>
                <w:color w:val="auto"/>
                <w:sz w:val="24"/>
                <w:szCs w:val="24"/>
                <w:lang w:val="en-US" w:eastAsia="zh-CN"/>
              </w:rPr>
            </w:pPr>
            <w:r>
              <w:rPr>
                <w:rFonts w:hint="eastAsia" w:ascii="宋体" w:hAnsi="宋体" w:eastAsia="宋体" w:cs="宋体"/>
                <w:color w:val="auto"/>
                <w:sz w:val="24"/>
                <w:szCs w:val="24"/>
                <w:lang w:val="en-US" w:eastAsia="zh-CN"/>
              </w:rPr>
              <w:t>运营期水平衡图见图</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val="en-US" w:eastAsia="zh-CN"/>
              </w:rPr>
              <w:t>。</w:t>
            </w:r>
          </w:p>
          <w:p>
            <w:pPr>
              <w:pStyle w:val="45"/>
              <w:spacing w:line="360" w:lineRule="auto"/>
              <w:ind w:left="0" w:leftChars="0" w:firstLine="0" w:firstLineChars="0"/>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object>
                <v:shape id="_x0000_i1036" o:spt="75" type="#_x0000_t75" style="height:211pt;width:430.4pt;" o:ole="t" filled="f" o:preferrelative="t" stroked="f" coordsize="21600,21600">
                  <v:path/>
                  <v:fill on="f" focussize="0,0"/>
                  <v:stroke on="f"/>
                  <v:imagedata r:id="rId33" o:title=""/>
                  <o:lock v:ext="edit" aspectratio="t"/>
                  <w10:wrap type="none"/>
                  <w10:anchorlock/>
                </v:shape>
                <o:OLEObject Type="Embed" ProgID="RFFlow4" ShapeID="_x0000_i1036" DrawAspect="Content" ObjectID="_1468075736" r:id="rId32">
                  <o:LockedField>false</o:LockedField>
                </o:OLEObject>
              </w:object>
            </w:r>
          </w:p>
          <w:p>
            <w:pPr>
              <w:pStyle w:val="45"/>
              <w:spacing w:line="36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图4.</w:t>
            </w:r>
            <w:r>
              <w:rPr>
                <w:rFonts w:hint="eastAsia"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lang w:val="en-US" w:eastAsia="zh-CN"/>
              </w:rPr>
              <w:t xml:space="preserve">  运营期水平衡图  单位：t/</w:t>
            </w:r>
            <w:r>
              <w:rPr>
                <w:rFonts w:hint="eastAsia" w:ascii="Times New Roman" w:hAnsi="Times New Roman" w:eastAsia="宋体" w:cs="Times New Roman"/>
                <w:b/>
                <w:bCs/>
                <w:color w:val="auto"/>
                <w:sz w:val="24"/>
                <w:szCs w:val="24"/>
                <w:lang w:val="en-US" w:eastAsia="zh-CN"/>
              </w:rPr>
              <w:t>d</w:t>
            </w:r>
          </w:p>
          <w:p>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项目排水实行雨污分流制，雨水经厂区雨水管网收集后排入</w:t>
            </w:r>
            <w:r>
              <w:rPr>
                <w:rFonts w:hint="eastAsia" w:ascii="Times New Roman" w:hAnsi="Times New Roman" w:cs="Times New Roman"/>
                <w:color w:val="auto"/>
                <w:sz w:val="24"/>
                <w:szCs w:val="24"/>
                <w:vertAlign w:val="baseline"/>
                <w:lang w:val="en-US" w:eastAsia="zh-CN"/>
              </w:rPr>
              <w:t>安徽萧县经济开发区白土镇智能制造产业园</w:t>
            </w:r>
            <w:r>
              <w:rPr>
                <w:rFonts w:hint="default" w:ascii="Times New Roman" w:hAnsi="Times New Roman" w:cs="Times New Roman"/>
                <w:color w:val="auto"/>
                <w:sz w:val="24"/>
                <w:szCs w:val="24"/>
              </w:rPr>
              <w:t>市政雨水管网。</w:t>
            </w:r>
            <w:r>
              <w:rPr>
                <w:rFonts w:hint="default" w:ascii="Times New Roman" w:hAnsi="Times New Roman" w:cs="Times New Roman"/>
                <w:color w:val="auto"/>
                <w:sz w:val="24"/>
                <w:szCs w:val="24"/>
                <w:lang w:eastAsia="zh-CN"/>
              </w:rPr>
              <w:t>项目</w:t>
            </w:r>
            <w:r>
              <w:rPr>
                <w:rFonts w:hint="eastAsia" w:ascii="Times New Roman" w:hAnsi="Times New Roman" w:cs="Times New Roman"/>
                <w:color w:val="auto"/>
                <w:sz w:val="24"/>
                <w:szCs w:val="24"/>
                <w:lang w:eastAsia="zh-CN"/>
              </w:rPr>
              <w:t>运营期无生产性废水产生及排放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生活污水经厂区</w:t>
            </w:r>
            <w:r>
              <w:rPr>
                <w:rFonts w:hint="default" w:ascii="Times New Roman" w:hAnsi="Times New Roman" w:cs="Times New Roman"/>
                <w:color w:val="auto"/>
                <w:sz w:val="24"/>
                <w:szCs w:val="24"/>
                <w:lang w:eastAsia="zh-CN"/>
              </w:rPr>
              <w:t>自建</w:t>
            </w:r>
            <w:r>
              <w:rPr>
                <w:rFonts w:hint="eastAsia" w:ascii="Times New Roman" w:hAnsi="Times New Roman" w:cs="Times New Roman"/>
                <w:color w:val="auto"/>
                <w:sz w:val="24"/>
                <w:szCs w:val="24"/>
                <w:lang w:eastAsia="zh-CN"/>
              </w:rPr>
              <w:t>“隔油池</w:t>
            </w:r>
            <w:r>
              <w:rPr>
                <w:rFonts w:hint="eastAsia" w:ascii="Times New Roman" w:hAnsi="Times New Roman" w:cs="Times New Roman"/>
                <w:color w:val="auto"/>
                <w:sz w:val="24"/>
                <w:szCs w:val="24"/>
                <w:lang w:val="en-US" w:eastAsia="zh-CN"/>
              </w:rPr>
              <w:t>+化粪池</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预</w:t>
            </w:r>
            <w:r>
              <w:rPr>
                <w:rFonts w:hint="default" w:ascii="Times New Roman" w:hAnsi="Times New Roman" w:cs="Times New Roman"/>
                <w:color w:val="auto"/>
                <w:sz w:val="24"/>
                <w:szCs w:val="24"/>
              </w:rPr>
              <w:t>处理达《污水综合排放标准》（GB8978-1996）表4中三级标准及</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rPr>
              <w:t>接管</w:t>
            </w:r>
            <w:r>
              <w:rPr>
                <w:rFonts w:hint="eastAsia" w:ascii="Times New Roman" w:hAnsi="Times New Roman" w:cs="Times New Roman"/>
                <w:color w:val="auto"/>
                <w:sz w:val="24"/>
                <w:szCs w:val="24"/>
                <w:lang w:eastAsia="zh-CN"/>
              </w:rPr>
              <w:t>限值后</w:t>
            </w:r>
            <w:r>
              <w:rPr>
                <w:rFonts w:hint="default" w:ascii="Times New Roman" w:hAnsi="Times New Roman" w:cs="Times New Roman"/>
                <w:color w:val="auto"/>
                <w:sz w:val="24"/>
                <w:szCs w:val="24"/>
              </w:rPr>
              <w:t>排入</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rPr>
              <w:t>处理达《城镇污水处理厂污染物排放标准》（GB18918-2002）表1中一级</w:t>
            </w:r>
            <w:r>
              <w:rPr>
                <w:rFonts w:hint="default" w:ascii="Times New Roman" w:hAnsi="Times New Roman" w:cs="Times New Roman"/>
                <w:color w:val="auto"/>
                <w:sz w:val="24"/>
                <w:szCs w:val="24"/>
                <w:lang w:eastAsia="zh-CN"/>
              </w:rPr>
              <w:t>标准</w:t>
            </w:r>
            <w:r>
              <w:rPr>
                <w:rFonts w:hint="default" w:ascii="Times New Roman" w:hAnsi="Times New Roman" w:cs="Times New Roman"/>
                <w:color w:val="auto"/>
                <w:sz w:val="24"/>
                <w:szCs w:val="24"/>
              </w:rPr>
              <w:t>A标准后排入</w:t>
            </w:r>
            <w:r>
              <w:rPr>
                <w:rFonts w:hint="eastAsia" w:ascii="Times New Roman" w:hAnsi="Times New Roman" w:cs="Times New Roman"/>
                <w:color w:val="auto"/>
                <w:sz w:val="24"/>
                <w:szCs w:val="24"/>
                <w:lang w:eastAsia="zh-CN"/>
              </w:rPr>
              <w:t>倒流河</w:t>
            </w:r>
            <w:r>
              <w:rPr>
                <w:rFonts w:hint="default" w:ascii="Times New Roman" w:hAnsi="Times New Roman" w:cs="Times New Roman"/>
                <w:color w:val="auto"/>
                <w:sz w:val="24"/>
                <w:szCs w:val="24"/>
              </w:rPr>
              <w:t>。</w:t>
            </w:r>
          </w:p>
          <w:p>
            <w:pPr>
              <w:autoSpaceDE w:val="0"/>
              <w:autoSpaceDN w:val="0"/>
              <w:adjustRightIn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（1）废水</w:t>
            </w:r>
            <w:r>
              <w:rPr>
                <w:rFonts w:ascii="Times New Roman" w:hAnsi="Times New Roman" w:cs="Times New Roman"/>
                <w:color w:val="auto"/>
                <w:sz w:val="24"/>
                <w:lang w:val="zh-CN"/>
              </w:rPr>
              <w:t>达标排放可行性</w:t>
            </w:r>
          </w:p>
          <w:p>
            <w:pPr>
              <w:pStyle w:val="29"/>
              <w:spacing w:line="360" w:lineRule="auto"/>
              <w:ind w:firstLine="480" w:firstLineChars="200"/>
              <w:rPr>
                <w:color w:val="auto"/>
              </w:rPr>
            </w:pPr>
            <w:r>
              <w:rPr>
                <w:color w:val="auto"/>
              </w:rPr>
              <w:t>建设项目运营期废水产生及排放情况一览表见表4.</w:t>
            </w:r>
            <w:r>
              <w:rPr>
                <w:rFonts w:hint="eastAsia"/>
                <w:color w:val="auto"/>
                <w:lang w:val="en-US" w:eastAsia="zh-CN"/>
              </w:rPr>
              <w:t>25</w:t>
            </w:r>
            <w:r>
              <w:rPr>
                <w:color w:val="auto"/>
              </w:rPr>
              <w:t>。</w:t>
            </w:r>
          </w:p>
          <w:p>
            <w:pPr>
              <w:pStyle w:val="29"/>
              <w:jc w:val="center"/>
              <w:rPr>
                <w:rFonts w:hint="eastAsia" w:eastAsia="宋体"/>
                <w:b/>
                <w:bCs/>
                <w:color w:val="auto"/>
                <w:lang w:eastAsia="zh-CN"/>
              </w:rPr>
            </w:pPr>
            <w:r>
              <w:rPr>
                <w:b/>
                <w:bCs/>
                <w:color w:val="auto"/>
              </w:rPr>
              <w:t>表4.</w:t>
            </w:r>
            <w:r>
              <w:rPr>
                <w:rFonts w:hint="eastAsia"/>
                <w:b/>
                <w:bCs/>
                <w:color w:val="auto"/>
                <w:lang w:val="en-US" w:eastAsia="zh-CN"/>
              </w:rPr>
              <w:t>25</w:t>
            </w:r>
            <w:r>
              <w:rPr>
                <w:b/>
                <w:bCs/>
                <w:color w:val="auto"/>
              </w:rPr>
              <w:t xml:space="preserve">  运营期废水产生及排放情况一览表</w:t>
            </w:r>
          </w:p>
          <w:tbl>
            <w:tblPr>
              <w:tblStyle w:val="2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535"/>
              <w:gridCol w:w="1168"/>
              <w:gridCol w:w="1168"/>
              <w:gridCol w:w="1168"/>
              <w:gridCol w:w="1169"/>
              <w:gridCol w:w="1169"/>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6" w:type="dxa"/>
                  <w:gridSpan w:val="2"/>
                  <w:vAlign w:val="center"/>
                </w:tcPr>
                <w:p>
                  <w:pPr>
                    <w:pStyle w:val="29"/>
                    <w:jc w:val="center"/>
                    <w:rPr>
                      <w:color w:val="auto"/>
                      <w:sz w:val="21"/>
                      <w:szCs w:val="21"/>
                    </w:rPr>
                  </w:pPr>
                  <w:r>
                    <w:rPr>
                      <w:color w:val="auto"/>
                      <w:sz w:val="21"/>
                      <w:szCs w:val="21"/>
                    </w:rPr>
                    <w:t>废水种类</w:t>
                  </w:r>
                </w:p>
              </w:tc>
              <w:tc>
                <w:tcPr>
                  <w:tcW w:w="1328" w:type="dxa"/>
                  <w:vAlign w:val="center"/>
                </w:tcPr>
                <w:p>
                  <w:pPr>
                    <w:pStyle w:val="29"/>
                    <w:jc w:val="center"/>
                    <w:rPr>
                      <w:color w:val="auto"/>
                      <w:sz w:val="21"/>
                      <w:szCs w:val="21"/>
                    </w:rPr>
                  </w:pPr>
                  <w:r>
                    <w:rPr>
                      <w:color w:val="auto"/>
                      <w:sz w:val="21"/>
                      <w:szCs w:val="21"/>
                    </w:rPr>
                    <w:t>废水量t/a</w:t>
                  </w:r>
                </w:p>
              </w:tc>
              <w:tc>
                <w:tcPr>
                  <w:tcW w:w="1328" w:type="dxa"/>
                  <w:vAlign w:val="center"/>
                </w:tcPr>
                <w:p>
                  <w:pPr>
                    <w:pStyle w:val="29"/>
                    <w:jc w:val="center"/>
                    <w:rPr>
                      <w:color w:val="auto"/>
                      <w:sz w:val="21"/>
                      <w:szCs w:val="21"/>
                    </w:rPr>
                  </w:pPr>
                  <w:r>
                    <w:rPr>
                      <w:color w:val="auto"/>
                      <w:sz w:val="21"/>
                      <w:szCs w:val="21"/>
                    </w:rPr>
                    <w:t>COD</w:t>
                  </w:r>
                </w:p>
              </w:tc>
              <w:tc>
                <w:tcPr>
                  <w:tcW w:w="1328" w:type="dxa"/>
                  <w:vAlign w:val="center"/>
                </w:tcPr>
                <w:p>
                  <w:pPr>
                    <w:pStyle w:val="29"/>
                    <w:jc w:val="center"/>
                    <w:rPr>
                      <w:color w:val="auto"/>
                      <w:sz w:val="21"/>
                      <w:szCs w:val="21"/>
                    </w:rPr>
                  </w:pPr>
                  <w:r>
                    <w:rPr>
                      <w:color w:val="auto"/>
                      <w:sz w:val="21"/>
                      <w:szCs w:val="21"/>
                    </w:rPr>
                    <w:t>BOD</w:t>
                  </w:r>
                  <w:r>
                    <w:rPr>
                      <w:color w:val="auto"/>
                      <w:sz w:val="21"/>
                      <w:szCs w:val="21"/>
                      <w:vertAlign w:val="subscript"/>
                    </w:rPr>
                    <w:t>5</w:t>
                  </w:r>
                </w:p>
              </w:tc>
              <w:tc>
                <w:tcPr>
                  <w:tcW w:w="1329" w:type="dxa"/>
                  <w:vAlign w:val="center"/>
                </w:tcPr>
                <w:p>
                  <w:pPr>
                    <w:pStyle w:val="29"/>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1329" w:type="dxa"/>
                  <w:vAlign w:val="center"/>
                </w:tcPr>
                <w:p>
                  <w:pPr>
                    <w:pStyle w:val="29"/>
                    <w:jc w:val="center"/>
                    <w:rPr>
                      <w:color w:val="auto"/>
                      <w:sz w:val="21"/>
                      <w:szCs w:val="21"/>
                    </w:rPr>
                  </w:pPr>
                  <w:r>
                    <w:rPr>
                      <w:color w:val="auto"/>
                      <w:sz w:val="21"/>
                      <w:szCs w:val="21"/>
                    </w:rPr>
                    <w:t>SS</w:t>
                  </w:r>
                </w:p>
              </w:tc>
              <w:tc>
                <w:tcPr>
                  <w:tcW w:w="1329" w:type="dxa"/>
                  <w:vAlign w:val="center"/>
                </w:tcPr>
                <w:p>
                  <w:pPr>
                    <w:pStyle w:val="29"/>
                    <w:jc w:val="center"/>
                    <w:rPr>
                      <w:rFonts w:hint="eastAsia" w:eastAsia="宋体"/>
                      <w:color w:val="auto"/>
                      <w:sz w:val="21"/>
                      <w:szCs w:val="21"/>
                      <w:lang w:eastAsia="zh-CN"/>
                    </w:rPr>
                  </w:pPr>
                  <w:r>
                    <w:rPr>
                      <w:rFonts w:hint="eastAsia"/>
                      <w:color w:val="auto"/>
                      <w:sz w:val="21"/>
                      <w:szCs w:val="21"/>
                      <w:lang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vMerge w:val="restart"/>
                  <w:vAlign w:val="center"/>
                </w:tcPr>
                <w:p>
                  <w:pPr>
                    <w:pStyle w:val="29"/>
                    <w:jc w:val="center"/>
                    <w:rPr>
                      <w:color w:val="auto"/>
                      <w:sz w:val="21"/>
                      <w:szCs w:val="21"/>
                    </w:rPr>
                  </w:pPr>
                  <w:r>
                    <w:rPr>
                      <w:color w:val="auto"/>
                      <w:sz w:val="21"/>
                      <w:szCs w:val="21"/>
                    </w:rPr>
                    <w:t>生活污水</w:t>
                  </w:r>
                </w:p>
              </w:tc>
              <w:tc>
                <w:tcPr>
                  <w:tcW w:w="1757" w:type="dxa"/>
                  <w:vAlign w:val="center"/>
                </w:tcPr>
                <w:p>
                  <w:pPr>
                    <w:pStyle w:val="29"/>
                    <w:jc w:val="center"/>
                    <w:rPr>
                      <w:color w:val="auto"/>
                      <w:sz w:val="21"/>
                      <w:szCs w:val="21"/>
                    </w:rPr>
                  </w:pPr>
                  <w:r>
                    <w:rPr>
                      <w:color w:val="auto"/>
                      <w:sz w:val="21"/>
                      <w:szCs w:val="21"/>
                    </w:rPr>
                    <w:t>产生浓度mg/L</w:t>
                  </w:r>
                </w:p>
              </w:tc>
              <w:tc>
                <w:tcPr>
                  <w:tcW w:w="1328" w:type="dxa"/>
                  <w:vMerge w:val="restart"/>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1080</w:t>
                  </w:r>
                </w:p>
              </w:tc>
              <w:tc>
                <w:tcPr>
                  <w:tcW w:w="1328" w:type="dxa"/>
                  <w:vAlign w:val="center"/>
                </w:tcPr>
                <w:p>
                  <w:pPr>
                    <w:pStyle w:val="29"/>
                    <w:jc w:val="center"/>
                    <w:rPr>
                      <w:color w:val="auto"/>
                      <w:sz w:val="21"/>
                      <w:szCs w:val="21"/>
                    </w:rPr>
                  </w:pPr>
                  <w:r>
                    <w:rPr>
                      <w:color w:val="auto"/>
                      <w:sz w:val="21"/>
                      <w:szCs w:val="21"/>
                    </w:rPr>
                    <w:t>300</w:t>
                  </w:r>
                </w:p>
              </w:tc>
              <w:tc>
                <w:tcPr>
                  <w:tcW w:w="1328" w:type="dxa"/>
                  <w:vAlign w:val="center"/>
                </w:tcPr>
                <w:p>
                  <w:pPr>
                    <w:pStyle w:val="29"/>
                    <w:jc w:val="center"/>
                    <w:rPr>
                      <w:color w:val="auto"/>
                      <w:sz w:val="21"/>
                      <w:szCs w:val="21"/>
                    </w:rPr>
                  </w:pPr>
                  <w:r>
                    <w:rPr>
                      <w:color w:val="auto"/>
                      <w:sz w:val="21"/>
                      <w:szCs w:val="21"/>
                    </w:rPr>
                    <w:t>150</w:t>
                  </w:r>
                </w:p>
              </w:tc>
              <w:tc>
                <w:tcPr>
                  <w:tcW w:w="1329"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30</w:t>
                  </w:r>
                </w:p>
              </w:tc>
              <w:tc>
                <w:tcPr>
                  <w:tcW w:w="1329" w:type="dxa"/>
                  <w:vAlign w:val="center"/>
                </w:tcPr>
                <w:p>
                  <w:pPr>
                    <w:pStyle w:val="29"/>
                    <w:jc w:val="center"/>
                    <w:rPr>
                      <w:color w:val="auto"/>
                      <w:sz w:val="21"/>
                      <w:szCs w:val="21"/>
                    </w:rPr>
                  </w:pPr>
                  <w:r>
                    <w:rPr>
                      <w:color w:val="auto"/>
                      <w:sz w:val="21"/>
                      <w:szCs w:val="21"/>
                    </w:rPr>
                    <w:t>200</w:t>
                  </w:r>
                </w:p>
              </w:tc>
              <w:tc>
                <w:tcPr>
                  <w:tcW w:w="1329"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vMerge w:val="continue"/>
                  <w:vAlign w:val="center"/>
                </w:tcPr>
                <w:p>
                  <w:pPr>
                    <w:pStyle w:val="29"/>
                    <w:jc w:val="center"/>
                    <w:rPr>
                      <w:color w:val="auto"/>
                      <w:sz w:val="21"/>
                      <w:szCs w:val="21"/>
                    </w:rPr>
                  </w:pPr>
                </w:p>
              </w:tc>
              <w:tc>
                <w:tcPr>
                  <w:tcW w:w="1757" w:type="dxa"/>
                  <w:vAlign w:val="center"/>
                </w:tcPr>
                <w:p>
                  <w:pPr>
                    <w:pStyle w:val="29"/>
                    <w:jc w:val="center"/>
                    <w:rPr>
                      <w:color w:val="auto"/>
                      <w:sz w:val="21"/>
                      <w:szCs w:val="21"/>
                    </w:rPr>
                  </w:pPr>
                  <w:r>
                    <w:rPr>
                      <w:color w:val="auto"/>
                      <w:sz w:val="21"/>
                      <w:szCs w:val="21"/>
                    </w:rPr>
                    <w:t>产生量t/a</w:t>
                  </w:r>
                </w:p>
              </w:tc>
              <w:tc>
                <w:tcPr>
                  <w:tcW w:w="1328" w:type="dxa"/>
                  <w:vMerge w:val="continue"/>
                  <w:vAlign w:val="center"/>
                </w:tcPr>
                <w:p>
                  <w:pPr>
                    <w:pStyle w:val="29"/>
                    <w:jc w:val="center"/>
                    <w:rPr>
                      <w:color w:val="auto"/>
                      <w:sz w:val="21"/>
                      <w:szCs w:val="21"/>
                    </w:rPr>
                  </w:pPr>
                </w:p>
              </w:tc>
              <w:tc>
                <w:tcPr>
                  <w:tcW w:w="1328"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0.3240</w:t>
                  </w:r>
                </w:p>
              </w:tc>
              <w:tc>
                <w:tcPr>
                  <w:tcW w:w="1328"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0.1620</w:t>
                  </w:r>
                </w:p>
              </w:tc>
              <w:tc>
                <w:tcPr>
                  <w:tcW w:w="1329"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0.0324</w:t>
                  </w:r>
                </w:p>
              </w:tc>
              <w:tc>
                <w:tcPr>
                  <w:tcW w:w="1329"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0.2160</w:t>
                  </w:r>
                </w:p>
              </w:tc>
              <w:tc>
                <w:tcPr>
                  <w:tcW w:w="1329"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0.0540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6" w:type="dxa"/>
                  <w:gridSpan w:val="2"/>
                  <w:vAlign w:val="center"/>
                </w:tcPr>
                <w:p>
                  <w:pPr>
                    <w:pStyle w:val="29"/>
                    <w:jc w:val="center"/>
                    <w:rPr>
                      <w:color w:val="auto"/>
                      <w:sz w:val="21"/>
                      <w:szCs w:val="21"/>
                    </w:rPr>
                  </w:pPr>
                  <w:r>
                    <w:rPr>
                      <w:color w:val="auto"/>
                      <w:sz w:val="21"/>
                      <w:szCs w:val="21"/>
                    </w:rPr>
                    <w:t>生活污水处理效率%</w:t>
                  </w:r>
                </w:p>
              </w:tc>
              <w:tc>
                <w:tcPr>
                  <w:tcW w:w="1328" w:type="dxa"/>
                  <w:vAlign w:val="center"/>
                </w:tcPr>
                <w:p>
                  <w:pPr>
                    <w:pStyle w:val="29"/>
                    <w:jc w:val="center"/>
                    <w:rPr>
                      <w:color w:val="auto"/>
                      <w:sz w:val="21"/>
                      <w:szCs w:val="21"/>
                    </w:rPr>
                  </w:pPr>
                  <w:r>
                    <w:rPr>
                      <w:color w:val="auto"/>
                      <w:sz w:val="21"/>
                      <w:szCs w:val="21"/>
                    </w:rPr>
                    <w:t>--</w:t>
                  </w:r>
                </w:p>
              </w:tc>
              <w:tc>
                <w:tcPr>
                  <w:tcW w:w="1328" w:type="dxa"/>
                  <w:vAlign w:val="center"/>
                </w:tcPr>
                <w:p>
                  <w:pPr>
                    <w:pStyle w:val="29"/>
                    <w:jc w:val="center"/>
                    <w:rPr>
                      <w:color w:val="auto"/>
                      <w:sz w:val="21"/>
                      <w:szCs w:val="21"/>
                    </w:rPr>
                  </w:pPr>
                  <w:r>
                    <w:rPr>
                      <w:color w:val="auto"/>
                      <w:sz w:val="21"/>
                      <w:szCs w:val="21"/>
                    </w:rPr>
                    <w:t>15</w:t>
                  </w:r>
                </w:p>
              </w:tc>
              <w:tc>
                <w:tcPr>
                  <w:tcW w:w="1328" w:type="dxa"/>
                  <w:vAlign w:val="center"/>
                </w:tcPr>
                <w:p>
                  <w:pPr>
                    <w:pStyle w:val="29"/>
                    <w:jc w:val="center"/>
                    <w:rPr>
                      <w:color w:val="auto"/>
                      <w:sz w:val="21"/>
                      <w:szCs w:val="21"/>
                    </w:rPr>
                  </w:pPr>
                  <w:r>
                    <w:rPr>
                      <w:color w:val="auto"/>
                      <w:sz w:val="21"/>
                      <w:szCs w:val="21"/>
                    </w:rPr>
                    <w:t>20</w:t>
                  </w:r>
                </w:p>
              </w:tc>
              <w:tc>
                <w:tcPr>
                  <w:tcW w:w="1329" w:type="dxa"/>
                  <w:vAlign w:val="center"/>
                </w:tcPr>
                <w:p>
                  <w:pPr>
                    <w:pStyle w:val="29"/>
                    <w:jc w:val="center"/>
                    <w:rPr>
                      <w:color w:val="auto"/>
                      <w:sz w:val="21"/>
                      <w:szCs w:val="21"/>
                    </w:rPr>
                  </w:pPr>
                  <w:r>
                    <w:rPr>
                      <w:color w:val="auto"/>
                      <w:sz w:val="21"/>
                      <w:szCs w:val="21"/>
                    </w:rPr>
                    <w:t>5</w:t>
                  </w:r>
                </w:p>
              </w:tc>
              <w:tc>
                <w:tcPr>
                  <w:tcW w:w="1329" w:type="dxa"/>
                  <w:vAlign w:val="center"/>
                </w:tcPr>
                <w:p>
                  <w:pPr>
                    <w:pStyle w:val="29"/>
                    <w:jc w:val="center"/>
                    <w:rPr>
                      <w:color w:val="auto"/>
                      <w:sz w:val="21"/>
                      <w:szCs w:val="21"/>
                    </w:rPr>
                  </w:pPr>
                  <w:r>
                    <w:rPr>
                      <w:color w:val="auto"/>
                      <w:sz w:val="21"/>
                      <w:szCs w:val="21"/>
                    </w:rPr>
                    <w:t>30</w:t>
                  </w:r>
                </w:p>
              </w:tc>
              <w:tc>
                <w:tcPr>
                  <w:tcW w:w="1329"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9" w:type="dxa"/>
                  <w:vMerge w:val="restart"/>
                  <w:vAlign w:val="center"/>
                </w:tcPr>
                <w:p>
                  <w:pPr>
                    <w:pStyle w:val="29"/>
                    <w:jc w:val="center"/>
                    <w:rPr>
                      <w:color w:val="auto"/>
                      <w:sz w:val="21"/>
                      <w:szCs w:val="21"/>
                    </w:rPr>
                  </w:pPr>
                  <w:r>
                    <w:rPr>
                      <w:color w:val="auto"/>
                      <w:sz w:val="21"/>
                      <w:szCs w:val="21"/>
                    </w:rPr>
                    <w:t>生活污水处理后</w:t>
                  </w:r>
                </w:p>
              </w:tc>
              <w:tc>
                <w:tcPr>
                  <w:tcW w:w="1757" w:type="dxa"/>
                  <w:vAlign w:val="center"/>
                </w:tcPr>
                <w:p>
                  <w:pPr>
                    <w:pStyle w:val="29"/>
                    <w:jc w:val="center"/>
                    <w:rPr>
                      <w:color w:val="auto"/>
                      <w:sz w:val="21"/>
                      <w:szCs w:val="21"/>
                    </w:rPr>
                  </w:pPr>
                  <w:r>
                    <w:rPr>
                      <w:color w:val="auto"/>
                      <w:sz w:val="21"/>
                      <w:szCs w:val="21"/>
                    </w:rPr>
                    <w:t>污染物浓度mg/L</w:t>
                  </w:r>
                </w:p>
              </w:tc>
              <w:tc>
                <w:tcPr>
                  <w:tcW w:w="1328" w:type="dxa"/>
                  <w:vMerge w:val="restart"/>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1080</w:t>
                  </w:r>
                </w:p>
              </w:tc>
              <w:tc>
                <w:tcPr>
                  <w:tcW w:w="1328" w:type="dxa"/>
                  <w:vAlign w:val="center"/>
                </w:tcPr>
                <w:p>
                  <w:pPr>
                    <w:pStyle w:val="29"/>
                    <w:jc w:val="center"/>
                    <w:rPr>
                      <w:color w:val="auto"/>
                      <w:sz w:val="21"/>
                      <w:szCs w:val="21"/>
                    </w:rPr>
                  </w:pPr>
                  <w:r>
                    <w:rPr>
                      <w:color w:val="auto"/>
                      <w:sz w:val="21"/>
                      <w:szCs w:val="21"/>
                    </w:rPr>
                    <w:t>255</w:t>
                  </w:r>
                </w:p>
              </w:tc>
              <w:tc>
                <w:tcPr>
                  <w:tcW w:w="1328" w:type="dxa"/>
                  <w:vAlign w:val="center"/>
                </w:tcPr>
                <w:p>
                  <w:pPr>
                    <w:pStyle w:val="29"/>
                    <w:jc w:val="center"/>
                    <w:rPr>
                      <w:color w:val="auto"/>
                      <w:sz w:val="21"/>
                      <w:szCs w:val="21"/>
                    </w:rPr>
                  </w:pPr>
                  <w:r>
                    <w:rPr>
                      <w:color w:val="auto"/>
                      <w:sz w:val="21"/>
                      <w:szCs w:val="21"/>
                    </w:rPr>
                    <w:t>120</w:t>
                  </w:r>
                </w:p>
              </w:tc>
              <w:tc>
                <w:tcPr>
                  <w:tcW w:w="1329"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28.5</w:t>
                  </w:r>
                </w:p>
              </w:tc>
              <w:tc>
                <w:tcPr>
                  <w:tcW w:w="1329" w:type="dxa"/>
                  <w:vAlign w:val="center"/>
                </w:tcPr>
                <w:p>
                  <w:pPr>
                    <w:pStyle w:val="29"/>
                    <w:jc w:val="center"/>
                    <w:rPr>
                      <w:color w:val="auto"/>
                      <w:sz w:val="21"/>
                      <w:szCs w:val="21"/>
                    </w:rPr>
                  </w:pPr>
                  <w:r>
                    <w:rPr>
                      <w:color w:val="auto"/>
                      <w:sz w:val="21"/>
                      <w:szCs w:val="21"/>
                    </w:rPr>
                    <w:t>140</w:t>
                  </w:r>
                </w:p>
              </w:tc>
              <w:tc>
                <w:tcPr>
                  <w:tcW w:w="1329"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vMerge w:val="continue"/>
                  <w:vAlign w:val="center"/>
                </w:tcPr>
                <w:p>
                  <w:pPr>
                    <w:pStyle w:val="29"/>
                    <w:jc w:val="center"/>
                    <w:rPr>
                      <w:color w:val="auto"/>
                      <w:sz w:val="21"/>
                      <w:szCs w:val="21"/>
                    </w:rPr>
                  </w:pPr>
                </w:p>
              </w:tc>
              <w:tc>
                <w:tcPr>
                  <w:tcW w:w="1757" w:type="dxa"/>
                  <w:vAlign w:val="center"/>
                </w:tcPr>
                <w:p>
                  <w:pPr>
                    <w:pStyle w:val="29"/>
                    <w:jc w:val="center"/>
                    <w:rPr>
                      <w:color w:val="auto"/>
                      <w:sz w:val="21"/>
                      <w:szCs w:val="21"/>
                    </w:rPr>
                  </w:pPr>
                  <w:r>
                    <w:rPr>
                      <w:color w:val="auto"/>
                      <w:sz w:val="21"/>
                      <w:szCs w:val="21"/>
                    </w:rPr>
                    <w:t>污染物含量t/a</w:t>
                  </w:r>
                </w:p>
              </w:tc>
              <w:tc>
                <w:tcPr>
                  <w:tcW w:w="1328" w:type="dxa"/>
                  <w:vMerge w:val="continue"/>
                  <w:vAlign w:val="center"/>
                </w:tcPr>
                <w:p>
                  <w:pPr>
                    <w:pStyle w:val="29"/>
                    <w:jc w:val="center"/>
                    <w:rPr>
                      <w:color w:val="auto"/>
                      <w:sz w:val="21"/>
                      <w:szCs w:val="21"/>
                    </w:rPr>
                  </w:pPr>
                </w:p>
              </w:tc>
              <w:tc>
                <w:tcPr>
                  <w:tcW w:w="1328"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0.2754</w:t>
                  </w:r>
                </w:p>
              </w:tc>
              <w:tc>
                <w:tcPr>
                  <w:tcW w:w="1328"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0.1296</w:t>
                  </w:r>
                </w:p>
              </w:tc>
              <w:tc>
                <w:tcPr>
                  <w:tcW w:w="1329"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0.0308</w:t>
                  </w:r>
                </w:p>
              </w:tc>
              <w:tc>
                <w:tcPr>
                  <w:tcW w:w="1329"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0.1512</w:t>
                  </w:r>
                </w:p>
              </w:tc>
              <w:tc>
                <w:tcPr>
                  <w:tcW w:w="1329" w:type="dxa"/>
                  <w:vAlign w:val="center"/>
                </w:tcPr>
                <w:p>
                  <w:pPr>
                    <w:pStyle w:val="29"/>
                    <w:jc w:val="center"/>
                    <w:rPr>
                      <w:rFonts w:hint="default" w:eastAsia="宋体"/>
                      <w:color w:val="auto"/>
                      <w:sz w:val="21"/>
                      <w:szCs w:val="21"/>
                      <w:lang w:val="en-US" w:eastAsia="zh-CN"/>
                    </w:rPr>
                  </w:pPr>
                  <w:r>
                    <w:rPr>
                      <w:rFonts w:hint="eastAsia"/>
                      <w:color w:val="auto"/>
                      <w:sz w:val="21"/>
                      <w:szCs w:val="21"/>
                      <w:lang w:val="en-US" w:eastAsia="zh-CN"/>
                    </w:rPr>
                    <w:t>0.0270</w:t>
                  </w:r>
                </w:p>
              </w:tc>
            </w:tr>
          </w:tbl>
          <w:p>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rPr>
              <w:t>可知，项目生活污水</w:t>
            </w:r>
            <w:r>
              <w:rPr>
                <w:rFonts w:hint="eastAsia" w:ascii="Times New Roman" w:hAnsi="Times New Roman" w:cs="Times New Roman"/>
                <w:color w:val="auto"/>
                <w:sz w:val="24"/>
                <w:szCs w:val="24"/>
                <w:lang w:val="en-US" w:eastAsia="zh-CN"/>
              </w:rPr>
              <w:t>经厂区自建</w:t>
            </w:r>
            <w:r>
              <w:rPr>
                <w:rFonts w:hint="eastAsia" w:ascii="Times New Roman" w:hAnsi="Times New Roman" w:cs="Times New Roman"/>
                <w:color w:val="auto"/>
                <w:sz w:val="24"/>
                <w:szCs w:val="24"/>
                <w:vertAlign w:val="baseline"/>
                <w:lang w:val="en-US" w:eastAsia="zh-CN"/>
              </w:rPr>
              <w:t>“隔油池+</w:t>
            </w:r>
            <w:r>
              <w:rPr>
                <w:rFonts w:hint="eastAsia" w:ascii="Times New Roman" w:hAnsi="Times New Roman" w:cs="Times New Roman"/>
                <w:color w:val="auto"/>
                <w:sz w:val="24"/>
                <w:szCs w:val="24"/>
                <w:lang w:val="en-US" w:eastAsia="zh-CN"/>
              </w:rPr>
              <w:t>化粪池</w:t>
            </w:r>
            <w:r>
              <w:rPr>
                <w:rFonts w:hint="eastAsia"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rPr>
              <w:t>处理达《污水综合排放标准》（GB8978-1996）表4中三级标准及</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rPr>
              <w:t>接管</w:t>
            </w:r>
            <w:r>
              <w:rPr>
                <w:rFonts w:hint="eastAsia" w:ascii="Times New Roman" w:hAnsi="Times New Roman" w:cs="Times New Roman"/>
                <w:color w:val="auto"/>
                <w:sz w:val="24"/>
                <w:szCs w:val="24"/>
                <w:lang w:eastAsia="zh-CN"/>
              </w:rPr>
              <w:t>限值</w:t>
            </w:r>
            <w:r>
              <w:rPr>
                <w:rFonts w:hint="default" w:ascii="Times New Roman" w:hAnsi="Times New Roman" w:cs="Times New Roman"/>
                <w:color w:val="auto"/>
                <w:sz w:val="24"/>
                <w:szCs w:val="24"/>
              </w:rPr>
              <w:t>，满足市政污水管网接管要求污水最终纳</w:t>
            </w:r>
            <w:r>
              <w:rPr>
                <w:rFonts w:hint="eastAsia" w:ascii="宋体" w:hAnsi="宋体" w:eastAsia="宋体" w:cs="宋体"/>
                <w:color w:val="auto"/>
                <w:sz w:val="24"/>
                <w:szCs w:val="24"/>
                <w:lang w:val="en-US" w:eastAsia="zh-CN"/>
              </w:rPr>
              <w:t>萧县清源污水处理有限公司</w:t>
            </w:r>
            <w:r>
              <w:rPr>
                <w:rFonts w:hint="default" w:ascii="Times New Roman" w:hAnsi="Times New Roman" w:cs="Times New Roman"/>
                <w:color w:val="auto"/>
                <w:sz w:val="24"/>
                <w:szCs w:val="24"/>
              </w:rPr>
              <w:t>处理达标后排放，不会对周围水环境造成影响。</w:t>
            </w:r>
          </w:p>
          <w:p>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）依托污水处理设施的环境可行性评价</w:t>
            </w:r>
          </w:p>
          <w:p>
            <w:pPr>
              <w:spacing w:line="360" w:lineRule="auto"/>
              <w:ind w:firstLine="420"/>
              <w:rPr>
                <w:rFonts w:hint="eastAsia" w:ascii="Times New Roman" w:hAnsi="Times New Roman"/>
                <w:color w:val="auto"/>
                <w:sz w:val="24"/>
                <w:szCs w:val="24"/>
                <w:lang w:eastAsia="zh-CN"/>
              </w:rPr>
            </w:pPr>
            <w:r>
              <w:rPr>
                <w:rFonts w:hint="eastAsia" w:ascii="Times New Roman" w:hAnsi="Times New Roman"/>
                <w:color w:val="auto"/>
                <w:sz w:val="24"/>
                <w:szCs w:val="24"/>
                <w:lang w:eastAsia="zh-CN"/>
              </w:rPr>
              <w:t>萧县清源污水处理有限公司前身为安徽经济开发区合成革制造基地污水处理厂，于2011 年</w:t>
            </w:r>
            <w:r>
              <w:rPr>
                <w:rFonts w:hint="eastAsia" w:ascii="Times New Roman" w:hAnsi="Times New Roman"/>
                <w:color w:val="auto"/>
                <w:sz w:val="24"/>
                <w:szCs w:val="24"/>
                <w:lang w:val="en-US" w:eastAsia="zh-CN"/>
              </w:rPr>
              <w:t>0</w:t>
            </w:r>
            <w:r>
              <w:rPr>
                <w:rFonts w:hint="eastAsia" w:ascii="Times New Roman" w:hAnsi="Times New Roman"/>
                <w:color w:val="auto"/>
                <w:sz w:val="24"/>
                <w:szCs w:val="24"/>
                <w:lang w:eastAsia="zh-CN"/>
              </w:rPr>
              <w:t>3月由安徽省环境科学研究院编制完成《安徽经济开发区合成革制造基地污水处理厂环境影响报告书》，并取得关于该项目的环评批复（萧环建【</w:t>
            </w:r>
            <w:r>
              <w:rPr>
                <w:rFonts w:hint="eastAsia" w:ascii="Times New Roman" w:hAnsi="Times New Roman"/>
                <w:color w:val="auto"/>
                <w:sz w:val="24"/>
                <w:szCs w:val="24"/>
                <w:lang w:val="en-US" w:eastAsia="zh-CN"/>
              </w:rPr>
              <w:t>2011</w:t>
            </w:r>
            <w:r>
              <w:rPr>
                <w:rFonts w:hint="eastAsia" w:ascii="Times New Roman" w:hAnsi="Times New Roman"/>
                <w:color w:val="auto"/>
                <w:sz w:val="24"/>
                <w:szCs w:val="24"/>
                <w:lang w:eastAsia="zh-CN"/>
              </w:rPr>
              <w:t>】04 号）。污水处理厂规划分三期建设，一期设计规模10000t/d，二期设计规模20000t/d，三期设计规模30000t/d。一期项目于2017年</w:t>
            </w:r>
            <w:r>
              <w:rPr>
                <w:rFonts w:hint="eastAsia" w:ascii="Times New Roman" w:hAnsi="Times New Roman"/>
                <w:color w:val="auto"/>
                <w:sz w:val="24"/>
                <w:szCs w:val="24"/>
                <w:lang w:val="en-US" w:eastAsia="zh-CN"/>
              </w:rPr>
              <w:t>0</w:t>
            </w:r>
            <w:r>
              <w:rPr>
                <w:rFonts w:hint="eastAsia" w:ascii="Times New Roman" w:hAnsi="Times New Roman"/>
                <w:color w:val="auto"/>
                <w:sz w:val="24"/>
                <w:szCs w:val="24"/>
                <w:lang w:eastAsia="zh-CN"/>
              </w:rPr>
              <w:t>5 月22日通过萧县环境保护局验收（文号：萧环验【</w:t>
            </w:r>
            <w:r>
              <w:rPr>
                <w:rFonts w:hint="eastAsia" w:ascii="Times New Roman" w:hAnsi="Times New Roman"/>
                <w:color w:val="auto"/>
                <w:sz w:val="24"/>
                <w:szCs w:val="24"/>
                <w:lang w:val="en-US" w:eastAsia="zh-CN"/>
              </w:rPr>
              <w:t>2017</w:t>
            </w:r>
            <w:r>
              <w:rPr>
                <w:rFonts w:hint="eastAsia" w:ascii="Times New Roman" w:hAnsi="Times New Roman"/>
                <w:color w:val="auto"/>
                <w:sz w:val="24"/>
                <w:szCs w:val="24"/>
                <w:lang w:eastAsia="zh-CN"/>
              </w:rPr>
              <w:t>】09号）。企业于2019年</w:t>
            </w:r>
            <w:r>
              <w:rPr>
                <w:rFonts w:hint="eastAsia" w:ascii="Times New Roman" w:hAnsi="Times New Roman"/>
                <w:color w:val="auto"/>
                <w:sz w:val="24"/>
                <w:szCs w:val="24"/>
                <w:lang w:val="en-US" w:eastAsia="zh-CN"/>
              </w:rPr>
              <w:t>0</w:t>
            </w:r>
            <w:r>
              <w:rPr>
                <w:rFonts w:hint="eastAsia" w:ascii="Times New Roman" w:hAnsi="Times New Roman"/>
                <w:color w:val="auto"/>
                <w:sz w:val="24"/>
                <w:szCs w:val="24"/>
                <w:lang w:eastAsia="zh-CN"/>
              </w:rPr>
              <w:t xml:space="preserve">6 月11日取得排污许可证，证书编号：913413223254786947001Y。2019年 </w:t>
            </w:r>
            <w:r>
              <w:rPr>
                <w:rFonts w:hint="eastAsia" w:ascii="Times New Roman" w:hAnsi="Times New Roman"/>
                <w:color w:val="auto"/>
                <w:sz w:val="24"/>
                <w:szCs w:val="24"/>
                <w:lang w:val="en-US" w:eastAsia="zh-CN"/>
              </w:rPr>
              <w:t>09</w:t>
            </w:r>
            <w:r>
              <w:rPr>
                <w:rFonts w:hint="eastAsia" w:ascii="Times New Roman" w:hAnsi="Times New Roman"/>
                <w:color w:val="auto"/>
                <w:sz w:val="24"/>
                <w:szCs w:val="24"/>
                <w:lang w:eastAsia="zh-CN"/>
              </w:rPr>
              <w:t>月萧县清源污水处理有限公司委托安徽师达环保科技有限公司对萧县经济开发区合成革污水处理厂提升改造项目进行环境影响评价，2019年</w:t>
            </w:r>
            <w:r>
              <w:rPr>
                <w:rFonts w:hint="eastAsia" w:ascii="Times New Roman" w:hAnsi="Times New Roman"/>
                <w:color w:val="auto"/>
                <w:sz w:val="24"/>
                <w:szCs w:val="24"/>
                <w:lang w:val="en-US" w:eastAsia="zh-CN"/>
              </w:rPr>
              <w:t>0</w:t>
            </w:r>
            <w:r>
              <w:rPr>
                <w:rFonts w:hint="eastAsia" w:ascii="Times New Roman" w:hAnsi="Times New Roman"/>
                <w:color w:val="auto"/>
                <w:sz w:val="24"/>
                <w:szCs w:val="24"/>
                <w:lang w:eastAsia="zh-CN"/>
              </w:rPr>
              <w:t>9月并取得关于该项目的环评批复（萧环建[2019]80 号）。2020年</w:t>
            </w:r>
            <w:r>
              <w:rPr>
                <w:rFonts w:hint="eastAsia" w:ascii="Times New Roman" w:hAnsi="Times New Roman"/>
                <w:color w:val="auto"/>
                <w:sz w:val="24"/>
                <w:szCs w:val="24"/>
                <w:lang w:val="en-US" w:eastAsia="zh-CN"/>
              </w:rPr>
              <w:t>0</w:t>
            </w:r>
            <w:r>
              <w:rPr>
                <w:rFonts w:hint="eastAsia" w:ascii="Times New Roman" w:hAnsi="Times New Roman"/>
                <w:color w:val="auto"/>
                <w:sz w:val="24"/>
                <w:szCs w:val="24"/>
                <w:lang w:eastAsia="zh-CN"/>
              </w:rPr>
              <w:t>8月提升改造工程完成竣工环保验收（萧环验【</w:t>
            </w:r>
            <w:r>
              <w:rPr>
                <w:rFonts w:hint="eastAsia" w:ascii="Times New Roman" w:hAnsi="Times New Roman"/>
                <w:color w:val="auto"/>
                <w:sz w:val="24"/>
                <w:szCs w:val="24"/>
                <w:lang w:val="en-US" w:eastAsia="zh-CN"/>
              </w:rPr>
              <w:t>2020</w:t>
            </w:r>
            <w:r>
              <w:rPr>
                <w:rFonts w:hint="eastAsia" w:ascii="Times New Roman" w:hAnsi="Times New Roman"/>
                <w:color w:val="auto"/>
                <w:sz w:val="24"/>
                <w:szCs w:val="24"/>
                <w:lang w:eastAsia="zh-CN"/>
              </w:rPr>
              <w:t>】09号），现有项目尾水排放执行《城镇污水处理厂污染物排放标准》（GB18918-2002）一级A标准。</w:t>
            </w:r>
          </w:p>
          <w:p>
            <w:pPr>
              <w:spacing w:line="360" w:lineRule="auto"/>
              <w:ind w:firstLine="420"/>
              <w:rPr>
                <w:rFonts w:hint="eastAsia" w:ascii="Times New Roman" w:hAnsi="Times New Roman"/>
                <w:color w:val="auto"/>
                <w:sz w:val="24"/>
                <w:szCs w:val="24"/>
                <w:lang w:eastAsia="zh-CN"/>
              </w:rPr>
            </w:pPr>
            <w:r>
              <w:rPr>
                <w:rFonts w:hint="eastAsia" w:ascii="Times New Roman" w:hAnsi="Times New Roman"/>
                <w:color w:val="auto"/>
                <w:sz w:val="24"/>
                <w:szCs w:val="24"/>
                <w:lang w:eastAsia="zh-CN"/>
              </w:rPr>
              <w:t>①工程规模及服务范围</w:t>
            </w:r>
          </w:p>
          <w:p>
            <w:pPr>
              <w:spacing w:line="360" w:lineRule="auto"/>
              <w:ind w:firstLine="420"/>
              <w:rPr>
                <w:rFonts w:hint="eastAsia" w:ascii="Times New Roman" w:hAnsi="Times New Roman"/>
                <w:color w:val="auto"/>
                <w:sz w:val="24"/>
                <w:szCs w:val="24"/>
                <w:lang w:eastAsia="zh-CN"/>
              </w:rPr>
            </w:pPr>
            <w:r>
              <w:rPr>
                <w:rFonts w:hint="eastAsia" w:ascii="Times New Roman" w:hAnsi="Times New Roman"/>
                <w:color w:val="auto"/>
                <w:sz w:val="24"/>
                <w:szCs w:val="24"/>
                <w:lang w:eastAsia="zh-CN"/>
              </w:rPr>
              <w:t>项目总设计处理能力为50000t/d，分期实施，项目一期处理能力为10000t/d，预留二期建设用地，待园区进驻企业数量增加到一定程度后再建设。服务范围为白土镇镇区以及智能制造产业园和淮海智能制造产业园以南片区。目前实际处理能量约为</w:t>
            </w:r>
            <w:r>
              <w:rPr>
                <w:rFonts w:hint="eastAsia" w:ascii="Times New Roman" w:hAnsi="Times New Roman"/>
                <w:color w:val="auto"/>
                <w:sz w:val="24"/>
                <w:szCs w:val="24"/>
                <w:lang w:val="en-US" w:eastAsia="zh-CN"/>
              </w:rPr>
              <w:t>2</w:t>
            </w:r>
            <w:r>
              <w:rPr>
                <w:rFonts w:hint="eastAsia" w:ascii="Times New Roman" w:hAnsi="Times New Roman"/>
                <w:color w:val="auto"/>
                <w:sz w:val="24"/>
                <w:szCs w:val="24"/>
                <w:lang w:eastAsia="zh-CN"/>
              </w:rPr>
              <w:t>000t/d，剩余约</w:t>
            </w:r>
            <w:r>
              <w:rPr>
                <w:rFonts w:hint="eastAsia" w:ascii="Times New Roman" w:hAnsi="Times New Roman"/>
                <w:color w:val="auto"/>
                <w:sz w:val="24"/>
                <w:szCs w:val="24"/>
                <w:lang w:val="en-US" w:eastAsia="zh-CN"/>
              </w:rPr>
              <w:t>8000</w:t>
            </w:r>
            <w:r>
              <w:rPr>
                <w:rFonts w:hint="eastAsia" w:ascii="Times New Roman" w:hAnsi="Times New Roman"/>
                <w:color w:val="auto"/>
                <w:sz w:val="24"/>
                <w:szCs w:val="24"/>
                <w:lang w:eastAsia="zh-CN"/>
              </w:rPr>
              <w:t>t/d的处理能力，污水处理后的水质执行《城镇污水处理厂污染物排放标准》（GB18918-2002）中的一级A标准。一期改造工程于2020年</w:t>
            </w:r>
            <w:r>
              <w:rPr>
                <w:rFonts w:hint="eastAsia" w:ascii="Times New Roman" w:hAnsi="Times New Roman"/>
                <w:color w:val="auto"/>
                <w:sz w:val="24"/>
                <w:szCs w:val="24"/>
                <w:lang w:val="en-US" w:eastAsia="zh-CN"/>
              </w:rPr>
              <w:t>0</w:t>
            </w:r>
            <w:r>
              <w:rPr>
                <w:rFonts w:hint="eastAsia" w:ascii="Times New Roman" w:hAnsi="Times New Roman"/>
                <w:color w:val="auto"/>
                <w:sz w:val="24"/>
                <w:szCs w:val="24"/>
                <w:lang w:eastAsia="zh-CN"/>
              </w:rPr>
              <w:t>8月完成环保验收，并已安装好进、出水数据采集仪。</w:t>
            </w:r>
          </w:p>
          <w:p>
            <w:pPr>
              <w:spacing w:line="360" w:lineRule="auto"/>
              <w:ind w:firstLine="420"/>
              <w:rPr>
                <w:rFonts w:ascii="Times New Roman" w:hAnsi="Times New Roman"/>
                <w:color w:val="auto"/>
                <w:sz w:val="24"/>
                <w:szCs w:val="24"/>
              </w:rPr>
            </w:pPr>
            <w:r>
              <w:rPr>
                <w:rFonts w:ascii="Times New Roman" w:hAnsi="Times New Roman"/>
                <w:color w:val="auto"/>
                <w:sz w:val="24"/>
                <w:szCs w:val="24"/>
              </w:rPr>
              <w:t>②</w:t>
            </w:r>
            <w:r>
              <w:rPr>
                <w:rFonts w:hint="eastAsia" w:ascii="Times New Roman" w:hAnsi="Times New Roman"/>
                <w:color w:val="auto"/>
                <w:sz w:val="24"/>
                <w:szCs w:val="24"/>
              </w:rPr>
              <w:t>处理工艺</w:t>
            </w:r>
          </w:p>
          <w:p>
            <w:pPr>
              <w:spacing w:line="360" w:lineRule="auto"/>
              <w:ind w:firstLine="420"/>
              <w:rPr>
                <w:rFonts w:hint="eastAsia" w:ascii="Times New Roman" w:hAnsi="Times New Roman"/>
                <w:color w:val="auto"/>
                <w:sz w:val="24"/>
                <w:szCs w:val="24"/>
              </w:rPr>
            </w:pPr>
            <w:r>
              <w:rPr>
                <w:rFonts w:hint="eastAsia" w:ascii="Times New Roman" w:hAnsi="Times New Roman"/>
                <w:color w:val="auto"/>
                <w:sz w:val="24"/>
                <w:szCs w:val="24"/>
              </w:rPr>
              <w:t>污水处理处理工艺为“格栅集水井+提升泵房+水解酸化池+改良A2O+曝气生物滤池+微絮凝滤池+活性碳过滤+紫外消毒”。</w:t>
            </w:r>
          </w:p>
          <w:p>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本项目所在地位于</w:t>
            </w:r>
            <w:r>
              <w:rPr>
                <w:rFonts w:hint="default" w:ascii="Times New Roman" w:hAnsi="Times New Roman" w:cs="Times New Roman"/>
                <w:color w:val="auto"/>
                <w:sz w:val="24"/>
                <w:szCs w:val="24"/>
                <w:lang w:val="en-US" w:eastAsia="zh-CN"/>
              </w:rPr>
              <w:t>萧县清源污水处理有限公司</w:t>
            </w:r>
            <w:r>
              <w:rPr>
                <w:rFonts w:hint="default" w:ascii="Times New Roman" w:hAnsi="Times New Roman" w:cs="Times New Roman"/>
                <w:color w:val="auto"/>
                <w:sz w:val="24"/>
                <w:szCs w:val="24"/>
              </w:rPr>
              <w:t>的收水范围内，项目废水污染物种类及排放浓度满足其设计进水水质要求，且本项目污水排放量</w:t>
            </w:r>
            <w:r>
              <w:rPr>
                <w:rFonts w:hint="eastAsia" w:ascii="Times New Roman" w:hAnsi="Times New Roman" w:cs="Times New Roman"/>
                <w:color w:val="auto"/>
                <w:sz w:val="24"/>
                <w:szCs w:val="24"/>
                <w:lang w:val="en-US" w:eastAsia="zh-CN"/>
              </w:rPr>
              <w:t>3.60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而</w:t>
            </w:r>
            <w:r>
              <w:rPr>
                <w:rFonts w:hint="default" w:ascii="Times New Roman" w:hAnsi="Times New Roman" w:cs="Times New Roman"/>
                <w:color w:val="auto"/>
                <w:sz w:val="24"/>
                <w:szCs w:val="24"/>
                <w:lang w:val="en-US" w:eastAsia="zh-CN"/>
              </w:rPr>
              <w:t>萧县清源污水处理有限公司</w:t>
            </w:r>
            <w:r>
              <w:rPr>
                <w:rFonts w:hint="eastAsia" w:ascii="Times New Roman" w:hAnsi="Times New Roman"/>
                <w:color w:val="auto"/>
                <w:sz w:val="24"/>
                <w:szCs w:val="24"/>
                <w:lang w:eastAsia="zh-CN"/>
              </w:rPr>
              <w:t>剩余约</w:t>
            </w:r>
            <w:r>
              <w:rPr>
                <w:rFonts w:hint="eastAsia" w:ascii="Times New Roman" w:hAnsi="Times New Roman"/>
                <w:color w:val="auto"/>
                <w:sz w:val="24"/>
                <w:szCs w:val="24"/>
                <w:lang w:val="en-US" w:eastAsia="zh-CN"/>
              </w:rPr>
              <w:t>8000</w:t>
            </w:r>
            <w:r>
              <w:rPr>
                <w:rFonts w:hint="eastAsia" w:ascii="Times New Roman" w:hAnsi="Times New Roman"/>
                <w:color w:val="auto"/>
                <w:sz w:val="24"/>
                <w:szCs w:val="24"/>
                <w:lang w:eastAsia="zh-CN"/>
              </w:rPr>
              <w:t>t/d的处理能力</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因此本项目废水</w:t>
            </w:r>
            <w:r>
              <w:rPr>
                <w:rFonts w:hint="default" w:ascii="Times New Roman" w:hAnsi="Times New Roman" w:cs="Times New Roman"/>
                <w:color w:val="auto"/>
                <w:sz w:val="24"/>
                <w:szCs w:val="24"/>
              </w:rPr>
              <w:t>不会对</w:t>
            </w:r>
            <w:r>
              <w:rPr>
                <w:rFonts w:hint="default" w:ascii="Times New Roman" w:hAnsi="Times New Roman" w:cs="Times New Roman"/>
                <w:color w:val="auto"/>
                <w:sz w:val="24"/>
                <w:szCs w:val="24"/>
                <w:lang w:val="en-US" w:eastAsia="zh-CN"/>
              </w:rPr>
              <w:t>萧县清源污水处理有限公司</w:t>
            </w:r>
            <w:r>
              <w:rPr>
                <w:rFonts w:hint="default" w:ascii="Times New Roman" w:hAnsi="Times New Roman" w:cs="Times New Roman"/>
                <w:color w:val="auto"/>
                <w:sz w:val="24"/>
                <w:szCs w:val="24"/>
              </w:rPr>
              <w:t>日常运行负荷造成冲击。</w:t>
            </w:r>
          </w:p>
          <w:p>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本项目外排废水水质能达到</w:t>
            </w:r>
            <w:r>
              <w:rPr>
                <w:rFonts w:hint="default" w:ascii="Times New Roman" w:hAnsi="Times New Roman" w:cs="Times New Roman"/>
                <w:color w:val="auto"/>
                <w:sz w:val="24"/>
                <w:szCs w:val="24"/>
                <w:lang w:val="en-US" w:eastAsia="zh-CN"/>
              </w:rPr>
              <w:t>萧县清源污水处理有限公司</w:t>
            </w:r>
            <w:r>
              <w:rPr>
                <w:rFonts w:hint="default" w:ascii="Times New Roman" w:hAnsi="Times New Roman" w:cs="Times New Roman"/>
                <w:color w:val="auto"/>
                <w:sz w:val="24"/>
                <w:szCs w:val="24"/>
              </w:rPr>
              <w:t>的进水水质要求，不会对</w:t>
            </w:r>
            <w:r>
              <w:rPr>
                <w:rFonts w:hint="default" w:ascii="Times New Roman" w:hAnsi="Times New Roman" w:cs="Times New Roman"/>
                <w:color w:val="auto"/>
                <w:sz w:val="24"/>
                <w:szCs w:val="24"/>
                <w:lang w:val="en-US" w:eastAsia="zh-CN"/>
              </w:rPr>
              <w:t>萧县清源污水处理有限公司</w:t>
            </w:r>
            <w:r>
              <w:rPr>
                <w:rFonts w:hint="default" w:ascii="Times New Roman" w:hAnsi="Times New Roman" w:cs="Times New Roman"/>
                <w:color w:val="auto"/>
                <w:sz w:val="24"/>
                <w:szCs w:val="24"/>
              </w:rPr>
              <w:t>正常运行造成影响。因此，</w:t>
            </w:r>
            <w:r>
              <w:rPr>
                <w:rFonts w:hint="default" w:ascii="Times New Roman" w:hAnsi="Times New Roman" w:cs="Times New Roman"/>
                <w:bCs/>
                <w:color w:val="auto"/>
                <w:sz w:val="24"/>
                <w:szCs w:val="24"/>
              </w:rPr>
              <w:t>本项目运营期污水接管可行。</w:t>
            </w:r>
          </w:p>
          <w:p>
            <w:pPr>
              <w:autoSpaceDE w:val="0"/>
              <w:autoSpaceDN w:val="0"/>
              <w:adjustRightInd w:val="0"/>
              <w:spacing w:line="360" w:lineRule="auto"/>
              <w:ind w:firstLine="480" w:firstLineChars="200"/>
              <w:rPr>
                <w:rFonts w:hint="eastAsia" w:ascii="Times New Roman" w:hAnsi="Times New Roman" w:cs="Times New Roman" w:eastAsiaTheme="minorEastAsia"/>
                <w:color w:val="auto"/>
                <w:sz w:val="24"/>
                <w:szCs w:val="24"/>
                <w:lang w:eastAsia="zh-CN"/>
              </w:rPr>
            </w:pPr>
            <w:r>
              <w:rPr>
                <w:rFonts w:hint="eastAsia"/>
                <w:color w:val="auto"/>
                <w:sz w:val="24"/>
                <w:szCs w:val="24"/>
              </w:rPr>
              <w:t>本项目位于</w:t>
            </w:r>
            <w:r>
              <w:rPr>
                <w:rFonts w:hint="default" w:ascii="Times New Roman" w:hAnsi="Times New Roman" w:cs="Times New Roman"/>
                <w:color w:val="auto"/>
                <w:sz w:val="24"/>
                <w:szCs w:val="24"/>
                <w:lang w:val="en-US" w:eastAsia="zh-CN"/>
              </w:rPr>
              <w:t>萧县清源污水处理有限公司</w:t>
            </w:r>
            <w:r>
              <w:rPr>
                <w:rFonts w:hint="eastAsia"/>
                <w:color w:val="auto"/>
                <w:sz w:val="24"/>
                <w:szCs w:val="24"/>
              </w:rPr>
              <w:t>收水范围内，外排废水水质、水量均满足污水处理厂接管要求，不会对</w:t>
            </w:r>
            <w:r>
              <w:rPr>
                <w:rFonts w:hint="default" w:ascii="Times New Roman" w:hAnsi="Times New Roman" w:cs="Times New Roman"/>
                <w:color w:val="auto"/>
                <w:sz w:val="24"/>
                <w:szCs w:val="24"/>
                <w:lang w:val="en-US" w:eastAsia="zh-CN"/>
              </w:rPr>
              <w:t>萧县清源污水处理有限公司</w:t>
            </w:r>
            <w:r>
              <w:rPr>
                <w:rFonts w:hint="eastAsia"/>
                <w:color w:val="auto"/>
                <w:sz w:val="24"/>
                <w:szCs w:val="24"/>
              </w:rPr>
              <w:t>造成冲击</w:t>
            </w:r>
            <w:r>
              <w:rPr>
                <w:rFonts w:hint="eastAsia" w:hAnsi="宋体"/>
                <w:bCs/>
                <w:color w:val="auto"/>
                <w:sz w:val="24"/>
                <w:szCs w:val="24"/>
                <w:lang w:val="zh-CN"/>
              </w:rPr>
              <w:t>负荷。因此本项目污水进入</w:t>
            </w:r>
            <w:r>
              <w:rPr>
                <w:rFonts w:hint="default" w:ascii="Times New Roman" w:hAnsi="Times New Roman" w:cs="Times New Roman"/>
                <w:color w:val="auto"/>
                <w:sz w:val="24"/>
                <w:szCs w:val="24"/>
                <w:lang w:val="en-US" w:eastAsia="zh-CN"/>
              </w:rPr>
              <w:t>萧县清源污水处理有限公司</w:t>
            </w:r>
            <w:r>
              <w:rPr>
                <w:rFonts w:hint="eastAsia" w:hAnsi="宋体"/>
                <w:bCs/>
                <w:color w:val="auto"/>
                <w:sz w:val="24"/>
                <w:szCs w:val="24"/>
                <w:lang w:val="zh-CN"/>
              </w:rPr>
              <w:t>处理是可行的。</w:t>
            </w:r>
            <w:r>
              <w:rPr>
                <w:rFonts w:hint="eastAsia" w:ascii="Times New Roman" w:hAnsi="Times New Roman" w:cs="Times New Roman"/>
                <w:color w:val="auto"/>
                <w:sz w:val="24"/>
                <w:szCs w:val="24"/>
                <w:lang w:eastAsia="zh-CN"/>
              </w:rPr>
              <w:t>（污水处理接纳协议书见附件）</w:t>
            </w:r>
          </w:p>
          <w:p>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b w:val="0"/>
                <w:bCs w:val="0"/>
                <w:color w:val="auto"/>
                <w:sz w:val="24"/>
                <w:szCs w:val="24"/>
                <w:lang w:bidi="ar"/>
              </w:rPr>
              <w:t>《</w:t>
            </w:r>
            <w:r>
              <w:rPr>
                <w:rFonts w:hint="default" w:ascii="Times New Roman" w:hAnsi="Times New Roman" w:cs="Times New Roman"/>
                <w:b w:val="0"/>
                <w:bCs w:val="0"/>
                <w:color w:val="auto"/>
                <w:sz w:val="24"/>
                <w:szCs w:val="24"/>
                <w:lang w:eastAsia="zh-CN" w:bidi="ar"/>
              </w:rPr>
              <w:t>萧县</w:t>
            </w:r>
            <w:r>
              <w:rPr>
                <w:rFonts w:hint="eastAsia" w:ascii="Times New Roman" w:hAnsi="Times New Roman" w:cs="Times New Roman"/>
                <w:b w:val="0"/>
                <w:bCs w:val="0"/>
                <w:color w:val="auto"/>
                <w:sz w:val="24"/>
                <w:szCs w:val="24"/>
                <w:lang w:eastAsia="zh-CN" w:bidi="ar"/>
              </w:rPr>
              <w:t>白土镇总体规划（</w:t>
            </w:r>
            <w:r>
              <w:rPr>
                <w:rFonts w:hint="eastAsia" w:ascii="Times New Roman" w:hAnsi="Times New Roman" w:cs="Times New Roman"/>
                <w:b w:val="0"/>
                <w:bCs w:val="0"/>
                <w:color w:val="auto"/>
                <w:sz w:val="24"/>
                <w:szCs w:val="24"/>
                <w:lang w:val="en-US" w:eastAsia="zh-CN" w:bidi="ar"/>
              </w:rPr>
              <w:t>2020-2030</w:t>
            </w:r>
            <w:r>
              <w:rPr>
                <w:rFonts w:hint="eastAsia" w:ascii="Times New Roman" w:hAnsi="Times New Roman" w:cs="Times New Roman"/>
                <w:b w:val="0"/>
                <w:bCs w:val="0"/>
                <w:color w:val="auto"/>
                <w:sz w:val="24"/>
                <w:szCs w:val="24"/>
                <w:lang w:eastAsia="zh-CN" w:bidi="ar"/>
              </w:rPr>
              <w:t>）</w:t>
            </w:r>
            <w:r>
              <w:rPr>
                <w:rFonts w:hint="default" w:ascii="Times New Roman" w:hAnsi="Times New Roman" w:cs="Times New Roman"/>
                <w:b w:val="0"/>
                <w:bCs w:val="0"/>
                <w:color w:val="auto"/>
                <w:sz w:val="24"/>
                <w:szCs w:val="24"/>
                <w:lang w:bidi="ar"/>
              </w:rPr>
              <w:t>》-</w:t>
            </w:r>
            <w:r>
              <w:rPr>
                <w:rFonts w:hint="eastAsia" w:ascii="Times New Roman" w:hAnsi="Times New Roman" w:cs="Times New Roman"/>
                <w:b w:val="0"/>
                <w:bCs w:val="0"/>
                <w:color w:val="auto"/>
                <w:sz w:val="24"/>
                <w:szCs w:val="24"/>
                <w:lang w:eastAsia="zh-CN" w:bidi="ar"/>
              </w:rPr>
              <w:t>镇区污水工程</w:t>
            </w:r>
            <w:r>
              <w:rPr>
                <w:rFonts w:hint="default" w:ascii="Times New Roman" w:hAnsi="Times New Roman" w:cs="Times New Roman"/>
                <w:b w:val="0"/>
                <w:bCs w:val="0"/>
                <w:color w:val="auto"/>
                <w:sz w:val="24"/>
                <w:szCs w:val="24"/>
                <w:lang w:bidi="ar"/>
              </w:rPr>
              <w:t>规划图</w:t>
            </w:r>
            <w:r>
              <w:rPr>
                <w:rFonts w:hint="eastAsia" w:ascii="Times New Roman" w:hAnsi="Times New Roman"/>
                <w:color w:val="auto"/>
                <w:sz w:val="24"/>
                <w:lang w:eastAsia="zh-CN" w:bidi="ar"/>
              </w:rPr>
              <w:t>见附图</w:t>
            </w:r>
            <w:r>
              <w:rPr>
                <w:rFonts w:hint="eastAsia" w:ascii="Times New Roman" w:hAnsi="Times New Roman"/>
                <w:color w:val="auto"/>
                <w:sz w:val="24"/>
                <w:lang w:val="en-US" w:eastAsia="zh-CN" w:bidi="ar"/>
              </w:rPr>
              <w:t>16。</w:t>
            </w:r>
          </w:p>
          <w:p>
            <w:pPr>
              <w:autoSpaceDE w:val="0"/>
              <w:autoSpaceDN w:val="0"/>
              <w:adjustRightInd w:val="0"/>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color w:val="auto"/>
                <w:sz w:val="24"/>
                <w:szCs w:val="24"/>
                <w:lang w:val="en-US" w:eastAsia="zh-CN"/>
              </w:rPr>
              <w:t>萧县清源污水处理有限公司</w:t>
            </w:r>
            <w:r>
              <w:rPr>
                <w:rFonts w:hint="eastAsia" w:hAnsi="宋体"/>
                <w:bCs/>
                <w:color w:val="auto"/>
                <w:sz w:val="24"/>
                <w:szCs w:val="24"/>
                <w:lang w:val="zh-CN"/>
              </w:rPr>
              <w:t>污水处理工艺流程图</w:t>
            </w:r>
            <w:r>
              <w:rPr>
                <w:rFonts w:hint="default" w:ascii="Times New Roman" w:hAnsi="Times New Roman" w:cs="Times New Roman"/>
                <w:bCs/>
                <w:color w:val="auto"/>
                <w:sz w:val="24"/>
                <w:szCs w:val="24"/>
                <w:lang w:val="zh-CN"/>
              </w:rPr>
              <w:t>见图</w:t>
            </w:r>
            <w:r>
              <w:rPr>
                <w:rFonts w:hint="default" w:ascii="Times New Roman" w:hAnsi="Times New Roman" w:cs="Times New Roman"/>
                <w:bCs/>
                <w:color w:val="auto"/>
                <w:sz w:val="24"/>
                <w:szCs w:val="24"/>
                <w:lang w:val="en-US" w:eastAsia="zh-CN"/>
              </w:rPr>
              <w:t>4.</w:t>
            </w:r>
            <w:r>
              <w:rPr>
                <w:rFonts w:hint="eastAsia" w:ascii="Times New Roman" w:hAnsi="Times New Roman" w:cs="Times New Roman"/>
                <w:bCs/>
                <w:color w:val="auto"/>
                <w:sz w:val="24"/>
                <w:szCs w:val="24"/>
                <w:lang w:val="en-US" w:eastAsia="zh-CN"/>
              </w:rPr>
              <w:t>11</w:t>
            </w:r>
            <w:r>
              <w:rPr>
                <w:rFonts w:hint="default" w:ascii="Times New Roman" w:hAnsi="Times New Roman" w:cs="Times New Roman"/>
                <w:bCs/>
                <w:color w:val="auto"/>
                <w:sz w:val="24"/>
                <w:szCs w:val="24"/>
              </w:rPr>
              <w:t>。</w:t>
            </w:r>
          </w:p>
          <w:p>
            <w:pPr>
              <w:tabs>
                <w:tab w:val="left" w:pos="5424"/>
              </w:tabs>
              <w:rPr>
                <w:rFonts w:hint="eastAsia" w:hAnsi="宋体"/>
                <w:bCs/>
                <w:color w:val="auto"/>
                <w:sz w:val="24"/>
                <w:szCs w:val="24"/>
                <w:lang w:val="zh-CN"/>
              </w:rPr>
            </w:pPr>
            <w:r>
              <w:rPr>
                <w:color w:val="auto"/>
              </w:rPr>
              <w:drawing>
                <wp:inline distT="0" distB="0" distL="114300" distR="114300">
                  <wp:extent cx="6067425" cy="2988945"/>
                  <wp:effectExtent l="0" t="0" r="9525" b="190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34"/>
                          <a:stretch>
                            <a:fillRect/>
                          </a:stretch>
                        </pic:blipFill>
                        <pic:spPr>
                          <a:xfrm>
                            <a:off x="0" y="0"/>
                            <a:ext cx="6067425" cy="2988945"/>
                          </a:xfrm>
                          <a:prstGeom prst="rect">
                            <a:avLst/>
                          </a:prstGeom>
                          <a:noFill/>
                          <a:ln>
                            <a:noFill/>
                          </a:ln>
                        </pic:spPr>
                      </pic:pic>
                    </a:graphicData>
                  </a:graphic>
                </wp:inline>
              </w:drawing>
            </w:r>
          </w:p>
          <w:p>
            <w:pPr>
              <w:autoSpaceDE w:val="0"/>
              <w:autoSpaceDN w:val="0"/>
              <w:adjustRightInd w:val="0"/>
              <w:spacing w:line="480" w:lineRule="exact"/>
              <w:ind w:firstLine="482" w:firstLineChars="200"/>
              <w:jc w:val="center"/>
              <w:rPr>
                <w:rFonts w:hint="default" w:ascii="Times New Roman" w:hAnsi="Times New Roman" w:cs="Times New Roman"/>
                <w:b/>
                <w:color w:val="auto"/>
                <w:sz w:val="24"/>
                <w:szCs w:val="24"/>
                <w:lang w:val="zh-CN"/>
              </w:rPr>
            </w:pPr>
            <w:r>
              <w:rPr>
                <w:rFonts w:hint="default" w:ascii="Times New Roman" w:hAnsi="Times New Roman" w:cs="Times New Roman"/>
                <w:b/>
                <w:color w:val="auto"/>
                <w:sz w:val="24"/>
                <w:szCs w:val="24"/>
                <w:lang w:val="zh-CN"/>
              </w:rPr>
              <w:t>图</w:t>
            </w:r>
            <w:r>
              <w:rPr>
                <w:rFonts w:hint="eastAsia" w:ascii="Times New Roman" w:hAnsi="Times New Roman" w:cs="Times New Roman"/>
                <w:b/>
                <w:color w:val="auto"/>
                <w:sz w:val="24"/>
                <w:szCs w:val="24"/>
                <w:lang w:val="en-US" w:eastAsia="zh-CN"/>
              </w:rPr>
              <w:t>4.11</w:t>
            </w:r>
            <w:r>
              <w:rPr>
                <w:rFonts w:hint="default" w:ascii="Times New Roman" w:hAnsi="Times New Roman" w:cs="Times New Roman"/>
                <w:b/>
                <w:color w:val="auto"/>
                <w:sz w:val="24"/>
                <w:szCs w:val="24"/>
              </w:rPr>
              <w:t xml:space="preserve">  </w:t>
            </w:r>
            <w:r>
              <w:rPr>
                <w:rFonts w:hint="default" w:ascii="Times New Roman" w:hAnsi="Times New Roman" w:cs="Times New Roman"/>
                <w:b/>
                <w:bCs/>
                <w:color w:val="auto"/>
                <w:sz w:val="24"/>
                <w:szCs w:val="24"/>
                <w:lang w:val="en-US" w:eastAsia="zh-CN"/>
              </w:rPr>
              <w:t>萧县清源污水处理有限公司</w:t>
            </w:r>
            <w:r>
              <w:rPr>
                <w:rFonts w:hint="default" w:ascii="Times New Roman" w:hAnsi="Times New Roman" w:cs="Times New Roman"/>
                <w:b/>
                <w:bCs w:val="0"/>
                <w:color w:val="auto"/>
                <w:sz w:val="24"/>
                <w:szCs w:val="24"/>
              </w:rPr>
              <w:t>污水处理工艺流程图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因此，采取以上治理措施后，本项目废水对区域地表水环境影响很小。</w:t>
            </w:r>
          </w:p>
          <w:p>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（3）建设项目废水污染物排放信息表</w:t>
            </w:r>
          </w:p>
          <w:p>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建设项目废水类别、污染物及污染治理设施信息表见表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26</w:t>
            </w:r>
            <w:r>
              <w:rPr>
                <w:rFonts w:hint="default" w:ascii="Times New Roman" w:hAnsi="Times New Roman" w:cs="Times New Roman"/>
                <w:color w:val="auto"/>
                <w:sz w:val="24"/>
                <w:szCs w:val="24"/>
              </w:rPr>
              <w:t>。</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26</w:t>
            </w:r>
            <w:r>
              <w:rPr>
                <w:rFonts w:hint="default" w:ascii="Times New Roman" w:hAnsi="Times New Roman" w:cs="Times New Roman"/>
                <w:b/>
                <w:bCs/>
                <w:color w:val="auto"/>
                <w:sz w:val="24"/>
                <w:szCs w:val="24"/>
              </w:rPr>
              <w:t xml:space="preserve">  废水类别、污染物及治理设施信息表</w:t>
            </w:r>
          </w:p>
          <w:tbl>
            <w:tblPr>
              <w:tblStyle w:val="2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950"/>
              <w:gridCol w:w="950"/>
              <w:gridCol w:w="950"/>
              <w:gridCol w:w="949"/>
              <w:gridCol w:w="897"/>
              <w:gridCol w:w="900"/>
              <w:gridCol w:w="898"/>
              <w:gridCol w:w="898"/>
              <w:gridCol w:w="898"/>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50"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废水类别</w:t>
                  </w:r>
                  <w:r>
                    <w:rPr>
                      <w:rFonts w:hint="default" w:ascii="Times New Roman" w:hAnsi="Times New Roman" w:cs="Times New Roman"/>
                      <w:color w:val="auto"/>
                      <w:sz w:val="21"/>
                      <w:szCs w:val="21"/>
                      <w:vertAlign w:val="superscript"/>
                    </w:rPr>
                    <w:t>a</w:t>
                  </w:r>
                </w:p>
              </w:tc>
              <w:tc>
                <w:tcPr>
                  <w:tcW w:w="950"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污染物种类</w:t>
                  </w:r>
                  <w:r>
                    <w:rPr>
                      <w:rFonts w:hint="default" w:ascii="Times New Roman" w:hAnsi="Times New Roman" w:cs="Times New Roman"/>
                      <w:color w:val="auto"/>
                      <w:sz w:val="21"/>
                      <w:szCs w:val="21"/>
                      <w:vertAlign w:val="superscript"/>
                    </w:rPr>
                    <w:t>b</w:t>
                  </w:r>
                </w:p>
              </w:tc>
              <w:tc>
                <w:tcPr>
                  <w:tcW w:w="950"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排放去向</w:t>
                  </w:r>
                  <w:r>
                    <w:rPr>
                      <w:rFonts w:hint="default" w:ascii="Times New Roman" w:hAnsi="Times New Roman" w:cs="Times New Roman"/>
                      <w:color w:val="auto"/>
                      <w:sz w:val="21"/>
                      <w:szCs w:val="21"/>
                      <w:vertAlign w:val="superscript"/>
                    </w:rPr>
                    <w:t>c</w:t>
                  </w:r>
                </w:p>
              </w:tc>
              <w:tc>
                <w:tcPr>
                  <w:tcW w:w="949"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排放规律</w:t>
                  </w:r>
                  <w:r>
                    <w:rPr>
                      <w:rFonts w:hint="default" w:ascii="Times New Roman" w:hAnsi="Times New Roman" w:cs="Times New Roman"/>
                      <w:color w:val="auto"/>
                      <w:sz w:val="21"/>
                      <w:szCs w:val="21"/>
                      <w:vertAlign w:val="superscript"/>
                    </w:rPr>
                    <w:t>d</w:t>
                  </w:r>
                </w:p>
              </w:tc>
              <w:tc>
                <w:tcPr>
                  <w:tcW w:w="2695" w:type="dxa"/>
                  <w:gridSpan w:val="3"/>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污染治理设施</w:t>
                  </w:r>
                </w:p>
              </w:tc>
              <w:tc>
                <w:tcPr>
                  <w:tcW w:w="898"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r>
                    <w:rPr>
                      <w:rFonts w:hint="default" w:ascii="Times New Roman" w:hAnsi="Times New Roman" w:cs="Times New Roman"/>
                      <w:color w:val="auto"/>
                      <w:sz w:val="21"/>
                      <w:szCs w:val="21"/>
                      <w:vertAlign w:val="superscript"/>
                    </w:rPr>
                    <w:t>f</w:t>
                  </w:r>
                </w:p>
              </w:tc>
              <w:tc>
                <w:tcPr>
                  <w:tcW w:w="898"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排放口设置是否符合要求</w:t>
                  </w:r>
                  <w:r>
                    <w:rPr>
                      <w:rFonts w:hint="default" w:ascii="Times New Roman" w:hAnsi="Times New Roman" w:cs="Times New Roman"/>
                      <w:color w:val="auto"/>
                      <w:sz w:val="21"/>
                      <w:szCs w:val="21"/>
                      <w:vertAlign w:val="superscript"/>
                    </w:rPr>
                    <w:t>g</w:t>
                  </w:r>
                </w:p>
              </w:tc>
              <w:tc>
                <w:tcPr>
                  <w:tcW w:w="903"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950"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950"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950"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949"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897"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污染治理设施编号</w:t>
                  </w:r>
                </w:p>
              </w:tc>
              <w:tc>
                <w:tcPr>
                  <w:tcW w:w="900"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污染治理设施名称</w:t>
                  </w:r>
                  <w:r>
                    <w:rPr>
                      <w:rFonts w:hint="default" w:ascii="Times New Roman" w:hAnsi="Times New Roman" w:cs="Times New Roman"/>
                      <w:color w:val="auto"/>
                      <w:sz w:val="21"/>
                      <w:szCs w:val="21"/>
                      <w:vertAlign w:val="superscript"/>
                    </w:rPr>
                    <w:t>e</w:t>
                  </w:r>
                </w:p>
              </w:tc>
              <w:tc>
                <w:tcPr>
                  <w:tcW w:w="898"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污染治理设施工艺</w:t>
                  </w:r>
                </w:p>
              </w:tc>
              <w:tc>
                <w:tcPr>
                  <w:tcW w:w="898"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898"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903" w:type="dxa"/>
                  <w:vMerge w:val="continue"/>
                  <w:noWrap w:val="0"/>
                  <w:vAlign w:val="center"/>
                </w:tcPr>
                <w:p>
                  <w:pPr>
                    <w:pStyle w:val="43"/>
                    <w:spacing w:line="240" w:lineRule="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50"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职工生活</w:t>
                  </w:r>
                </w:p>
              </w:tc>
              <w:tc>
                <w:tcPr>
                  <w:tcW w:w="950" w:type="dxa"/>
                  <w:noWrap w:val="0"/>
                  <w:vAlign w:val="center"/>
                </w:tcPr>
                <w:p>
                  <w:pPr>
                    <w:pStyle w:val="43"/>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pH、COD、NH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-N、SS、BOD</w:t>
                  </w:r>
                  <w:r>
                    <w:rPr>
                      <w:rFonts w:hint="eastAsia" w:ascii="Times New Roman" w:hAnsi="Times New Roman" w:cs="Times New Roman"/>
                      <w:color w:val="auto"/>
                      <w:sz w:val="21"/>
                      <w:szCs w:val="21"/>
                      <w:vertAlign w:val="subscript"/>
                      <w:lang w:val="en-US" w:eastAsia="zh-CN"/>
                    </w:rPr>
                    <w:t>5</w:t>
                  </w:r>
                  <w:r>
                    <w:rPr>
                      <w:rFonts w:hint="eastAsia" w:ascii="Times New Roman" w:hAnsi="Times New Roman" w:cs="Times New Roman"/>
                      <w:color w:val="auto"/>
                      <w:sz w:val="21"/>
                      <w:szCs w:val="21"/>
                      <w:lang w:eastAsia="zh-CN"/>
                    </w:rPr>
                    <w:t>、动植物油</w:t>
                  </w:r>
                </w:p>
              </w:tc>
              <w:tc>
                <w:tcPr>
                  <w:tcW w:w="950"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工业废水集中处理厂</w:t>
                  </w:r>
                </w:p>
              </w:tc>
              <w:tc>
                <w:tcPr>
                  <w:tcW w:w="949"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间断排放，排放期间流量稳定</w:t>
                  </w:r>
                </w:p>
              </w:tc>
              <w:tc>
                <w:tcPr>
                  <w:tcW w:w="897"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TW001</w:t>
                  </w:r>
                </w:p>
              </w:tc>
              <w:tc>
                <w:tcPr>
                  <w:tcW w:w="900"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生活污水处理系统</w:t>
                  </w:r>
                </w:p>
              </w:tc>
              <w:tc>
                <w:tcPr>
                  <w:tcW w:w="898" w:type="dxa"/>
                  <w:noWrap w:val="0"/>
                  <w:vAlign w:val="center"/>
                </w:tcPr>
                <w:p>
                  <w:pPr>
                    <w:pStyle w:val="43"/>
                    <w:spacing w:line="240" w:lineRule="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“隔油池</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化粪池</w:t>
                  </w:r>
                  <w:r>
                    <w:rPr>
                      <w:rFonts w:hint="eastAsia" w:ascii="Times New Roman" w:hAnsi="Times New Roman" w:cs="Times New Roman"/>
                      <w:color w:val="auto"/>
                      <w:sz w:val="21"/>
                      <w:szCs w:val="21"/>
                      <w:lang w:eastAsia="zh-CN"/>
                    </w:rPr>
                    <w:t>”</w:t>
                  </w:r>
                </w:p>
              </w:tc>
              <w:tc>
                <w:tcPr>
                  <w:tcW w:w="898"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898" w:type="dxa"/>
                  <w:noWrap w:val="0"/>
                  <w:vAlign w:val="center"/>
                </w:tcPr>
                <w:p>
                  <w:pPr>
                    <w:pStyle w:val="43"/>
                    <w:spacing w:line="240" w:lineRule="auto"/>
                    <w:rPr>
                      <w:rFonts w:hint="default" w:ascii="Times New Roman" w:hAnsi="Times New Roman" w:cs="Times New Roman"/>
                      <w:color w:val="auto"/>
                      <w:sz w:val="21"/>
                      <w:szCs w:val="21"/>
                    </w:rPr>
                  </w:pPr>
                </w:p>
                <w:p>
                  <w:pPr>
                    <w:pStyle w:val="43"/>
                    <w:spacing w:line="240" w:lineRule="auto"/>
                    <w:rPr>
                      <w:rFonts w:hint="default" w:ascii="Times New Roman" w:hAnsi="Times New Roman" w:cs="Times New Roman"/>
                      <w:color w:val="auto"/>
                      <w:sz w:val="21"/>
                      <w:szCs w:val="21"/>
                    </w:rPr>
                  </w:pPr>
                </w:p>
                <w:p>
                  <w:pPr>
                    <w:pStyle w:val="43"/>
                    <w:spacing w:line="240" w:lineRule="auto"/>
                    <w:rPr>
                      <w:rFonts w:hint="default" w:ascii="Times New Roman" w:hAnsi="Times New Roman" w:cs="Times New Roman"/>
                      <w:color w:val="auto"/>
                      <w:sz w:val="21"/>
                      <w:szCs w:val="21"/>
                    </w:rPr>
                  </w:pPr>
                </w:p>
                <w:p>
                  <w:pPr>
                    <w:pStyle w:val="43"/>
                    <w:spacing w:line="240" w:lineRule="auto"/>
                    <w:rPr>
                      <w:rFonts w:hint="default" w:ascii="Times New Roman" w:hAnsi="Times New Roman" w:cs="Times New Roman"/>
                      <w:color w:val="auto"/>
                      <w:sz w:val="21"/>
                      <w:szCs w:val="21"/>
                    </w:rPr>
                  </w:pPr>
                </w:p>
                <w:p>
                  <w:pPr>
                    <w:pStyle w:val="43"/>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☑是</w:t>
                  </w:r>
                </w:p>
                <w:p>
                  <w:pPr>
                    <w:pStyle w:val="43"/>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□否</w:t>
                  </w:r>
                </w:p>
                <w:p>
                  <w:pPr>
                    <w:pStyle w:val="43"/>
                    <w:spacing w:line="240" w:lineRule="auto"/>
                    <w:rPr>
                      <w:rFonts w:hint="default" w:ascii="Times New Roman" w:hAnsi="Times New Roman" w:cs="Times New Roman"/>
                      <w:color w:val="auto"/>
                      <w:sz w:val="21"/>
                      <w:szCs w:val="21"/>
                    </w:rPr>
                  </w:pPr>
                </w:p>
                <w:p>
                  <w:pPr>
                    <w:pStyle w:val="43"/>
                    <w:spacing w:line="240" w:lineRule="auto"/>
                    <w:rPr>
                      <w:rFonts w:hint="default" w:ascii="Times New Roman" w:hAnsi="Times New Roman" w:cs="Times New Roman"/>
                      <w:color w:val="auto"/>
                      <w:sz w:val="21"/>
                      <w:szCs w:val="21"/>
                    </w:rPr>
                  </w:pPr>
                </w:p>
                <w:p>
                  <w:pPr>
                    <w:pStyle w:val="43"/>
                    <w:spacing w:line="240" w:lineRule="auto"/>
                    <w:rPr>
                      <w:rFonts w:hint="default" w:ascii="Times New Roman" w:hAnsi="Times New Roman" w:cs="Times New Roman"/>
                      <w:color w:val="auto"/>
                      <w:sz w:val="21"/>
                      <w:szCs w:val="21"/>
                    </w:rPr>
                  </w:pPr>
                </w:p>
                <w:p>
                  <w:pPr>
                    <w:pStyle w:val="43"/>
                    <w:spacing w:line="240" w:lineRule="auto"/>
                    <w:rPr>
                      <w:rFonts w:hint="default" w:ascii="Times New Roman" w:hAnsi="Times New Roman" w:cs="Times New Roman"/>
                      <w:color w:val="auto"/>
                      <w:sz w:val="21"/>
                      <w:szCs w:val="21"/>
                    </w:rPr>
                  </w:pPr>
                </w:p>
                <w:p>
                  <w:pPr>
                    <w:pStyle w:val="43"/>
                    <w:spacing w:line="240" w:lineRule="auto"/>
                    <w:rPr>
                      <w:rFonts w:hint="default" w:ascii="Times New Roman" w:hAnsi="Times New Roman" w:cs="Times New Roman"/>
                      <w:color w:val="auto"/>
                      <w:sz w:val="21"/>
                      <w:szCs w:val="21"/>
                    </w:rPr>
                  </w:pPr>
                </w:p>
              </w:tc>
              <w:tc>
                <w:tcPr>
                  <w:tcW w:w="903" w:type="dxa"/>
                  <w:noWrap w:val="0"/>
                  <w:vAlign w:val="center"/>
                </w:tcPr>
                <w:p>
                  <w:pPr>
                    <w:pStyle w:val="43"/>
                    <w:spacing w:line="240" w:lineRule="auto"/>
                    <w:rPr>
                      <w:rFonts w:hint="eastAsia" w:ascii="宋体" w:hAnsi="宋体" w:eastAsia="宋体" w:cs="宋体"/>
                      <w:color w:val="auto"/>
                      <w:sz w:val="21"/>
                      <w:szCs w:val="21"/>
                    </w:rPr>
                  </w:pPr>
                  <w:r>
                    <w:rPr>
                      <w:rFonts w:hint="default" w:ascii="Times New Roman" w:hAnsi="Times New Roman" w:cs="Times New Roman"/>
                      <w:color w:val="auto"/>
                      <w:sz w:val="21"/>
                      <w:szCs w:val="21"/>
                    </w:rPr>
                    <w:t>☑企业</w:t>
                  </w:r>
                  <w:r>
                    <w:rPr>
                      <w:rFonts w:hint="eastAsia" w:ascii="宋体" w:hAnsi="宋体" w:eastAsia="宋体" w:cs="宋体"/>
                      <w:color w:val="auto"/>
                      <w:sz w:val="21"/>
                      <w:szCs w:val="21"/>
                    </w:rPr>
                    <w:t>排口</w:t>
                  </w:r>
                </w:p>
                <w:p>
                  <w:pPr>
                    <w:pStyle w:val="43"/>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□雨水排放</w:t>
                  </w:r>
                </w:p>
                <w:p>
                  <w:pPr>
                    <w:pStyle w:val="43"/>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□清净下水排放</w:t>
                  </w:r>
                </w:p>
                <w:p>
                  <w:pPr>
                    <w:pStyle w:val="43"/>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□温排水排放</w:t>
                  </w:r>
                </w:p>
                <w:p>
                  <w:pPr>
                    <w:pStyle w:val="43"/>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□车间或车间处理设施排放口</w:t>
                  </w:r>
                </w:p>
                <w:p>
                  <w:pPr>
                    <w:pStyle w:val="43"/>
                    <w:spacing w:line="240" w:lineRule="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11"/>
                  <w:noWrap w:val="0"/>
                  <w:vAlign w:val="center"/>
                </w:tcPr>
                <w:p>
                  <w:pPr>
                    <w:pStyle w:val="43"/>
                    <w:spacing w:line="240" w:lineRule="auto"/>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superscript"/>
                    </w:rPr>
                    <w:t>a</w:t>
                  </w:r>
                  <w:r>
                    <w:rPr>
                      <w:rFonts w:hint="default" w:ascii="Times New Roman" w:hAnsi="Times New Roman" w:cs="Times New Roman"/>
                      <w:color w:val="auto"/>
                      <w:sz w:val="21"/>
                      <w:szCs w:val="21"/>
                    </w:rPr>
                    <w:t>指产生废水的工艺、工序，或废水类型的名称。</w:t>
                  </w:r>
                </w:p>
                <w:p>
                  <w:pPr>
                    <w:pStyle w:val="43"/>
                    <w:spacing w:line="240" w:lineRule="auto"/>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superscript"/>
                    </w:rPr>
                    <w:t>b</w:t>
                  </w:r>
                  <w:r>
                    <w:rPr>
                      <w:rFonts w:hint="default" w:ascii="Times New Roman" w:hAnsi="Times New Roman" w:cs="Times New Roman"/>
                      <w:color w:val="auto"/>
                      <w:sz w:val="21"/>
                      <w:szCs w:val="21"/>
                    </w:rPr>
                    <w:t>指产生的主要污染物类型，以相应排放标准中确定的污染因子为准。</w:t>
                  </w:r>
                </w:p>
                <w:p>
                  <w:pPr>
                    <w:pStyle w:val="43"/>
                    <w:spacing w:line="240" w:lineRule="auto"/>
                    <w:ind w:firstLine="420" w:firstLineChars="200"/>
                    <w:jc w:val="both"/>
                    <w:rPr>
                      <w:rFonts w:hint="eastAsia" w:ascii="宋体" w:hAnsi="宋体" w:eastAsia="宋体" w:cs="宋体"/>
                      <w:color w:val="auto"/>
                      <w:sz w:val="21"/>
                      <w:szCs w:val="21"/>
                    </w:rPr>
                  </w:pPr>
                  <w:r>
                    <w:rPr>
                      <w:rFonts w:hint="default" w:ascii="Times New Roman" w:hAnsi="Times New Roman" w:cs="Times New Roman"/>
                      <w:color w:val="auto"/>
                      <w:sz w:val="21"/>
                      <w:szCs w:val="21"/>
                      <w:vertAlign w:val="superscript"/>
                    </w:rPr>
                    <w:t>c</w:t>
                  </w:r>
                  <w:r>
                    <w:rPr>
                      <w:rFonts w:hint="default" w:ascii="Times New Roman" w:hAnsi="Times New Roman" w:cs="Times New Roman"/>
                      <w:color w:val="auto"/>
                      <w:sz w:val="21"/>
                      <w:szCs w:val="21"/>
                    </w:rPr>
                    <w:t>包括不外排；排至厂内综合污水处理站；直接进入海域；直接进入江河、湖、库等水环境；进入城市下水道（再入江河、湖、库）；进入城市下水道（再入沿海海域）；进入城市污水处理厂；直接进入污灌农田；进入</w:t>
                  </w:r>
                  <w:r>
                    <w:rPr>
                      <w:rFonts w:hint="eastAsia" w:ascii="宋体" w:hAnsi="宋体" w:eastAsia="宋体" w:cs="宋体"/>
                      <w:color w:val="auto"/>
                      <w:sz w:val="21"/>
                      <w:szCs w:val="21"/>
                    </w:rPr>
                    <w:t>地渗或蒸发地；进入其他单位；工业废水集中处理厂；其他（包括回用等）。对于工艺、工序产生的废水，“不外排”指全部在工序内部循环使用，“排至厂内综合污水处理站”指工序废水经处理后排至综合处理站。对于综合污水处理站，“不外排”指全厂废水经处理后全部回用不排放。</w:t>
                  </w:r>
                </w:p>
                <w:p>
                  <w:pPr>
                    <w:pStyle w:val="43"/>
                    <w:spacing w:line="240" w:lineRule="auto"/>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superscript"/>
                    </w:rPr>
                    <w:t>d</w:t>
                  </w:r>
                  <w:r>
                    <w:rPr>
                      <w:rFonts w:hint="default" w:ascii="Times New Roman" w:hAnsi="Times New Roman" w:cs="Times New Roman"/>
                      <w:color w:val="auto"/>
                      <w:sz w:val="21"/>
                      <w:szCs w:val="21"/>
                    </w:rPr>
                    <w:t>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pPr>
                    <w:pStyle w:val="43"/>
                    <w:spacing w:line="240" w:lineRule="auto"/>
                    <w:ind w:firstLine="420" w:firstLineChars="200"/>
                    <w:jc w:val="both"/>
                    <w:rPr>
                      <w:rFonts w:hint="eastAsia" w:ascii="宋体" w:hAnsi="宋体" w:eastAsia="宋体" w:cs="宋体"/>
                      <w:color w:val="auto"/>
                      <w:sz w:val="21"/>
                      <w:szCs w:val="21"/>
                    </w:rPr>
                  </w:pPr>
                  <w:r>
                    <w:rPr>
                      <w:rFonts w:hint="default" w:ascii="Times New Roman" w:hAnsi="Times New Roman" w:cs="Times New Roman"/>
                      <w:color w:val="auto"/>
                      <w:sz w:val="21"/>
                      <w:szCs w:val="21"/>
                      <w:vertAlign w:val="superscript"/>
                    </w:rPr>
                    <w:t>e</w:t>
                  </w:r>
                  <w:r>
                    <w:rPr>
                      <w:rFonts w:hint="default" w:ascii="Times New Roman" w:hAnsi="Times New Roman" w:cs="Times New Roman"/>
                      <w:color w:val="auto"/>
                      <w:sz w:val="21"/>
                      <w:szCs w:val="21"/>
                    </w:rPr>
                    <w:t>指主要污水处理设施名称</w:t>
                  </w:r>
                  <w:r>
                    <w:rPr>
                      <w:rFonts w:hint="eastAsia" w:ascii="宋体" w:hAnsi="宋体" w:eastAsia="宋体" w:cs="宋体"/>
                      <w:color w:val="auto"/>
                      <w:sz w:val="21"/>
                      <w:szCs w:val="21"/>
                    </w:rPr>
                    <w:t>，如“综合污水处理站”“生活污水处理系统”等。</w:t>
                  </w:r>
                </w:p>
                <w:p>
                  <w:pPr>
                    <w:pStyle w:val="43"/>
                    <w:spacing w:line="240" w:lineRule="auto"/>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superscript"/>
                    </w:rPr>
                    <w:t>f</w:t>
                  </w:r>
                  <w:r>
                    <w:rPr>
                      <w:rFonts w:hint="default" w:ascii="Times New Roman" w:hAnsi="Times New Roman" w:cs="Times New Roman"/>
                      <w:color w:val="auto"/>
                      <w:sz w:val="21"/>
                      <w:szCs w:val="21"/>
                    </w:rPr>
                    <w:t>排放口编号可按地方环境管理部门现有编号进行填写或由企业根据国家相关规范进行编制。</w:t>
                  </w:r>
                </w:p>
                <w:p>
                  <w:pPr>
                    <w:pStyle w:val="43"/>
                    <w:spacing w:line="240" w:lineRule="auto"/>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superscript"/>
                    </w:rPr>
                    <w:t>g</w:t>
                  </w:r>
                  <w:r>
                    <w:rPr>
                      <w:rFonts w:hint="default" w:ascii="Times New Roman" w:hAnsi="Times New Roman" w:cs="Times New Roman"/>
                      <w:color w:val="auto"/>
                      <w:sz w:val="21"/>
                      <w:szCs w:val="21"/>
                    </w:rPr>
                    <w:t>指排放口设置是否符合排放口规范化整治技术要求等相关文件的规定。</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建设项目废水间接排放口基本情况表见表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27</w:t>
            </w:r>
            <w:r>
              <w:rPr>
                <w:rFonts w:hint="default" w:ascii="Times New Roman" w:hAnsi="Times New Roman" w:cs="Times New Roman"/>
                <w:color w:val="auto"/>
                <w:sz w:val="24"/>
                <w:szCs w:val="24"/>
              </w:rPr>
              <w:t>。</w:t>
            </w:r>
          </w:p>
          <w:p>
            <w:pPr>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27</w:t>
            </w:r>
            <w:r>
              <w:rPr>
                <w:rFonts w:hint="default" w:ascii="Times New Roman" w:hAnsi="Times New Roman" w:cs="Times New Roman"/>
                <w:b/>
                <w:bCs/>
                <w:color w:val="auto"/>
                <w:sz w:val="24"/>
                <w:szCs w:val="24"/>
              </w:rPr>
              <w:t xml:space="preserve">  废水间接排放口基本情况表</w:t>
            </w:r>
          </w:p>
          <w:tbl>
            <w:tblPr>
              <w:tblStyle w:val="2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096"/>
              <w:gridCol w:w="1036"/>
              <w:gridCol w:w="876"/>
              <w:gridCol w:w="876"/>
              <w:gridCol w:w="876"/>
              <w:gridCol w:w="877"/>
              <w:gridCol w:w="877"/>
              <w:gridCol w:w="876"/>
              <w:gridCol w:w="877"/>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065"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tc>
              <w:tc>
                <w:tcPr>
                  <w:tcW w:w="1855" w:type="dxa"/>
                  <w:gridSpan w:val="2"/>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排放口地理坐标</w:t>
                  </w:r>
                  <w:r>
                    <w:rPr>
                      <w:rFonts w:hint="default" w:ascii="Times New Roman" w:hAnsi="Times New Roman" w:cs="Times New Roman"/>
                      <w:color w:val="auto"/>
                      <w:sz w:val="21"/>
                      <w:szCs w:val="21"/>
                      <w:vertAlign w:val="superscript"/>
                    </w:rPr>
                    <w:t>a</w:t>
                  </w:r>
                </w:p>
              </w:tc>
              <w:tc>
                <w:tcPr>
                  <w:tcW w:w="850"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废水排放量/（万t/a）</w:t>
                  </w:r>
                </w:p>
              </w:tc>
              <w:tc>
                <w:tcPr>
                  <w:tcW w:w="850"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排放去向</w:t>
                  </w:r>
                </w:p>
              </w:tc>
              <w:tc>
                <w:tcPr>
                  <w:tcW w:w="851"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排放规律</w:t>
                  </w:r>
                </w:p>
              </w:tc>
              <w:tc>
                <w:tcPr>
                  <w:tcW w:w="851" w:type="dxa"/>
                  <w:vMerge w:val="restart"/>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间歇排放时段</w:t>
                  </w:r>
                </w:p>
              </w:tc>
              <w:tc>
                <w:tcPr>
                  <w:tcW w:w="2552" w:type="dxa"/>
                  <w:gridSpan w:val="3"/>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1065"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1005"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850"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w:t>
                  </w:r>
                </w:p>
              </w:tc>
              <w:tc>
                <w:tcPr>
                  <w:tcW w:w="850"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850"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851"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851" w:type="dxa"/>
                  <w:vMerge w:val="continue"/>
                  <w:noWrap w:val="0"/>
                  <w:vAlign w:val="center"/>
                </w:tcPr>
                <w:p>
                  <w:pPr>
                    <w:pStyle w:val="43"/>
                    <w:spacing w:line="240" w:lineRule="auto"/>
                    <w:rPr>
                      <w:rFonts w:hint="default" w:ascii="Times New Roman" w:hAnsi="Times New Roman" w:cs="Times New Roman"/>
                      <w:color w:val="auto"/>
                      <w:sz w:val="21"/>
                      <w:szCs w:val="21"/>
                    </w:rPr>
                  </w:pPr>
                </w:p>
              </w:tc>
              <w:tc>
                <w:tcPr>
                  <w:tcW w:w="850"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r>
                    <w:rPr>
                      <w:rFonts w:hint="default" w:ascii="Times New Roman" w:hAnsi="Times New Roman" w:cs="Times New Roman"/>
                      <w:color w:val="auto"/>
                      <w:sz w:val="21"/>
                      <w:szCs w:val="21"/>
                      <w:vertAlign w:val="superscript"/>
                    </w:rPr>
                    <w:t>b</w:t>
                  </w:r>
                </w:p>
              </w:tc>
              <w:tc>
                <w:tcPr>
                  <w:tcW w:w="851"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污染物种类</w:t>
                  </w:r>
                </w:p>
              </w:tc>
              <w:tc>
                <w:tcPr>
                  <w:tcW w:w="851"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国家或地方污染物排放标准浓度/（mg/L）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65"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1005"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117°3'56.058"</w:t>
                  </w:r>
                </w:p>
              </w:tc>
              <w:tc>
                <w:tcPr>
                  <w:tcW w:w="850"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34°6'29.523"</w:t>
                  </w:r>
                </w:p>
              </w:tc>
              <w:tc>
                <w:tcPr>
                  <w:tcW w:w="850"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0.1080</w:t>
                  </w:r>
                </w:p>
              </w:tc>
              <w:tc>
                <w:tcPr>
                  <w:tcW w:w="850"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工业废水集中处理厂</w:t>
                  </w:r>
                </w:p>
              </w:tc>
              <w:tc>
                <w:tcPr>
                  <w:tcW w:w="851"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间断排放，排放期间流量稳定</w:t>
                  </w:r>
                </w:p>
              </w:tc>
              <w:tc>
                <w:tcPr>
                  <w:tcW w:w="851"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50" w:type="dxa"/>
                  <w:noWrap w:val="0"/>
                  <w:vAlign w:val="center"/>
                </w:tcPr>
                <w:p>
                  <w:pPr>
                    <w:pStyle w:val="4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萧县清源污水处理有限公司</w:t>
                  </w:r>
                </w:p>
              </w:tc>
              <w:tc>
                <w:tcPr>
                  <w:tcW w:w="851" w:type="dxa"/>
                  <w:noWrap w:val="0"/>
                  <w:vAlign w:val="center"/>
                </w:tcPr>
                <w:p>
                  <w:pPr>
                    <w:pStyle w:val="43"/>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pH、COD、NH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-N、SS、BOD</w:t>
                  </w:r>
                  <w:r>
                    <w:rPr>
                      <w:rFonts w:hint="eastAsia" w:ascii="Times New Roman" w:hAnsi="Times New Roman" w:cs="Times New Roman"/>
                      <w:color w:val="auto"/>
                      <w:sz w:val="21"/>
                      <w:szCs w:val="21"/>
                      <w:vertAlign w:val="subscript"/>
                      <w:lang w:val="en-US" w:eastAsia="zh-CN"/>
                    </w:rPr>
                    <w:t>5</w:t>
                  </w:r>
                  <w:r>
                    <w:rPr>
                      <w:rFonts w:hint="eastAsia" w:ascii="Times New Roman" w:hAnsi="Times New Roman" w:cs="Times New Roman"/>
                      <w:color w:val="auto"/>
                      <w:sz w:val="21"/>
                      <w:szCs w:val="21"/>
                      <w:lang w:eastAsia="zh-CN"/>
                    </w:rPr>
                    <w:t>、动植物油</w:t>
                  </w:r>
                </w:p>
              </w:tc>
              <w:tc>
                <w:tcPr>
                  <w:tcW w:w="851" w:type="dxa"/>
                  <w:noWrap w:val="0"/>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pH：6～9，</w:t>
                  </w:r>
                  <w:r>
                    <w:rPr>
                      <w:rFonts w:hint="default" w:ascii="Times New Roman" w:hAnsi="Times New Roman" w:cs="Times New Roman"/>
                      <w:color w:val="auto"/>
                      <w:sz w:val="21"/>
                      <w:szCs w:val="21"/>
                      <w:vertAlign w:val="baseline"/>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COD：</w:t>
                  </w:r>
                  <w:r>
                    <w:rPr>
                      <w:rFonts w:hint="eastAsia" w:ascii="Times New Roman" w:hAnsi="Times New Roman" w:cs="Times New Roman"/>
                      <w:color w:val="auto"/>
                      <w:sz w:val="21"/>
                      <w:szCs w:val="21"/>
                      <w:lang w:val="en-US" w:eastAsia="zh-CN"/>
                    </w:rPr>
                    <w:t>500</w:t>
                  </w:r>
                  <w:r>
                    <w:rPr>
                      <w:rFonts w:hint="default" w:ascii="Times New Roman" w:hAnsi="Times New Roman" w:cs="Times New Roman"/>
                      <w:color w:val="auto"/>
                      <w:sz w:val="21"/>
                      <w:szCs w:val="21"/>
                    </w:rPr>
                    <w:t>，SS：</w:t>
                  </w:r>
                  <w:r>
                    <w:rPr>
                      <w:rFonts w:hint="eastAsia" w:ascii="Times New Roman" w:hAnsi="Times New Roman" w:cs="Times New Roman"/>
                      <w:color w:val="auto"/>
                      <w:sz w:val="21"/>
                      <w:szCs w:val="21"/>
                      <w:lang w:val="en-US" w:eastAsia="zh-CN"/>
                    </w:rPr>
                    <w:t>250</w:t>
                  </w: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150，动植物油：100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4" w:type="dxa"/>
                  <w:gridSpan w:val="11"/>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superscript"/>
                    </w:rPr>
                    <w:t>a</w:t>
                  </w:r>
                  <w:r>
                    <w:rPr>
                      <w:rFonts w:hint="default" w:ascii="Times New Roman" w:hAnsi="Times New Roman" w:cs="Times New Roman"/>
                      <w:color w:val="auto"/>
                      <w:sz w:val="21"/>
                      <w:szCs w:val="21"/>
                    </w:rPr>
                    <w:t>对于排至厂外公共污水处理系统的排放口，指废水排出厂界处经纬度坐标。</w:t>
                  </w:r>
                </w:p>
                <w:p>
                  <w:pPr>
                    <w:pStyle w:val="4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superscript"/>
                    </w:rPr>
                    <w:t>b</w:t>
                  </w:r>
                  <w:r>
                    <w:rPr>
                      <w:rFonts w:hint="default" w:ascii="Times New Roman" w:hAnsi="Times New Roman" w:cs="Times New Roman"/>
                      <w:color w:val="auto"/>
                      <w:sz w:val="21"/>
                      <w:szCs w:val="21"/>
                    </w:rPr>
                    <w:t>指厂外城镇或工业污水集中处理设施名称，如×××生活污水处理厂、×××化工园区污水处理厂等。</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建设项目废水污染物排放执行标准表见表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28</w:t>
            </w:r>
            <w:r>
              <w:rPr>
                <w:rFonts w:hint="default" w:ascii="Times New Roman" w:hAnsi="Times New Roman" w:cs="Times New Roman"/>
                <w:color w:val="auto"/>
                <w:sz w:val="24"/>
                <w:szCs w:val="24"/>
              </w:rPr>
              <w:t>。</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28</w:t>
            </w:r>
            <w:r>
              <w:rPr>
                <w:rFonts w:hint="default" w:ascii="Times New Roman" w:hAnsi="Times New Roman" w:cs="Times New Roman"/>
                <w:b/>
                <w:bCs/>
                <w:color w:val="auto"/>
                <w:sz w:val="24"/>
                <w:szCs w:val="24"/>
              </w:rPr>
              <w:t xml:space="preserve">  废水污染物排放执行标准表</w:t>
            </w:r>
          </w:p>
          <w:tbl>
            <w:tblPr>
              <w:tblStyle w:val="2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314"/>
              <w:gridCol w:w="1623"/>
              <w:gridCol w:w="4033"/>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Merge w:val="restart"/>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314" w:type="dxa"/>
                  <w:vMerge w:val="restart"/>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tc>
              <w:tc>
                <w:tcPr>
                  <w:tcW w:w="1623" w:type="dxa"/>
                  <w:vMerge w:val="restart"/>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污染物种类</w:t>
                  </w:r>
                </w:p>
              </w:tc>
              <w:tc>
                <w:tcPr>
                  <w:tcW w:w="5961" w:type="dxa"/>
                  <w:gridSpan w:val="2"/>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国家或地方污染物排放标准及其他按规定商定的排放协议</w:t>
                  </w:r>
                  <w:r>
                    <w:rPr>
                      <w:rFonts w:hint="default" w:ascii="Times New Roman" w:hAnsi="Times New Roman" w:cs="Times New Roman"/>
                      <w:color w:val="auto"/>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Merge w:val="continue"/>
                  <w:noWrap w:val="0"/>
                  <w:vAlign w:val="center"/>
                </w:tcPr>
                <w:p>
                  <w:pPr>
                    <w:pStyle w:val="29"/>
                    <w:jc w:val="center"/>
                    <w:rPr>
                      <w:rFonts w:hint="default" w:ascii="Times New Roman" w:hAnsi="Times New Roman" w:cs="Times New Roman"/>
                      <w:color w:val="auto"/>
                      <w:sz w:val="21"/>
                      <w:szCs w:val="21"/>
                    </w:rPr>
                  </w:pPr>
                </w:p>
              </w:tc>
              <w:tc>
                <w:tcPr>
                  <w:tcW w:w="1314" w:type="dxa"/>
                  <w:vMerge w:val="continue"/>
                  <w:noWrap w:val="0"/>
                  <w:vAlign w:val="center"/>
                </w:tcPr>
                <w:p>
                  <w:pPr>
                    <w:pStyle w:val="29"/>
                    <w:jc w:val="center"/>
                    <w:rPr>
                      <w:rFonts w:hint="default" w:ascii="Times New Roman" w:hAnsi="Times New Roman" w:cs="Times New Roman"/>
                      <w:color w:val="auto"/>
                      <w:sz w:val="21"/>
                      <w:szCs w:val="21"/>
                    </w:rPr>
                  </w:pPr>
                </w:p>
              </w:tc>
              <w:tc>
                <w:tcPr>
                  <w:tcW w:w="1623" w:type="dxa"/>
                  <w:vMerge w:val="continue"/>
                  <w:noWrap w:val="0"/>
                  <w:vAlign w:val="center"/>
                </w:tcPr>
                <w:p>
                  <w:pPr>
                    <w:pStyle w:val="29"/>
                    <w:jc w:val="center"/>
                    <w:rPr>
                      <w:rFonts w:hint="default" w:ascii="Times New Roman" w:hAnsi="Times New Roman" w:cs="Times New Roman"/>
                      <w:color w:val="auto"/>
                      <w:sz w:val="21"/>
                      <w:szCs w:val="21"/>
                    </w:rPr>
                  </w:pPr>
                </w:p>
              </w:tc>
              <w:tc>
                <w:tcPr>
                  <w:tcW w:w="4033"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928"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Merge w:val="restart"/>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14" w:type="dxa"/>
                  <w:vMerge w:val="restart"/>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1623"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4033" w:type="dxa"/>
                  <w:vMerge w:val="restart"/>
                  <w:noWrap w:val="0"/>
                  <w:vAlign w:val="center"/>
                </w:tcPr>
                <w:p>
                  <w:pPr>
                    <w:pStyle w:val="29"/>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《污水综合排放标准》（GB8978-1996）表4中三级标准及</w:t>
                  </w:r>
                  <w:r>
                    <w:rPr>
                      <w:rFonts w:hint="default" w:ascii="Times New Roman" w:hAnsi="Times New Roman" w:cs="Times New Roman"/>
                      <w:color w:val="auto"/>
                      <w:sz w:val="21"/>
                      <w:szCs w:val="21"/>
                      <w:lang w:val="en-US" w:eastAsia="zh-CN"/>
                    </w:rPr>
                    <w:t>萧县清源污水处理有限公司</w:t>
                  </w:r>
                  <w:r>
                    <w:rPr>
                      <w:rFonts w:hint="default" w:ascii="Times New Roman" w:hAnsi="Times New Roman" w:cs="Times New Roman"/>
                      <w:color w:val="auto"/>
                      <w:sz w:val="21"/>
                      <w:szCs w:val="21"/>
                    </w:rPr>
                    <w:t>接管</w:t>
                  </w:r>
                  <w:r>
                    <w:rPr>
                      <w:rFonts w:hint="eastAsia" w:cs="Times New Roman"/>
                      <w:color w:val="auto"/>
                      <w:sz w:val="21"/>
                      <w:szCs w:val="21"/>
                      <w:lang w:eastAsia="zh-CN"/>
                    </w:rPr>
                    <w:t>限值</w:t>
                  </w:r>
                </w:p>
              </w:tc>
              <w:tc>
                <w:tcPr>
                  <w:tcW w:w="1928"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Merge w:val="continue"/>
                  <w:noWrap w:val="0"/>
                  <w:vAlign w:val="center"/>
                </w:tcPr>
                <w:p>
                  <w:pPr>
                    <w:pStyle w:val="29"/>
                    <w:jc w:val="center"/>
                    <w:rPr>
                      <w:rFonts w:hint="default" w:ascii="Times New Roman" w:hAnsi="Times New Roman" w:cs="Times New Roman"/>
                      <w:color w:val="auto"/>
                      <w:sz w:val="21"/>
                      <w:szCs w:val="21"/>
                    </w:rPr>
                  </w:pPr>
                </w:p>
              </w:tc>
              <w:tc>
                <w:tcPr>
                  <w:tcW w:w="1314" w:type="dxa"/>
                  <w:vMerge w:val="continue"/>
                  <w:noWrap w:val="0"/>
                  <w:vAlign w:val="center"/>
                </w:tcPr>
                <w:p>
                  <w:pPr>
                    <w:pStyle w:val="29"/>
                    <w:jc w:val="center"/>
                    <w:rPr>
                      <w:rFonts w:hint="default" w:ascii="Times New Roman" w:hAnsi="Times New Roman" w:cs="Times New Roman"/>
                      <w:color w:val="auto"/>
                      <w:sz w:val="21"/>
                      <w:szCs w:val="21"/>
                    </w:rPr>
                  </w:pPr>
                </w:p>
              </w:tc>
              <w:tc>
                <w:tcPr>
                  <w:tcW w:w="1623"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4033" w:type="dxa"/>
                  <w:vMerge w:val="continue"/>
                  <w:noWrap w:val="0"/>
                  <w:vAlign w:val="center"/>
                </w:tcPr>
                <w:p>
                  <w:pPr>
                    <w:pStyle w:val="29"/>
                    <w:jc w:val="center"/>
                    <w:rPr>
                      <w:rFonts w:hint="default" w:ascii="Times New Roman" w:hAnsi="Times New Roman" w:cs="Times New Roman"/>
                      <w:color w:val="auto"/>
                      <w:sz w:val="21"/>
                      <w:szCs w:val="21"/>
                    </w:rPr>
                  </w:pPr>
                </w:p>
              </w:tc>
              <w:tc>
                <w:tcPr>
                  <w:tcW w:w="1928"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500</w:t>
                  </w:r>
                  <w:r>
                    <w:rPr>
                      <w:rFonts w:hint="default" w:ascii="Times New Roman" w:hAnsi="Times New Roman" w:cs="Times New Roman"/>
                      <w:color w:val="auto"/>
                      <w:sz w:val="21"/>
                      <w:szCs w:val="21"/>
                      <w:lang w:val="en-US" w:eastAsia="zh-CN"/>
                    </w:rPr>
                    <w:t>（接管</w:t>
                  </w:r>
                  <w:r>
                    <w:rPr>
                      <w:rFonts w:hint="eastAsia" w:cs="Times New Roman"/>
                      <w:color w:val="auto"/>
                      <w:sz w:val="21"/>
                      <w:szCs w:val="21"/>
                      <w:lang w:val="en-US" w:eastAsia="zh-CN"/>
                    </w:rPr>
                    <w:t>限值</w:t>
                  </w: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Merge w:val="continue"/>
                  <w:noWrap w:val="0"/>
                  <w:vAlign w:val="center"/>
                </w:tcPr>
                <w:p>
                  <w:pPr>
                    <w:pStyle w:val="29"/>
                    <w:jc w:val="center"/>
                    <w:rPr>
                      <w:rFonts w:hint="default" w:ascii="Times New Roman" w:hAnsi="Times New Roman" w:cs="Times New Roman"/>
                      <w:color w:val="auto"/>
                      <w:sz w:val="21"/>
                      <w:szCs w:val="21"/>
                    </w:rPr>
                  </w:pPr>
                </w:p>
              </w:tc>
              <w:tc>
                <w:tcPr>
                  <w:tcW w:w="1314" w:type="dxa"/>
                  <w:vMerge w:val="continue"/>
                  <w:noWrap w:val="0"/>
                  <w:vAlign w:val="center"/>
                </w:tcPr>
                <w:p>
                  <w:pPr>
                    <w:pStyle w:val="29"/>
                    <w:jc w:val="center"/>
                    <w:rPr>
                      <w:rFonts w:hint="default" w:ascii="Times New Roman" w:hAnsi="Times New Roman" w:cs="Times New Roman"/>
                      <w:color w:val="auto"/>
                      <w:sz w:val="21"/>
                      <w:szCs w:val="21"/>
                    </w:rPr>
                  </w:pPr>
                </w:p>
              </w:tc>
              <w:tc>
                <w:tcPr>
                  <w:tcW w:w="1623"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4033" w:type="dxa"/>
                  <w:vMerge w:val="continue"/>
                  <w:noWrap w:val="0"/>
                  <w:vAlign w:val="center"/>
                </w:tcPr>
                <w:p>
                  <w:pPr>
                    <w:pStyle w:val="29"/>
                    <w:jc w:val="center"/>
                    <w:rPr>
                      <w:rFonts w:hint="default" w:ascii="Times New Roman" w:hAnsi="Times New Roman" w:cs="Times New Roman"/>
                      <w:color w:val="auto"/>
                      <w:sz w:val="21"/>
                      <w:szCs w:val="21"/>
                    </w:rPr>
                  </w:pPr>
                </w:p>
              </w:tc>
              <w:tc>
                <w:tcPr>
                  <w:tcW w:w="1928"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150</w:t>
                  </w:r>
                  <w:r>
                    <w:rPr>
                      <w:rFonts w:hint="default" w:ascii="Times New Roman" w:hAnsi="Times New Roman" w:cs="Times New Roman"/>
                      <w:color w:val="auto"/>
                      <w:sz w:val="21"/>
                      <w:szCs w:val="21"/>
                      <w:lang w:val="en-US" w:eastAsia="zh-CN"/>
                    </w:rPr>
                    <w:t>（接管</w:t>
                  </w:r>
                  <w:r>
                    <w:rPr>
                      <w:rFonts w:hint="eastAsia" w:cs="Times New Roman"/>
                      <w:color w:val="auto"/>
                      <w:sz w:val="21"/>
                      <w:szCs w:val="21"/>
                      <w:lang w:val="en-US" w:eastAsia="zh-CN"/>
                    </w:rPr>
                    <w:t>限值</w:t>
                  </w: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Merge w:val="continue"/>
                  <w:noWrap w:val="0"/>
                  <w:vAlign w:val="center"/>
                </w:tcPr>
                <w:p>
                  <w:pPr>
                    <w:pStyle w:val="29"/>
                    <w:jc w:val="center"/>
                    <w:rPr>
                      <w:rFonts w:hint="default" w:ascii="Times New Roman" w:hAnsi="Times New Roman" w:cs="Times New Roman"/>
                      <w:color w:val="auto"/>
                      <w:sz w:val="21"/>
                      <w:szCs w:val="21"/>
                    </w:rPr>
                  </w:pPr>
                </w:p>
              </w:tc>
              <w:tc>
                <w:tcPr>
                  <w:tcW w:w="1314" w:type="dxa"/>
                  <w:vMerge w:val="continue"/>
                  <w:noWrap w:val="0"/>
                  <w:vAlign w:val="center"/>
                </w:tcPr>
                <w:p>
                  <w:pPr>
                    <w:pStyle w:val="29"/>
                    <w:jc w:val="center"/>
                    <w:rPr>
                      <w:rFonts w:hint="default" w:ascii="Times New Roman" w:hAnsi="Times New Roman" w:cs="Times New Roman"/>
                      <w:color w:val="auto"/>
                      <w:sz w:val="21"/>
                      <w:szCs w:val="21"/>
                    </w:rPr>
                  </w:pPr>
                </w:p>
              </w:tc>
              <w:tc>
                <w:tcPr>
                  <w:tcW w:w="1623"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4033" w:type="dxa"/>
                  <w:vMerge w:val="continue"/>
                  <w:noWrap w:val="0"/>
                  <w:vAlign w:val="center"/>
                </w:tcPr>
                <w:p>
                  <w:pPr>
                    <w:pStyle w:val="29"/>
                    <w:jc w:val="center"/>
                    <w:rPr>
                      <w:rFonts w:hint="default" w:ascii="Times New Roman" w:hAnsi="Times New Roman" w:cs="Times New Roman"/>
                      <w:color w:val="auto"/>
                      <w:sz w:val="21"/>
                      <w:szCs w:val="21"/>
                    </w:rPr>
                  </w:pPr>
                </w:p>
              </w:tc>
              <w:tc>
                <w:tcPr>
                  <w:tcW w:w="1928" w:type="dxa"/>
                  <w:noWrap w:val="0"/>
                  <w:vAlign w:val="center"/>
                </w:tcPr>
                <w:p>
                  <w:pPr>
                    <w:pStyle w:val="29"/>
                    <w:jc w:val="center"/>
                    <w:rPr>
                      <w:rFonts w:hint="default" w:ascii="Times New Roman" w:hAnsi="Times New Roman" w:cs="Times New Roman"/>
                      <w:color w:val="auto"/>
                      <w:sz w:val="21"/>
                      <w:szCs w:val="21"/>
                      <w:lang w:eastAsia="zh-CN"/>
                    </w:rPr>
                  </w:pPr>
                  <w:r>
                    <w:rPr>
                      <w:rFonts w:hint="eastAsia" w:cs="Times New Roman"/>
                      <w:color w:val="auto"/>
                      <w:sz w:val="21"/>
                      <w:szCs w:val="21"/>
                      <w:lang w:val="en-US" w:eastAsia="zh-CN"/>
                    </w:rPr>
                    <w:t>30</w:t>
                  </w:r>
                  <w:r>
                    <w:rPr>
                      <w:rFonts w:hint="default" w:ascii="Times New Roman" w:hAnsi="Times New Roman" w:cs="Times New Roman"/>
                      <w:color w:val="auto"/>
                      <w:sz w:val="21"/>
                      <w:szCs w:val="21"/>
                      <w:lang w:val="en-US" w:eastAsia="zh-CN"/>
                    </w:rPr>
                    <w:t>（接管</w:t>
                  </w:r>
                  <w:r>
                    <w:rPr>
                      <w:rFonts w:hint="eastAsia" w:cs="Times New Roman"/>
                      <w:color w:val="auto"/>
                      <w:sz w:val="21"/>
                      <w:szCs w:val="21"/>
                      <w:lang w:val="en-US" w:eastAsia="zh-CN"/>
                    </w:rPr>
                    <w:t>限值</w:t>
                  </w: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Merge w:val="continue"/>
                  <w:noWrap w:val="0"/>
                  <w:vAlign w:val="center"/>
                </w:tcPr>
                <w:p>
                  <w:pPr>
                    <w:pStyle w:val="29"/>
                    <w:jc w:val="center"/>
                    <w:rPr>
                      <w:rFonts w:hint="default" w:ascii="Times New Roman" w:hAnsi="Times New Roman" w:cs="Times New Roman"/>
                      <w:color w:val="auto"/>
                      <w:sz w:val="21"/>
                      <w:szCs w:val="21"/>
                    </w:rPr>
                  </w:pPr>
                </w:p>
              </w:tc>
              <w:tc>
                <w:tcPr>
                  <w:tcW w:w="1314" w:type="dxa"/>
                  <w:vMerge w:val="continue"/>
                  <w:noWrap w:val="0"/>
                  <w:vAlign w:val="center"/>
                </w:tcPr>
                <w:p>
                  <w:pPr>
                    <w:pStyle w:val="29"/>
                    <w:jc w:val="center"/>
                    <w:rPr>
                      <w:rFonts w:hint="default" w:ascii="Times New Roman" w:hAnsi="Times New Roman" w:cs="Times New Roman"/>
                      <w:color w:val="auto"/>
                      <w:sz w:val="21"/>
                      <w:szCs w:val="21"/>
                    </w:rPr>
                  </w:pPr>
                </w:p>
              </w:tc>
              <w:tc>
                <w:tcPr>
                  <w:tcW w:w="1623"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4033" w:type="dxa"/>
                  <w:vMerge w:val="continue"/>
                  <w:noWrap w:val="0"/>
                  <w:vAlign w:val="center"/>
                </w:tcPr>
                <w:p>
                  <w:pPr>
                    <w:pStyle w:val="29"/>
                    <w:jc w:val="center"/>
                    <w:rPr>
                      <w:rFonts w:hint="default" w:ascii="Times New Roman" w:hAnsi="Times New Roman" w:cs="Times New Roman"/>
                      <w:color w:val="auto"/>
                      <w:sz w:val="21"/>
                      <w:szCs w:val="21"/>
                    </w:rPr>
                  </w:pPr>
                </w:p>
              </w:tc>
              <w:tc>
                <w:tcPr>
                  <w:tcW w:w="1928"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250</w:t>
                  </w:r>
                  <w:r>
                    <w:rPr>
                      <w:rFonts w:hint="default" w:ascii="Times New Roman" w:hAnsi="Times New Roman" w:cs="Times New Roman"/>
                      <w:color w:val="auto"/>
                      <w:sz w:val="21"/>
                      <w:szCs w:val="21"/>
                      <w:lang w:val="en-US" w:eastAsia="zh-CN"/>
                    </w:rPr>
                    <w:t>（接管</w:t>
                  </w:r>
                  <w:r>
                    <w:rPr>
                      <w:rFonts w:hint="eastAsia" w:cs="Times New Roman"/>
                      <w:color w:val="auto"/>
                      <w:sz w:val="21"/>
                      <w:szCs w:val="21"/>
                      <w:lang w:val="en-US" w:eastAsia="zh-CN"/>
                    </w:rPr>
                    <w:t>限值</w:t>
                  </w: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Merge w:val="continue"/>
                  <w:noWrap w:val="0"/>
                  <w:vAlign w:val="center"/>
                </w:tcPr>
                <w:p>
                  <w:pPr>
                    <w:pStyle w:val="29"/>
                    <w:jc w:val="center"/>
                    <w:rPr>
                      <w:rFonts w:hint="default" w:ascii="Times New Roman" w:hAnsi="Times New Roman" w:cs="Times New Roman"/>
                      <w:color w:val="auto"/>
                      <w:sz w:val="21"/>
                      <w:szCs w:val="21"/>
                    </w:rPr>
                  </w:pPr>
                </w:p>
              </w:tc>
              <w:tc>
                <w:tcPr>
                  <w:tcW w:w="1314" w:type="dxa"/>
                  <w:vMerge w:val="continue"/>
                  <w:noWrap w:val="0"/>
                  <w:vAlign w:val="center"/>
                </w:tcPr>
                <w:p>
                  <w:pPr>
                    <w:pStyle w:val="29"/>
                    <w:jc w:val="center"/>
                    <w:rPr>
                      <w:rFonts w:hint="default" w:ascii="Times New Roman" w:hAnsi="Times New Roman" w:cs="Times New Roman"/>
                      <w:color w:val="auto"/>
                      <w:sz w:val="21"/>
                      <w:szCs w:val="21"/>
                    </w:rPr>
                  </w:pPr>
                </w:p>
              </w:tc>
              <w:tc>
                <w:tcPr>
                  <w:tcW w:w="1623" w:type="dxa"/>
                  <w:noWrap w:val="0"/>
                  <w:vAlign w:val="center"/>
                </w:tcPr>
                <w:p>
                  <w:pPr>
                    <w:pStyle w:val="29"/>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动植物油</w:t>
                  </w:r>
                </w:p>
              </w:tc>
              <w:tc>
                <w:tcPr>
                  <w:tcW w:w="4033" w:type="dxa"/>
                  <w:vMerge w:val="continue"/>
                  <w:noWrap w:val="0"/>
                  <w:vAlign w:val="center"/>
                </w:tcPr>
                <w:p>
                  <w:pPr>
                    <w:pStyle w:val="29"/>
                    <w:jc w:val="center"/>
                    <w:rPr>
                      <w:rFonts w:hint="default" w:ascii="Times New Roman" w:hAnsi="Times New Roman" w:cs="Times New Roman"/>
                      <w:color w:val="auto"/>
                      <w:sz w:val="21"/>
                      <w:szCs w:val="21"/>
                    </w:rPr>
                  </w:pPr>
                </w:p>
              </w:tc>
              <w:tc>
                <w:tcPr>
                  <w:tcW w:w="1928" w:type="dxa"/>
                  <w:noWrap w:val="0"/>
                  <w:vAlign w:val="center"/>
                </w:tcPr>
                <w:p>
                  <w:pPr>
                    <w:pStyle w:val="29"/>
                    <w:jc w:val="center"/>
                    <w:rPr>
                      <w:rFonts w:hint="default" w:cs="Times New Roman"/>
                      <w:color w:val="auto"/>
                      <w:sz w:val="21"/>
                      <w:szCs w:val="21"/>
                      <w:lang w:val="en-US" w:eastAsia="zh-CN"/>
                    </w:rPr>
                  </w:pPr>
                  <w:r>
                    <w:rPr>
                      <w:rFonts w:hint="eastAsia" w:cs="Times New Roman"/>
                      <w:color w:val="auto"/>
                      <w:sz w:val="21"/>
                      <w:szCs w:val="21"/>
                      <w:lang w:val="en-US" w:eastAsia="zh-CN"/>
                    </w:rPr>
                    <w:t>100（三级标准）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5"/>
                  <w:noWrap w:val="0"/>
                  <w:vAlign w:val="center"/>
                </w:tcPr>
                <w:p>
                  <w:pPr>
                    <w:pStyle w:val="29"/>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superscript"/>
                    </w:rPr>
                    <w:t>a</w:t>
                  </w:r>
                  <w:r>
                    <w:rPr>
                      <w:rFonts w:hint="default" w:ascii="Times New Roman" w:hAnsi="Times New Roman" w:cs="Times New Roman"/>
                      <w:color w:val="auto"/>
                      <w:sz w:val="21"/>
                      <w:szCs w:val="21"/>
                    </w:rPr>
                    <w:t>指对应排放口需执行的国家或地方污染物排放标准以及其他按规定商定建设项目水污染物排放控制要求的协议，据此确定的排放浓度限值。</w:t>
                  </w:r>
                </w:p>
              </w:tc>
            </w:tr>
          </w:tbl>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建设项目废水污染物监测计划一览表见表4.</w:t>
            </w:r>
            <w:r>
              <w:rPr>
                <w:rFonts w:hint="eastAsia"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lang w:val="en-US" w:eastAsia="zh-CN"/>
              </w:rPr>
              <w:t>。</w:t>
            </w:r>
          </w:p>
          <w:p>
            <w:pPr>
              <w:spacing w:line="24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ascii="Times New Roman" w:hAnsi="Times New Roman" w:cs="Times New Roman"/>
                <w:b/>
                <w:bCs/>
                <w:color w:val="auto"/>
                <w:sz w:val="24"/>
                <w:szCs w:val="24"/>
                <w:lang w:val="en-US" w:eastAsia="zh-CN"/>
              </w:rPr>
              <w:t>29</w:t>
            </w:r>
            <w:r>
              <w:rPr>
                <w:rFonts w:hint="default" w:ascii="Times New Roman" w:hAnsi="Times New Roman" w:cs="Times New Roman"/>
                <w:b/>
                <w:bCs/>
                <w:color w:val="auto"/>
                <w:sz w:val="24"/>
                <w:szCs w:val="24"/>
                <w:lang w:val="en-US" w:eastAsia="zh-CN"/>
              </w:rPr>
              <w:t xml:space="preserve">  废水污染物监测计划一览表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095"/>
              <w:gridCol w:w="1756"/>
              <w:gridCol w:w="1049"/>
              <w:gridCol w:w="1306"/>
              <w:gridCol w:w="1347"/>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监测点位置</w:t>
                  </w:r>
                </w:p>
              </w:tc>
              <w:tc>
                <w:tcPr>
                  <w:tcW w:w="1063"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监测内容</w:t>
                  </w:r>
                </w:p>
              </w:tc>
              <w:tc>
                <w:tcPr>
                  <w:tcW w:w="1704"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监测指标</w:t>
                  </w:r>
                </w:p>
              </w:tc>
              <w:tc>
                <w:tcPr>
                  <w:tcW w:w="1018"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监测方式</w:t>
                  </w:r>
                </w:p>
              </w:tc>
              <w:tc>
                <w:tcPr>
                  <w:tcW w:w="1268"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监测采样方法及个数</w:t>
                  </w:r>
                </w:p>
              </w:tc>
              <w:tc>
                <w:tcPr>
                  <w:tcW w:w="1307"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监测频次</w:t>
                  </w:r>
                </w:p>
              </w:tc>
              <w:tc>
                <w:tcPr>
                  <w:tcW w:w="1867"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DW001</w:t>
                  </w:r>
                </w:p>
              </w:tc>
              <w:tc>
                <w:tcPr>
                  <w:tcW w:w="1063"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流量</w:t>
                  </w:r>
                </w:p>
              </w:tc>
              <w:tc>
                <w:tcPr>
                  <w:tcW w:w="1704"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pH、COD、BOD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val="en-US" w:eastAsia="zh-CN"/>
                    </w:rPr>
                    <w:t>、SS、NH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r>
                    <w:rPr>
                      <w:rFonts w:hint="eastAsia" w:ascii="Times New Roman" w:hAnsi="Times New Roman" w:cs="Times New Roman"/>
                      <w:color w:val="auto"/>
                      <w:sz w:val="21"/>
                      <w:szCs w:val="21"/>
                      <w:lang w:val="en-US" w:eastAsia="zh-CN"/>
                    </w:rPr>
                    <w:t>、动植物油</w:t>
                  </w:r>
                </w:p>
              </w:tc>
              <w:tc>
                <w:tcPr>
                  <w:tcW w:w="1018"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手工监测</w:t>
                  </w:r>
                </w:p>
              </w:tc>
              <w:tc>
                <w:tcPr>
                  <w:tcW w:w="1268"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瞬时采样，多个瞬时样</w:t>
                  </w:r>
                </w:p>
              </w:tc>
              <w:tc>
                <w:tcPr>
                  <w:tcW w:w="1307"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每年一次</w:t>
                  </w:r>
                </w:p>
              </w:tc>
              <w:tc>
                <w:tcPr>
                  <w:tcW w:w="1867" w:type="dxa"/>
                  <w:vAlign w:val="center"/>
                </w:tcPr>
                <w:p>
                  <w:pPr>
                    <w:pStyle w:val="43"/>
                    <w:spacing w:line="240" w:lineRule="auto"/>
                    <w:rPr>
                      <w:rFonts w:hint="default" w:ascii="Times New Roman" w:hAnsi="Times New Roman" w:cs="Times New Roman"/>
                      <w:color w:val="auto"/>
                      <w:sz w:val="21"/>
                      <w:szCs w:val="21"/>
                      <w:lang w:val="en-US" w:eastAsia="zh-CN"/>
                    </w:rPr>
                  </w:pPr>
                  <w:r>
                    <w:rPr>
                      <w:rFonts w:hint="default"/>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排污单位自行监测技术指南-总则》（HJ819-2017）、《排污单位自行监测技术指南-涂装》（HJ1086-2020）</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lang w:val="en-US" w:eastAsia="zh-CN"/>
                    </w:rPr>
                    <w:t>《排污单位自行监测技术指南-橡胶和塑料制品》（HJ1207-2021）</w:t>
                  </w:r>
                </w:p>
              </w:tc>
            </w:tr>
          </w:tbl>
          <w:p>
            <w:pPr>
              <w:adjustRightInd w:val="0"/>
              <w:snapToGrid w:val="0"/>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3、噪声</w:t>
            </w:r>
          </w:p>
          <w:p>
            <w:pPr>
              <w:adjustRightInd w:val="0"/>
              <w:snapToGrid w:val="0"/>
              <w:spacing w:line="360" w:lineRule="auto"/>
              <w:ind w:firstLine="480" w:firstLineChars="200"/>
              <w:rPr>
                <w:rFonts w:hint="eastAsia" w:ascii="Times New Roman" w:hAnsi="Times New Roman" w:cs="Times New Roman"/>
                <w:color w:val="auto"/>
                <w:sz w:val="24"/>
                <w:lang w:val="zh-CN"/>
              </w:rPr>
            </w:pPr>
            <w:r>
              <w:rPr>
                <w:rFonts w:hint="eastAsia" w:ascii="Times New Roman" w:hAnsi="Times New Roman" w:cs="Times New Roman"/>
                <w:color w:val="auto"/>
                <w:sz w:val="24"/>
                <w:lang w:val="en-US" w:eastAsia="zh-CN"/>
              </w:rPr>
              <w:t>3.1</w:t>
            </w:r>
            <w:r>
              <w:rPr>
                <w:rFonts w:hint="eastAsia" w:ascii="Times New Roman" w:hAnsi="Times New Roman" w:cs="Times New Roman"/>
                <w:color w:val="auto"/>
                <w:sz w:val="24"/>
                <w:lang w:val="zh-CN"/>
              </w:rPr>
              <w:t>噪声源</w:t>
            </w:r>
          </w:p>
          <w:p>
            <w:pPr>
              <w:adjustRightInd w:val="0"/>
              <w:snapToGri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szCs w:val="24"/>
              </w:rPr>
              <w:t>拟建项目主要噪声设备为</w:t>
            </w:r>
            <w:r>
              <w:rPr>
                <w:rFonts w:hint="eastAsia" w:ascii="Times New Roman" w:hAnsi="Times New Roman" w:cs="Times New Roman"/>
                <w:color w:val="auto"/>
                <w:sz w:val="24"/>
                <w:szCs w:val="24"/>
                <w:lang w:eastAsia="zh-CN"/>
              </w:rPr>
              <w:t>激光气割机、精密铣床、车床、摇臂钻床、电焊机、</w:t>
            </w:r>
            <w:r>
              <w:rPr>
                <w:rFonts w:hint="eastAsia" w:ascii="Times New Roman" w:hAnsi="Times New Roman" w:cs="Times New Roman"/>
                <w:b w:val="0"/>
                <w:bCs w:val="0"/>
                <w:color w:val="auto"/>
                <w:sz w:val="24"/>
                <w:szCs w:val="24"/>
                <w:vertAlign w:val="baseline"/>
                <w:lang w:val="en-US" w:eastAsia="zh-CN"/>
              </w:rPr>
              <w:t>折弯机、平板硫化机、吊钩式抛丸清理机、锯床</w:t>
            </w:r>
            <w:r>
              <w:rPr>
                <w:rFonts w:hint="eastAsia" w:ascii="Times New Roman" w:hAnsi="Times New Roman" w:eastAsia="宋体" w:cs="Times New Roman"/>
                <w:color w:val="auto"/>
                <w:sz w:val="24"/>
                <w:szCs w:val="24"/>
                <w:lang w:val="en-US" w:eastAsia="zh-CN"/>
              </w:rPr>
              <w:t>、风机</w:t>
            </w:r>
            <w:r>
              <w:rPr>
                <w:rFonts w:hint="eastAsia" w:ascii="Times New Roman" w:hAnsi="Times New Roman" w:cs="Times New Roman"/>
                <w:color w:val="auto"/>
                <w:sz w:val="24"/>
                <w:szCs w:val="24"/>
              </w:rPr>
              <w:t>等</w:t>
            </w:r>
            <w:r>
              <w:rPr>
                <w:rFonts w:hint="eastAsia" w:ascii="Times New Roman" w:hAnsi="Times New Roman" w:cs="Times New Roman"/>
                <w:color w:val="auto"/>
                <w:sz w:val="24"/>
                <w:lang w:eastAsia="zh-CN"/>
              </w:rPr>
              <w:t>。噪声源调查表</w:t>
            </w:r>
            <w:r>
              <w:rPr>
                <w:rFonts w:hint="eastAsia" w:ascii="Times New Roman" w:hAnsi="Times New Roman" w:cs="Times New Roman"/>
                <w:color w:val="auto"/>
                <w:sz w:val="24"/>
              </w:rPr>
              <w:t>见表</w:t>
            </w:r>
            <w:r>
              <w:rPr>
                <w:rFonts w:hint="eastAsia" w:ascii="Times New Roman" w:hAnsi="Times New Roman" w:cs="Times New Roman"/>
                <w:color w:val="auto"/>
                <w:sz w:val="24"/>
                <w:lang w:val="en-US" w:eastAsia="zh-CN"/>
              </w:rPr>
              <w:t>4.30和表4.31</w:t>
            </w:r>
            <w:r>
              <w:rPr>
                <w:rFonts w:hint="eastAsia"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4"/>
                <w:lang w:val="en-US" w:eastAsia="zh-CN"/>
              </w:rPr>
            </w:pPr>
            <w:r>
              <w:rPr>
                <w:rFonts w:hint="eastAsia" w:ascii="Times New Roman" w:hAnsi="Times New Roman" w:cs="Times New Roman"/>
                <w:b/>
                <w:bCs/>
                <w:color w:val="auto"/>
                <w:sz w:val="24"/>
                <w:lang w:val="zh-CN"/>
              </w:rPr>
              <w:t>表</w:t>
            </w:r>
            <w:r>
              <w:rPr>
                <w:rFonts w:hint="eastAsia" w:ascii="Times New Roman" w:hAnsi="Times New Roman" w:cs="Times New Roman"/>
                <w:b/>
                <w:bCs/>
                <w:color w:val="auto"/>
                <w:sz w:val="24"/>
                <w:lang w:val="en-US" w:eastAsia="zh-CN"/>
              </w:rPr>
              <w:t>4.30  工业企业噪声源强调查清单（室内声源）</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669"/>
              <w:gridCol w:w="670"/>
              <w:gridCol w:w="670"/>
              <w:gridCol w:w="672"/>
              <w:gridCol w:w="672"/>
              <w:gridCol w:w="672"/>
              <w:gridCol w:w="672"/>
              <w:gridCol w:w="672"/>
              <w:gridCol w:w="672"/>
              <w:gridCol w:w="672"/>
              <w:gridCol w:w="673"/>
              <w:gridCol w:w="674"/>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restart"/>
                  <w:vAlign w:val="center"/>
                </w:tcPr>
                <w:p>
                  <w:pPr>
                    <w:pStyle w:val="43"/>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zh-CN"/>
                    </w:rPr>
                    <w:t>建筑物名称</w:t>
                  </w:r>
                </w:p>
              </w:tc>
              <w:tc>
                <w:tcPr>
                  <w:tcW w:w="669" w:type="dxa"/>
                  <w:vMerge w:val="restart"/>
                  <w:vAlign w:val="center"/>
                </w:tcPr>
                <w:p>
                  <w:pPr>
                    <w:pStyle w:val="43"/>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zh-CN"/>
                    </w:rPr>
                    <w:t>声源名称</w:t>
                  </w:r>
                </w:p>
              </w:tc>
              <w:tc>
                <w:tcPr>
                  <w:tcW w:w="670" w:type="dxa"/>
                  <w:vMerge w:val="restart"/>
                  <w:vAlign w:val="center"/>
                </w:tcPr>
                <w:p>
                  <w:pPr>
                    <w:pStyle w:val="43"/>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zh-CN"/>
                    </w:rPr>
                    <w:t>型号</w:t>
                  </w:r>
                </w:p>
              </w:tc>
              <w:tc>
                <w:tcPr>
                  <w:tcW w:w="670" w:type="dxa"/>
                  <w:vAlign w:val="center"/>
                </w:tcPr>
                <w:p>
                  <w:pPr>
                    <w:pStyle w:val="43"/>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zh-CN"/>
                    </w:rPr>
                    <w:t>声源源强</w:t>
                  </w:r>
                </w:p>
              </w:tc>
              <w:tc>
                <w:tcPr>
                  <w:tcW w:w="672" w:type="dxa"/>
                  <w:vMerge w:val="restart"/>
                  <w:vAlign w:val="center"/>
                </w:tcPr>
                <w:p>
                  <w:pPr>
                    <w:pStyle w:val="43"/>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zh-CN"/>
                    </w:rPr>
                    <w:t>声源控制措施</w:t>
                  </w:r>
                </w:p>
              </w:tc>
              <w:tc>
                <w:tcPr>
                  <w:tcW w:w="2016" w:type="dxa"/>
                  <w:gridSpan w:val="3"/>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zh-CN"/>
                    </w:rPr>
                    <w:t>空间相对位置</w:t>
                  </w:r>
                  <w:r>
                    <w:rPr>
                      <w:rFonts w:hint="eastAsia" w:ascii="Times New Roman" w:hAnsi="Times New Roman" w:cs="Times New Roman"/>
                      <w:color w:val="auto"/>
                      <w:lang w:val="en-US" w:eastAsia="zh-CN"/>
                    </w:rPr>
                    <w:t>/m</w:t>
                  </w:r>
                </w:p>
              </w:tc>
              <w:tc>
                <w:tcPr>
                  <w:tcW w:w="672" w:type="dxa"/>
                  <w:vMerge w:val="restart"/>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zh-CN"/>
                    </w:rPr>
                    <w:t>距室内边界距离</w:t>
                  </w:r>
                  <w:r>
                    <w:rPr>
                      <w:rFonts w:hint="eastAsia" w:ascii="Times New Roman" w:hAnsi="Times New Roman" w:cs="Times New Roman"/>
                      <w:color w:val="auto"/>
                      <w:lang w:val="en-US" w:eastAsia="zh-CN"/>
                    </w:rPr>
                    <w:t>/m</w:t>
                  </w:r>
                </w:p>
              </w:tc>
              <w:tc>
                <w:tcPr>
                  <w:tcW w:w="672" w:type="dxa"/>
                  <w:vMerge w:val="restart"/>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zh-CN"/>
                    </w:rPr>
                    <w:t>室内边界声级</w:t>
                  </w:r>
                  <w:r>
                    <w:rPr>
                      <w:rFonts w:hint="eastAsia" w:ascii="Times New Roman" w:hAnsi="Times New Roman" w:cs="Times New Roman"/>
                      <w:color w:val="auto"/>
                      <w:lang w:val="en-US" w:eastAsia="zh-CN"/>
                    </w:rPr>
                    <w:t>/dB（A）</w:t>
                  </w:r>
                </w:p>
              </w:tc>
              <w:tc>
                <w:tcPr>
                  <w:tcW w:w="672" w:type="dxa"/>
                  <w:vMerge w:val="restart"/>
                  <w:vAlign w:val="center"/>
                </w:tcPr>
                <w:p>
                  <w:pPr>
                    <w:pStyle w:val="43"/>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zh-CN"/>
                    </w:rPr>
                    <w:t>运行时段</w:t>
                  </w:r>
                </w:p>
              </w:tc>
              <w:tc>
                <w:tcPr>
                  <w:tcW w:w="673" w:type="dxa"/>
                  <w:vMerge w:val="restart"/>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zh-CN"/>
                    </w:rPr>
                    <w:t>建筑物插入损失</w:t>
                  </w:r>
                  <w:r>
                    <w:rPr>
                      <w:rFonts w:hint="eastAsia" w:ascii="Times New Roman" w:hAnsi="Times New Roman" w:cs="Times New Roman"/>
                      <w:color w:val="auto"/>
                      <w:lang w:val="en-US" w:eastAsia="zh-CN"/>
                    </w:rPr>
                    <w:t>/dB（A）</w:t>
                  </w:r>
                </w:p>
              </w:tc>
              <w:tc>
                <w:tcPr>
                  <w:tcW w:w="1352" w:type="dxa"/>
                  <w:gridSpan w:val="2"/>
                  <w:vAlign w:val="center"/>
                </w:tcPr>
                <w:p>
                  <w:pPr>
                    <w:pStyle w:val="43"/>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69"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0"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0"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zh-CN"/>
                    </w:rPr>
                    <w:t>（声压级</w:t>
                  </w:r>
                  <w:r>
                    <w:rPr>
                      <w:rFonts w:hint="eastAsia" w:ascii="Times New Roman" w:hAnsi="Times New Roman" w:cs="Times New Roman"/>
                      <w:color w:val="auto"/>
                      <w:lang w:val="en-US" w:eastAsia="zh-CN"/>
                    </w:rPr>
                    <w:t>/距声源距离</w:t>
                  </w:r>
                  <w:r>
                    <w:rPr>
                      <w:rFonts w:hint="eastAsia" w:ascii="Times New Roman" w:hAnsi="Times New Roman" w:cs="Times New Roman"/>
                      <w:color w:val="auto"/>
                      <w:lang w:val="zh-CN"/>
                    </w:rPr>
                    <w:t>）</w:t>
                  </w:r>
                  <w:r>
                    <w:rPr>
                      <w:rFonts w:hint="eastAsia" w:ascii="Times New Roman" w:hAnsi="Times New Roman" w:cs="Times New Roman"/>
                      <w:color w:val="auto"/>
                      <w:lang w:val="en-US" w:eastAsia="zh-CN"/>
                    </w:rPr>
                    <w:t>/（dB（A）/m）</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X</w:t>
                  </w:r>
                </w:p>
              </w:tc>
              <w:tc>
                <w:tcPr>
                  <w:tcW w:w="672"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Y</w:t>
                  </w:r>
                </w:p>
              </w:tc>
              <w:tc>
                <w:tcPr>
                  <w:tcW w:w="672"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Z</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4" w:type="dxa"/>
                  <w:vAlign w:val="center"/>
                </w:tcPr>
                <w:p>
                  <w:pPr>
                    <w:pStyle w:val="43"/>
                    <w:spacing w:line="240" w:lineRule="auto"/>
                    <w:jc w:val="center"/>
                    <w:rPr>
                      <w:rFonts w:hint="default" w:ascii="Times New Roman" w:hAnsi="Times New Roman" w:cs="Times New Roman"/>
                      <w:color w:val="auto"/>
                      <w:lang w:val="en-US"/>
                    </w:rPr>
                  </w:pPr>
                  <w:r>
                    <w:rPr>
                      <w:rFonts w:hint="eastAsia" w:ascii="Times New Roman" w:hAnsi="Times New Roman" w:cs="Times New Roman"/>
                      <w:color w:val="auto"/>
                      <w:lang w:val="zh-CN"/>
                    </w:rPr>
                    <w:t>声压级</w:t>
                  </w:r>
                  <w:r>
                    <w:rPr>
                      <w:rFonts w:hint="eastAsia" w:ascii="Times New Roman" w:hAnsi="Times New Roman" w:cs="Times New Roman"/>
                      <w:color w:val="auto"/>
                      <w:lang w:val="en-US" w:eastAsia="zh-CN"/>
                    </w:rPr>
                    <w:t>/dB（A）</w:t>
                  </w:r>
                </w:p>
              </w:tc>
              <w:tc>
                <w:tcPr>
                  <w:tcW w:w="678" w:type="dxa"/>
                  <w:vAlign w:val="center"/>
                </w:tcPr>
                <w:p>
                  <w:pPr>
                    <w:pStyle w:val="43"/>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zh-CN"/>
                    </w:rPr>
                    <w:t>建筑物距离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cs="Times New Roman"/>
                      <w:b w:val="0"/>
                      <w:bCs w:val="0"/>
                      <w:color w:val="auto"/>
                      <w:sz w:val="21"/>
                      <w:szCs w:val="21"/>
                      <w:vertAlign w:val="baseline"/>
                      <w:lang w:val="en-US" w:eastAsia="zh-CN"/>
                    </w:rPr>
                    <w:t>激光切割机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G6025S</w:t>
                  </w:r>
                </w:p>
              </w:tc>
              <w:tc>
                <w:tcPr>
                  <w:tcW w:w="670" w:type="dxa"/>
                  <w:vAlign w:val="center"/>
                </w:tcPr>
                <w:p>
                  <w:pPr>
                    <w:pStyle w:val="43"/>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80/1</w:t>
                  </w:r>
                </w:p>
              </w:tc>
              <w:tc>
                <w:tcPr>
                  <w:tcW w:w="672" w:type="dxa"/>
                  <w:vMerge w:val="restart"/>
                  <w:vAlign w:val="center"/>
                </w:tcPr>
                <w:p>
                  <w:pPr>
                    <w:pStyle w:val="43"/>
                    <w:spacing w:line="240" w:lineRule="auto"/>
                    <w:jc w:val="center"/>
                    <w:rPr>
                      <w:rFonts w:hint="eastAsia" w:ascii="Times New Roman" w:hAnsi="Times New Roman" w:cs="Times New Roman"/>
                      <w:color w:val="auto"/>
                      <w:sz w:val="21"/>
                      <w:szCs w:val="21"/>
                      <w:lang w:val="zh-CN"/>
                    </w:rPr>
                  </w:pPr>
                  <w:r>
                    <w:rPr>
                      <w:rFonts w:hint="eastAsia" w:ascii="Times New Roman" w:hAnsi="Times New Roman"/>
                      <w:color w:val="auto"/>
                      <w:sz w:val="21"/>
                      <w:szCs w:val="21"/>
                    </w:rPr>
                    <w:t>选用低噪声设备，设置减振基座，厂房隔声</w:t>
                  </w:r>
                </w:p>
              </w:tc>
              <w:tc>
                <w:tcPr>
                  <w:tcW w:w="672" w:type="dxa"/>
                  <w:vAlign w:val="center"/>
                </w:tcPr>
                <w:p>
                  <w:pPr>
                    <w:pStyle w:val="43"/>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672" w:type="dxa"/>
                  <w:vAlign w:val="center"/>
                </w:tcPr>
                <w:p>
                  <w:pPr>
                    <w:pStyle w:val="43"/>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672" w:type="dxa"/>
                  <w:vAlign w:val="center"/>
                </w:tcPr>
                <w:p>
                  <w:pPr>
                    <w:pStyle w:val="43"/>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672" w:type="dxa"/>
                  <w:vAlign w:val="center"/>
                </w:tcPr>
                <w:p>
                  <w:pPr>
                    <w:pStyle w:val="43"/>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672" w:type="dxa"/>
                  <w:vAlign w:val="center"/>
                </w:tcPr>
                <w:p>
                  <w:pPr>
                    <w:pStyle w:val="43"/>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672" w:type="dxa"/>
                  <w:vMerge w:val="restart"/>
                  <w:vAlign w:val="center"/>
                </w:tcPr>
                <w:p>
                  <w:pPr>
                    <w:pStyle w:val="43"/>
                    <w:spacing w:line="240" w:lineRule="auto"/>
                    <w:jc w:val="center"/>
                    <w:rPr>
                      <w:rFonts w:hint="eastAsia" w:ascii="Times New Roman" w:hAnsi="Times New Roman" w:eastAsia="宋体" w:cs="Times New Roman"/>
                      <w:color w:val="auto"/>
                      <w:sz w:val="21"/>
                      <w:szCs w:val="21"/>
                      <w:lang w:val="zh-CN" w:eastAsia="zh-CN"/>
                    </w:rPr>
                  </w:pPr>
                  <w:r>
                    <w:rPr>
                      <w:rFonts w:hint="eastAsia" w:ascii="Times New Roman" w:hAnsi="Times New Roman" w:cs="Times New Roman"/>
                      <w:color w:val="auto"/>
                      <w:sz w:val="21"/>
                      <w:szCs w:val="21"/>
                      <w:lang w:val="zh-CN" w:eastAsia="zh-CN"/>
                    </w:rPr>
                    <w:t>昼间运行</w:t>
                  </w:r>
                </w:p>
              </w:tc>
              <w:tc>
                <w:tcPr>
                  <w:tcW w:w="673"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37</w:t>
                  </w:r>
                </w:p>
              </w:tc>
              <w:tc>
                <w:tcPr>
                  <w:tcW w:w="678"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cs="Times New Roman"/>
                      <w:color w:val="auto"/>
                      <w:lang w:val="zh-CN"/>
                    </w:rPr>
                  </w:pPr>
                  <w:r>
                    <w:rPr>
                      <w:rFonts w:hint="eastAsia" w:ascii="Times New Roman" w:hAnsi="Times New Roman" w:cs="Times New Roman"/>
                      <w:b w:val="0"/>
                      <w:bCs w:val="0"/>
                      <w:color w:val="auto"/>
                      <w:sz w:val="21"/>
                      <w:szCs w:val="21"/>
                      <w:vertAlign w:val="baseline"/>
                      <w:lang w:val="en-US" w:eastAsia="zh-CN"/>
                    </w:rPr>
                    <w:t>精密铣床</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HY-5Y/D50</w:t>
                  </w:r>
                </w:p>
              </w:tc>
              <w:tc>
                <w:tcPr>
                  <w:tcW w:w="670" w:type="dxa"/>
                  <w:vAlign w:val="center"/>
                </w:tcPr>
                <w:p>
                  <w:pPr>
                    <w:pStyle w:val="43"/>
                    <w:spacing w:line="240" w:lineRule="auto"/>
                    <w:jc w:val="center"/>
                    <w:rPr>
                      <w:rFonts w:hint="eastAsia" w:ascii="Times New Roman" w:hAnsi="Times New Roman" w:cs="Times New Roman"/>
                      <w:color w:val="auto"/>
                      <w:sz w:val="21"/>
                      <w:szCs w:val="21"/>
                      <w:lang w:val="zh-CN"/>
                    </w:rPr>
                  </w:pPr>
                  <w:r>
                    <w:rPr>
                      <w:rFonts w:hint="eastAsia" w:ascii="Times New Roman" w:hAnsi="Times New Roman" w:cs="Times New Roman"/>
                      <w:color w:val="auto"/>
                      <w:sz w:val="21"/>
                      <w:szCs w:val="21"/>
                      <w:lang w:val="en-US" w:eastAsia="zh-CN"/>
                    </w:rPr>
                    <w:t>80/1</w:t>
                  </w:r>
                </w:p>
              </w:tc>
              <w:tc>
                <w:tcPr>
                  <w:tcW w:w="672" w:type="dxa"/>
                  <w:vMerge w:val="continue"/>
                  <w:vAlign w:val="center"/>
                </w:tcPr>
                <w:p>
                  <w:pPr>
                    <w:pStyle w:val="43"/>
                    <w:spacing w:line="240" w:lineRule="auto"/>
                    <w:jc w:val="center"/>
                    <w:rPr>
                      <w:rFonts w:hint="eastAsia" w:ascii="Times New Roman" w:hAnsi="Times New Roman" w:cs="Times New Roman"/>
                      <w:color w:val="auto"/>
                      <w:sz w:val="21"/>
                      <w:szCs w:val="21"/>
                      <w:lang w:val="zh-CN"/>
                    </w:rPr>
                  </w:pPr>
                </w:p>
              </w:tc>
              <w:tc>
                <w:tcPr>
                  <w:tcW w:w="672" w:type="dxa"/>
                  <w:vAlign w:val="center"/>
                </w:tcPr>
                <w:p>
                  <w:pPr>
                    <w:pStyle w:val="43"/>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672" w:type="dxa"/>
                  <w:vAlign w:val="center"/>
                </w:tcPr>
                <w:p>
                  <w:pPr>
                    <w:pStyle w:val="43"/>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672"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672" w:type="dxa"/>
                  <w:vAlign w:val="center"/>
                </w:tcPr>
                <w:p>
                  <w:pPr>
                    <w:pStyle w:val="43"/>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66</w:t>
                  </w:r>
                </w:p>
              </w:tc>
              <w:tc>
                <w:tcPr>
                  <w:tcW w:w="672" w:type="dxa"/>
                  <w:vMerge w:val="continue"/>
                  <w:vAlign w:val="center"/>
                </w:tcPr>
                <w:p>
                  <w:pPr>
                    <w:pStyle w:val="43"/>
                    <w:spacing w:line="240" w:lineRule="auto"/>
                    <w:jc w:val="center"/>
                    <w:rPr>
                      <w:rFonts w:hint="eastAsia" w:ascii="Times New Roman" w:hAnsi="Times New Roman" w:cs="Times New Roman"/>
                      <w:color w:val="auto"/>
                      <w:sz w:val="21"/>
                      <w:szCs w:val="21"/>
                      <w:lang w:val="zh-CN"/>
                    </w:rPr>
                  </w:pPr>
                </w:p>
              </w:tc>
              <w:tc>
                <w:tcPr>
                  <w:tcW w:w="673"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51</w:t>
                  </w:r>
                </w:p>
              </w:tc>
              <w:tc>
                <w:tcPr>
                  <w:tcW w:w="678"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cs="Times New Roman"/>
                      <w:color w:val="auto"/>
                      <w:lang w:val="zh-CN"/>
                    </w:rPr>
                  </w:pPr>
                  <w:r>
                    <w:rPr>
                      <w:rFonts w:hint="eastAsia" w:ascii="Times New Roman" w:hAnsi="Times New Roman" w:cs="Times New Roman"/>
                      <w:b w:val="0"/>
                      <w:bCs w:val="0"/>
                      <w:color w:val="auto"/>
                      <w:sz w:val="21"/>
                      <w:szCs w:val="21"/>
                      <w:vertAlign w:val="baseline"/>
                      <w:lang w:val="en-US" w:eastAsia="zh-CN"/>
                    </w:rPr>
                    <w:t>车床</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CA6150B</w:t>
                  </w:r>
                </w:p>
              </w:tc>
              <w:tc>
                <w:tcPr>
                  <w:tcW w:w="670" w:type="dxa"/>
                  <w:vAlign w:val="center"/>
                </w:tcPr>
                <w:p>
                  <w:pPr>
                    <w:pStyle w:val="43"/>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80/1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35</w:t>
                  </w:r>
                </w:p>
              </w:tc>
              <w:tc>
                <w:tcPr>
                  <w:tcW w:w="672" w:type="dxa"/>
                  <w:vAlign w:val="center"/>
                </w:tcPr>
                <w:p>
                  <w:pPr>
                    <w:pStyle w:val="43"/>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150</w:t>
                  </w:r>
                </w:p>
              </w:tc>
              <w:tc>
                <w:tcPr>
                  <w:tcW w:w="672" w:type="dxa"/>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52</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37</w:t>
                  </w:r>
                </w:p>
              </w:tc>
              <w:tc>
                <w:tcPr>
                  <w:tcW w:w="678"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cs="Times New Roman"/>
                      <w:color w:val="auto"/>
                      <w:lang w:val="zh-CN"/>
                    </w:rPr>
                  </w:pPr>
                  <w:r>
                    <w:rPr>
                      <w:rFonts w:hint="eastAsia" w:ascii="Times New Roman" w:hAnsi="Times New Roman" w:cs="Times New Roman"/>
                      <w:b w:val="0"/>
                      <w:bCs w:val="0"/>
                      <w:color w:val="auto"/>
                      <w:sz w:val="21"/>
                      <w:szCs w:val="21"/>
                      <w:vertAlign w:val="baseline"/>
                      <w:lang w:val="en-US" w:eastAsia="zh-CN"/>
                    </w:rPr>
                    <w:t>车床</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CS6150</w:t>
                  </w:r>
                </w:p>
              </w:tc>
              <w:tc>
                <w:tcPr>
                  <w:tcW w:w="670" w:type="dxa"/>
                  <w:vAlign w:val="center"/>
                </w:tcPr>
                <w:p>
                  <w:pPr>
                    <w:pStyle w:val="43"/>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80/1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35</w:t>
                  </w:r>
                </w:p>
              </w:tc>
              <w:tc>
                <w:tcPr>
                  <w:tcW w:w="672" w:type="dxa"/>
                  <w:vAlign w:val="center"/>
                </w:tcPr>
                <w:p>
                  <w:pPr>
                    <w:pStyle w:val="43"/>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150</w:t>
                  </w:r>
                </w:p>
              </w:tc>
              <w:tc>
                <w:tcPr>
                  <w:tcW w:w="672" w:type="dxa"/>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52</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37</w:t>
                  </w:r>
                </w:p>
              </w:tc>
              <w:tc>
                <w:tcPr>
                  <w:tcW w:w="678"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cs="Times New Roman"/>
                      <w:color w:val="auto"/>
                      <w:lang w:val="zh-CN"/>
                    </w:rPr>
                  </w:pPr>
                  <w:r>
                    <w:rPr>
                      <w:rFonts w:hint="eastAsia" w:ascii="Times New Roman" w:hAnsi="Times New Roman" w:cs="Times New Roman"/>
                      <w:b w:val="0"/>
                      <w:bCs w:val="0"/>
                      <w:color w:val="auto"/>
                      <w:sz w:val="21"/>
                      <w:szCs w:val="21"/>
                      <w:vertAlign w:val="baseline"/>
                      <w:lang w:val="en-US" w:eastAsia="zh-CN"/>
                    </w:rPr>
                    <w:t>摇臂钻床</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Z31312L</w:t>
                  </w:r>
                </w:p>
              </w:tc>
              <w:tc>
                <w:tcPr>
                  <w:tcW w:w="67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80/1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35</w:t>
                  </w:r>
                </w:p>
              </w:tc>
              <w:tc>
                <w:tcPr>
                  <w:tcW w:w="672" w:type="dxa"/>
                  <w:vAlign w:val="center"/>
                </w:tcPr>
                <w:p>
                  <w:pPr>
                    <w:pStyle w:val="43"/>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150</w:t>
                  </w:r>
                </w:p>
              </w:tc>
              <w:tc>
                <w:tcPr>
                  <w:tcW w:w="672" w:type="dxa"/>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24</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52</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37</w:t>
                  </w:r>
                </w:p>
              </w:tc>
              <w:tc>
                <w:tcPr>
                  <w:tcW w:w="678"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cs="Times New Roman"/>
                      <w:color w:val="auto"/>
                      <w:lang w:val="zh-CN"/>
                    </w:rPr>
                  </w:pPr>
                  <w:r>
                    <w:rPr>
                      <w:rFonts w:hint="eastAsia" w:ascii="Times New Roman" w:hAnsi="Times New Roman" w:cs="Times New Roman"/>
                      <w:b w:val="0"/>
                      <w:bCs w:val="0"/>
                      <w:color w:val="auto"/>
                      <w:sz w:val="21"/>
                      <w:szCs w:val="21"/>
                      <w:vertAlign w:val="baseline"/>
                      <w:lang w:val="en-US" w:eastAsia="zh-CN"/>
                    </w:rPr>
                    <w:t>电焊机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YD280RK</w:t>
                  </w:r>
                </w:p>
              </w:tc>
              <w:tc>
                <w:tcPr>
                  <w:tcW w:w="67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70/1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28</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130</w:t>
                  </w:r>
                </w:p>
              </w:tc>
              <w:tc>
                <w:tcPr>
                  <w:tcW w:w="672" w:type="dxa"/>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4.0</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58</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43</w:t>
                  </w:r>
                </w:p>
              </w:tc>
              <w:tc>
                <w:tcPr>
                  <w:tcW w:w="678"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0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cs="Times New Roman"/>
                      <w:color w:val="auto"/>
                      <w:lang w:val="zh-CN"/>
                    </w:rPr>
                  </w:pPr>
                  <w:r>
                    <w:rPr>
                      <w:rFonts w:hint="eastAsia" w:ascii="Times New Roman" w:hAnsi="Times New Roman" w:cs="Times New Roman"/>
                      <w:b w:val="0"/>
                      <w:bCs w:val="0"/>
                      <w:color w:val="auto"/>
                      <w:sz w:val="21"/>
                      <w:szCs w:val="21"/>
                      <w:vertAlign w:val="baseline"/>
                      <w:lang w:val="en-US" w:eastAsia="zh-CN"/>
                    </w:rPr>
                    <w:t>电焊机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MIG-270L</w:t>
                  </w:r>
                </w:p>
              </w:tc>
              <w:tc>
                <w:tcPr>
                  <w:tcW w:w="67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70/1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28</w:t>
                  </w: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130</w:t>
                  </w:r>
                </w:p>
              </w:tc>
              <w:tc>
                <w:tcPr>
                  <w:tcW w:w="672" w:type="dxa"/>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4.0</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58</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default" w:ascii="Times New Roman" w:hAnsi="Times New Roman" w:cs="Times New Roman"/>
                      <w:color w:val="auto"/>
                      <w:lang w:val="en-US"/>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43</w:t>
                  </w:r>
                </w:p>
              </w:tc>
              <w:tc>
                <w:tcPr>
                  <w:tcW w:w="678"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cs="Times New Roman"/>
                      <w:color w:val="auto"/>
                      <w:lang w:val="zh-CN"/>
                    </w:rPr>
                  </w:pPr>
                  <w:r>
                    <w:rPr>
                      <w:rFonts w:hint="eastAsia" w:ascii="Times New Roman" w:hAnsi="Times New Roman" w:cs="Times New Roman"/>
                      <w:b w:val="0"/>
                      <w:bCs w:val="0"/>
                      <w:color w:val="auto"/>
                      <w:sz w:val="21"/>
                      <w:szCs w:val="21"/>
                      <w:vertAlign w:val="baseline"/>
                      <w:lang w:val="en-US" w:eastAsia="zh-CN"/>
                    </w:rPr>
                    <w:t>平板硫化机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600*900*2</w:t>
                  </w:r>
                </w:p>
              </w:tc>
              <w:tc>
                <w:tcPr>
                  <w:tcW w:w="670" w:type="dxa"/>
                  <w:vAlign w:val="center"/>
                </w:tcPr>
                <w:p>
                  <w:pPr>
                    <w:pStyle w:val="43"/>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70/1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35</w:t>
                  </w:r>
                </w:p>
              </w:tc>
              <w:tc>
                <w:tcPr>
                  <w:tcW w:w="672" w:type="dxa"/>
                  <w:vAlign w:val="center"/>
                </w:tcPr>
                <w:p>
                  <w:pPr>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165</w:t>
                  </w:r>
                </w:p>
              </w:tc>
              <w:tc>
                <w:tcPr>
                  <w:tcW w:w="672" w:type="dxa"/>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3.0</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60</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45</w:t>
                  </w:r>
                </w:p>
              </w:tc>
              <w:tc>
                <w:tcPr>
                  <w:tcW w:w="678"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cs="Times New Roman"/>
                      <w:color w:val="auto"/>
                      <w:lang w:val="zh-CN"/>
                    </w:rPr>
                  </w:pPr>
                  <w:r>
                    <w:rPr>
                      <w:rFonts w:hint="eastAsia" w:ascii="Times New Roman" w:hAnsi="Times New Roman" w:cs="Times New Roman"/>
                      <w:b w:val="0"/>
                      <w:bCs w:val="0"/>
                      <w:color w:val="auto"/>
                      <w:sz w:val="21"/>
                      <w:szCs w:val="21"/>
                      <w:vertAlign w:val="baseline"/>
                      <w:lang w:val="en-US" w:eastAsia="zh-CN"/>
                    </w:rPr>
                    <w:t>平板硫化机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350*350*3</w:t>
                  </w:r>
                </w:p>
              </w:tc>
              <w:tc>
                <w:tcPr>
                  <w:tcW w:w="670"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70/1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35</w:t>
                  </w:r>
                </w:p>
              </w:tc>
              <w:tc>
                <w:tcPr>
                  <w:tcW w:w="672" w:type="dxa"/>
                  <w:vAlign w:val="center"/>
                </w:tcPr>
                <w:p>
                  <w:pPr>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165</w:t>
                  </w:r>
                </w:p>
              </w:tc>
              <w:tc>
                <w:tcPr>
                  <w:tcW w:w="672" w:type="dxa"/>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w:t>
                  </w:r>
                </w:p>
              </w:tc>
              <w:tc>
                <w:tcPr>
                  <w:tcW w:w="672"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60</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45</w:t>
                  </w:r>
                </w:p>
              </w:tc>
              <w:tc>
                <w:tcPr>
                  <w:tcW w:w="678" w:type="dxa"/>
                  <w:vAlign w:val="center"/>
                </w:tcPr>
                <w:p>
                  <w:pPr>
                    <w:pStyle w:val="43"/>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折弯机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PBR-220/3100</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30</w:t>
                  </w:r>
                </w:p>
              </w:tc>
              <w:tc>
                <w:tcPr>
                  <w:tcW w:w="672" w:type="dxa"/>
                  <w:vAlign w:val="center"/>
                </w:tcPr>
                <w:p>
                  <w:pPr>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150</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35</w:t>
                  </w:r>
                </w:p>
              </w:tc>
              <w:tc>
                <w:tcPr>
                  <w:tcW w:w="678"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吊钩式抛丸清理机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Q3750-Y</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85/1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672" w:type="dxa"/>
                  <w:vAlign w:val="center"/>
                </w:tcPr>
                <w:p>
                  <w:pPr>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155</w:t>
                  </w:r>
                </w:p>
              </w:tc>
              <w:tc>
                <w:tcPr>
                  <w:tcW w:w="672"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4.0</w:t>
                  </w:r>
                </w:p>
              </w:tc>
              <w:tc>
                <w:tcPr>
                  <w:tcW w:w="672"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56</w:t>
                  </w:r>
                </w:p>
              </w:tc>
              <w:tc>
                <w:tcPr>
                  <w:tcW w:w="678"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浇注机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BL2</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75/1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672" w:type="dxa"/>
                  <w:vAlign w:val="center"/>
                </w:tcPr>
                <w:p>
                  <w:pPr>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165</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65</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8"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浇注机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FL3</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75/1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672" w:type="dxa"/>
                  <w:vAlign w:val="center"/>
                </w:tcPr>
                <w:p>
                  <w:pPr>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165</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3.0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65</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8"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烘箱</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PG800</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672" w:type="dxa"/>
                  <w:vAlign w:val="center"/>
                </w:tcPr>
                <w:p>
                  <w:pPr>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165</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70</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678"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烘箱</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PG2400</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672" w:type="dxa"/>
                  <w:vAlign w:val="center"/>
                </w:tcPr>
                <w:p>
                  <w:pPr>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165</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3.0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70</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678"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烘箱</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PG3200</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672" w:type="dxa"/>
                  <w:vAlign w:val="center"/>
                </w:tcPr>
                <w:p>
                  <w:pPr>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165</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70</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678"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锯床</w:t>
                  </w:r>
                </w:p>
              </w:tc>
              <w:tc>
                <w:tcPr>
                  <w:tcW w:w="670"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672" w:type="dxa"/>
                  <w:vAlign w:val="center"/>
                </w:tcPr>
                <w:p>
                  <w:pPr>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165</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70</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678"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锯床</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672" w:type="dxa"/>
                  <w:vAlign w:val="center"/>
                </w:tcPr>
                <w:p>
                  <w:pPr>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165</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eastAsia="宋体" w:cs="Times New Roman"/>
                      <w:color w:val="auto"/>
                      <w:sz w:val="21"/>
                      <w:szCs w:val="21"/>
                      <w:lang w:val="en-US" w:eastAsia="zh-CN"/>
                    </w:rPr>
                    <w:t>1.2</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3.0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70</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678"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color w:val="auto"/>
                      <w:sz w:val="21"/>
                      <w:szCs w:val="21"/>
                      <w:lang w:val="en-US" w:eastAsia="zh-CN"/>
                    </w:rPr>
                  </w:pPr>
                  <w:r>
                    <w:rPr>
                      <w:rFonts w:hint="eastAsia" w:ascii="Times New Roman" w:hAnsi="Times New Roman" w:cs="Times New Roman"/>
                      <w:color w:val="auto"/>
                      <w:lang w:eastAsia="zh-CN"/>
                    </w:rPr>
                    <w:t>喷塑线</w:t>
                  </w:r>
                </w:p>
              </w:tc>
              <w:tc>
                <w:tcPr>
                  <w:tcW w:w="670" w:type="dxa"/>
                  <w:vAlign w:val="center"/>
                </w:tcPr>
                <w:p>
                  <w:pPr>
                    <w:jc w:val="center"/>
                    <w:rPr>
                      <w:rFonts w:hint="eastAsia" w:ascii="Times New Roman" w:hAnsi="Times New Roman" w:cs="Times New Roman"/>
                      <w:color w:val="auto"/>
                      <w:lang w:eastAsia="zh-CN"/>
                    </w:rPr>
                  </w:pPr>
                  <w:r>
                    <w:rPr>
                      <w:rFonts w:hint="eastAsia" w:ascii="Times New Roman" w:hAnsi="Times New Roman" w:cs="Times New Roman"/>
                      <w:b w:val="0"/>
                      <w:bCs w:val="0"/>
                      <w:color w:val="auto"/>
                      <w:sz w:val="21"/>
                      <w:szCs w:val="21"/>
                      <w:vertAlign w:val="baseline"/>
                      <w:lang w:val="en-US" w:eastAsia="zh-CN"/>
                    </w:rPr>
                    <w:t>/</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155</w:t>
                  </w:r>
                </w:p>
              </w:tc>
              <w:tc>
                <w:tcPr>
                  <w:tcW w:w="672"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7.0</w:t>
                  </w:r>
                </w:p>
              </w:tc>
              <w:tc>
                <w:tcPr>
                  <w:tcW w:w="672"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52</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37</w:t>
                  </w:r>
                </w:p>
              </w:tc>
              <w:tc>
                <w:tcPr>
                  <w:tcW w:w="678"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喷粉柜</w:t>
                  </w:r>
                </w:p>
              </w:tc>
              <w:tc>
                <w:tcPr>
                  <w:tcW w:w="670" w:type="dxa"/>
                  <w:vAlign w:val="center"/>
                </w:tcPr>
                <w:p>
                  <w:pPr>
                    <w:jc w:val="center"/>
                    <w:rPr>
                      <w:rFonts w:hint="eastAsia" w:ascii="Times New Roman" w:hAnsi="Times New Roman" w:cs="Times New Roman"/>
                      <w:color w:val="auto"/>
                      <w:lang w:eastAsia="zh-CN"/>
                    </w:rPr>
                  </w:pPr>
                  <w:r>
                    <w:rPr>
                      <w:rFonts w:hint="eastAsia" w:ascii="Times New Roman" w:hAnsi="Times New Roman" w:cs="Times New Roman"/>
                      <w:b w:val="0"/>
                      <w:bCs w:val="0"/>
                      <w:color w:val="auto"/>
                      <w:sz w:val="21"/>
                      <w:szCs w:val="21"/>
                      <w:vertAlign w:val="baseline"/>
                      <w:lang w:val="en-US" w:eastAsia="zh-CN"/>
                    </w:rPr>
                    <w:t>/</w:t>
                  </w:r>
                </w:p>
              </w:tc>
              <w:tc>
                <w:tcPr>
                  <w:tcW w:w="670"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75/1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160</w:t>
                  </w:r>
                </w:p>
              </w:tc>
              <w:tc>
                <w:tcPr>
                  <w:tcW w:w="672"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2"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46</w:t>
                  </w:r>
                </w:p>
              </w:tc>
              <w:tc>
                <w:tcPr>
                  <w:tcW w:w="678"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烘箱</w:t>
                  </w:r>
                </w:p>
              </w:tc>
              <w:tc>
                <w:tcPr>
                  <w:tcW w:w="670" w:type="dxa"/>
                  <w:vAlign w:val="center"/>
                </w:tcPr>
                <w:p>
                  <w:pPr>
                    <w:jc w:val="center"/>
                    <w:rPr>
                      <w:rFonts w:hint="eastAsia" w:ascii="Times New Roman" w:hAnsi="Times New Roman" w:cs="Times New Roman"/>
                      <w:color w:val="auto"/>
                      <w:lang w:eastAsia="zh-CN"/>
                    </w:rPr>
                  </w:pPr>
                  <w:r>
                    <w:rPr>
                      <w:rFonts w:hint="eastAsia" w:ascii="Times New Roman" w:hAnsi="Times New Roman" w:cs="Times New Roman"/>
                      <w:b w:val="0"/>
                      <w:bCs w:val="0"/>
                      <w:color w:val="auto"/>
                      <w:sz w:val="21"/>
                      <w:szCs w:val="21"/>
                      <w:vertAlign w:val="baseline"/>
                      <w:lang w:val="en-US" w:eastAsia="zh-CN"/>
                    </w:rPr>
                    <w:t>/</w:t>
                  </w:r>
                </w:p>
              </w:tc>
              <w:tc>
                <w:tcPr>
                  <w:tcW w:w="670"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75/1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672" w:type="dxa"/>
                  <w:vAlign w:val="center"/>
                </w:tcPr>
                <w:p>
                  <w:pPr>
                    <w:pStyle w:val="43"/>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160</w:t>
                  </w:r>
                </w:p>
              </w:tc>
              <w:tc>
                <w:tcPr>
                  <w:tcW w:w="672"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672"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46</w:t>
                  </w:r>
                </w:p>
              </w:tc>
              <w:tc>
                <w:tcPr>
                  <w:tcW w:w="678"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注塑机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75/1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165</w:t>
                  </w:r>
                </w:p>
              </w:tc>
              <w:tc>
                <w:tcPr>
                  <w:tcW w:w="672"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46</w:t>
                  </w:r>
                </w:p>
              </w:tc>
              <w:tc>
                <w:tcPr>
                  <w:tcW w:w="678"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autoSpaceDE w:val="0"/>
                    <w:autoSpaceDN w:val="0"/>
                    <w:spacing w:line="240" w:lineRule="auto"/>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裁丝机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78/1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165</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64</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49</w:t>
                  </w:r>
                </w:p>
              </w:tc>
              <w:tc>
                <w:tcPr>
                  <w:tcW w:w="678"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autoSpaceDE w:val="0"/>
                    <w:autoSpaceDN w:val="0"/>
                    <w:spacing w:line="240" w:lineRule="auto"/>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植毛机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78/1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165</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64</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49</w:t>
                  </w:r>
                </w:p>
              </w:tc>
              <w:tc>
                <w:tcPr>
                  <w:tcW w:w="678"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autoSpaceDE w:val="0"/>
                    <w:autoSpaceDN w:val="0"/>
                    <w:spacing w:line="240" w:lineRule="auto"/>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剪丝机</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7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78/1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spacing w:line="240" w:lineRule="auto"/>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165</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64</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49</w:t>
                  </w:r>
                </w:p>
              </w:tc>
              <w:tc>
                <w:tcPr>
                  <w:tcW w:w="678"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669" w:type="dxa"/>
                  <w:vAlign w:val="center"/>
                </w:tcPr>
                <w:p>
                  <w:pPr>
                    <w:autoSpaceDE w:val="0"/>
                    <w:autoSpaceDN w:val="0"/>
                    <w:spacing w:line="240" w:lineRule="auto"/>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木工下料锯</w:t>
                  </w:r>
                </w:p>
              </w:tc>
              <w:tc>
                <w:tcPr>
                  <w:tcW w:w="670" w:type="dxa"/>
                  <w:vAlign w:val="center"/>
                </w:tcPr>
                <w:p>
                  <w:pPr>
                    <w:jc w:val="center"/>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670"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80/1</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2" w:type="dxa"/>
                  <w:vAlign w:val="center"/>
                </w:tcPr>
                <w:p>
                  <w:pPr>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672"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150</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672"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672"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66</w:t>
                  </w:r>
                </w:p>
              </w:tc>
              <w:tc>
                <w:tcPr>
                  <w:tcW w:w="672" w:type="dxa"/>
                  <w:vMerge w:val="continue"/>
                  <w:vAlign w:val="center"/>
                </w:tcPr>
                <w:p>
                  <w:pPr>
                    <w:pStyle w:val="43"/>
                    <w:spacing w:line="240" w:lineRule="auto"/>
                    <w:jc w:val="center"/>
                    <w:rPr>
                      <w:rFonts w:hint="eastAsia" w:ascii="Times New Roman" w:hAnsi="Times New Roman" w:cs="Times New Roman"/>
                      <w:color w:val="auto"/>
                      <w:lang w:val="zh-CN"/>
                    </w:rPr>
                  </w:pPr>
                </w:p>
              </w:tc>
              <w:tc>
                <w:tcPr>
                  <w:tcW w:w="673"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74" w:type="dxa"/>
                  <w:vAlign w:val="center"/>
                </w:tcPr>
                <w:p>
                  <w:pPr>
                    <w:pStyle w:val="43"/>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51</w:t>
                  </w:r>
                </w:p>
              </w:tc>
              <w:tc>
                <w:tcPr>
                  <w:tcW w:w="678" w:type="dxa"/>
                  <w:vAlign w:val="center"/>
                </w:tcPr>
                <w:p>
                  <w:pPr>
                    <w:pStyle w:val="43"/>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14"/>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color w:val="auto"/>
                      <w:lang w:val="zh-CN"/>
                    </w:rPr>
                  </w:pPr>
                  <w:r>
                    <w:rPr>
                      <w:rFonts w:hint="eastAsia" w:ascii="Times New Roman" w:hAnsi="Times New Roman" w:eastAsia="宋体" w:cs="Times New Roman"/>
                      <w:b/>
                      <w:bCs/>
                      <w:color w:val="auto"/>
                      <w:lang w:val="zh-CN"/>
                    </w:rPr>
                    <w:t>注：</w:t>
                  </w:r>
                  <w:r>
                    <w:rPr>
                      <w:rFonts w:hint="eastAsia" w:ascii="Times New Roman" w:hAnsi="Times New Roman" w:eastAsia="宋体" w:cs="Times New Roman"/>
                      <w:b w:val="0"/>
                      <w:bCs w:val="0"/>
                      <w:color w:val="auto"/>
                      <w:lang w:val="zh-CN"/>
                    </w:rPr>
                    <w:t>①</w:t>
                  </w:r>
                  <w:r>
                    <w:rPr>
                      <w:rFonts w:hint="eastAsia" w:ascii="Times New Roman" w:hAnsi="Times New Roman" w:eastAsia="宋体" w:cs="Times New Roman"/>
                      <w:color w:val="auto"/>
                      <w:lang w:val="zh-CN"/>
                    </w:rPr>
                    <w:t>以</w:t>
                  </w:r>
                  <w:r>
                    <w:rPr>
                      <w:rFonts w:hint="eastAsia" w:ascii="Times New Roman" w:hAnsi="Times New Roman" w:eastAsia="宋体" w:cs="Times New Roman"/>
                      <w:color w:val="auto"/>
                      <w:lang w:val="en-US" w:eastAsia="zh-CN"/>
                    </w:rPr>
                    <w:t>生产车间西南角为坐标圆点（0,0），X轴正向为正东方向，Y轴正向为正北方向。②</w:t>
                  </w:r>
                  <w:r>
                    <w:rPr>
                      <w:rFonts w:hint="eastAsia" w:ascii="Times New Roman" w:hAnsi="Times New Roman" w:cs="Times New Roman"/>
                      <w:color w:val="auto"/>
                      <w:lang w:val="en-US" w:eastAsia="zh-CN"/>
                    </w:rPr>
                    <w:t>噪声污染防治可行技术参考《汽车工业污染防治可行技术指南》（HJ1181-2021）：“表10 噪声污染防治可行技术”相关参数。</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4"/>
                <w:szCs w:val="32"/>
                <w:lang w:val="en-US" w:eastAsia="zh-CN"/>
              </w:rPr>
            </w:pPr>
            <w:r>
              <w:rPr>
                <w:rFonts w:hint="eastAsia" w:ascii="Times New Roman" w:hAnsi="Times New Roman" w:cs="Times New Roman"/>
                <w:color w:val="auto"/>
                <w:sz w:val="24"/>
                <w:lang w:val="zh-CN"/>
              </w:rPr>
              <w:tab/>
            </w:r>
            <w:r>
              <w:rPr>
                <w:rFonts w:hint="default" w:ascii="Times New Roman" w:hAnsi="Times New Roman" w:cs="Times New Roman"/>
                <w:b/>
                <w:bCs/>
                <w:color w:val="auto"/>
                <w:sz w:val="24"/>
                <w:szCs w:val="32"/>
                <w:lang w:val="en-US" w:eastAsia="zh-CN"/>
              </w:rPr>
              <w:t>表</w:t>
            </w:r>
            <w:r>
              <w:rPr>
                <w:rFonts w:hint="eastAsia" w:ascii="Times New Roman" w:hAnsi="Times New Roman" w:cs="Times New Roman"/>
                <w:b/>
                <w:bCs/>
                <w:color w:val="auto"/>
                <w:sz w:val="24"/>
                <w:szCs w:val="32"/>
                <w:lang w:val="en-US" w:eastAsia="zh-CN"/>
              </w:rPr>
              <w:t xml:space="preserve">4.31  </w:t>
            </w:r>
            <w:r>
              <w:rPr>
                <w:rFonts w:hint="default" w:ascii="Times New Roman" w:hAnsi="Times New Roman" w:cs="Times New Roman"/>
                <w:b/>
                <w:bCs/>
                <w:color w:val="auto"/>
                <w:sz w:val="24"/>
                <w:szCs w:val="32"/>
                <w:lang w:val="en-US" w:eastAsia="zh-CN"/>
              </w:rPr>
              <w:t>工业企业噪声源强调查清单（室外声源）</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2021"/>
              <w:gridCol w:w="924"/>
              <w:gridCol w:w="800"/>
              <w:gridCol w:w="888"/>
              <w:gridCol w:w="2315"/>
              <w:gridCol w:w="1067"/>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dxa"/>
                  <w:vMerge w:val="restart"/>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序号</w:t>
                  </w:r>
                </w:p>
              </w:tc>
              <w:tc>
                <w:tcPr>
                  <w:tcW w:w="2021" w:type="dxa"/>
                  <w:vMerge w:val="restart"/>
                  <w:vAlign w:val="center"/>
                </w:tcPr>
                <w:p>
                  <w:pPr>
                    <w:pStyle w:val="4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声源名称</w:t>
                  </w:r>
                </w:p>
              </w:tc>
              <w:tc>
                <w:tcPr>
                  <w:tcW w:w="2612" w:type="dxa"/>
                  <w:gridSpan w:val="3"/>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空间相对位置/m</w:t>
                  </w:r>
                </w:p>
              </w:tc>
              <w:tc>
                <w:tcPr>
                  <w:tcW w:w="2315" w:type="dxa"/>
                  <w:vAlign w:val="center"/>
                </w:tcPr>
                <w:p>
                  <w:pPr>
                    <w:pStyle w:val="4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声源源强</w:t>
                  </w:r>
                </w:p>
              </w:tc>
              <w:tc>
                <w:tcPr>
                  <w:tcW w:w="1067" w:type="dxa"/>
                  <w:vMerge w:val="restart"/>
                  <w:vAlign w:val="center"/>
                </w:tcPr>
                <w:p>
                  <w:pPr>
                    <w:pStyle w:val="4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声源控制措施</w:t>
                  </w:r>
                </w:p>
              </w:tc>
              <w:tc>
                <w:tcPr>
                  <w:tcW w:w="1068" w:type="dxa"/>
                  <w:vMerge w:val="restart"/>
                  <w:vAlign w:val="center"/>
                </w:tcPr>
                <w:p>
                  <w:pPr>
                    <w:pStyle w:val="4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dxa"/>
                  <w:vMerge w:val="continue"/>
                  <w:vAlign w:val="center"/>
                </w:tcPr>
                <w:p>
                  <w:pPr>
                    <w:pStyle w:val="43"/>
                    <w:spacing w:line="240" w:lineRule="auto"/>
                    <w:rPr>
                      <w:rFonts w:hint="eastAsia" w:ascii="Times New Roman" w:hAnsi="Times New Roman" w:cs="Times New Roman"/>
                      <w:color w:val="auto"/>
                      <w:lang w:val="en-US" w:eastAsia="zh-CN"/>
                    </w:rPr>
                  </w:pPr>
                </w:p>
              </w:tc>
              <w:tc>
                <w:tcPr>
                  <w:tcW w:w="2021" w:type="dxa"/>
                  <w:vMerge w:val="continue"/>
                  <w:vAlign w:val="center"/>
                </w:tcPr>
                <w:p>
                  <w:pPr>
                    <w:pStyle w:val="43"/>
                    <w:spacing w:line="240" w:lineRule="auto"/>
                    <w:rPr>
                      <w:rFonts w:hint="eastAsia" w:ascii="Times New Roman" w:hAnsi="Times New Roman" w:cs="Times New Roman"/>
                      <w:color w:val="auto"/>
                      <w:lang w:val="en-US" w:eastAsia="zh-CN"/>
                    </w:rPr>
                  </w:pPr>
                </w:p>
              </w:tc>
              <w:tc>
                <w:tcPr>
                  <w:tcW w:w="924" w:type="dxa"/>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X</w:t>
                  </w:r>
                </w:p>
              </w:tc>
              <w:tc>
                <w:tcPr>
                  <w:tcW w:w="800" w:type="dxa"/>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Y</w:t>
                  </w:r>
                </w:p>
              </w:tc>
              <w:tc>
                <w:tcPr>
                  <w:tcW w:w="888" w:type="dxa"/>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Z</w:t>
                  </w:r>
                </w:p>
              </w:tc>
              <w:tc>
                <w:tcPr>
                  <w:tcW w:w="2315" w:type="dxa"/>
                  <w:vAlign w:val="center"/>
                </w:tcPr>
                <w:p>
                  <w:pPr>
                    <w:pStyle w:val="4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zh-CN"/>
                    </w:rPr>
                    <w:t>（声压级</w:t>
                  </w:r>
                  <w:r>
                    <w:rPr>
                      <w:rFonts w:hint="eastAsia" w:ascii="Times New Roman" w:hAnsi="Times New Roman" w:cs="Times New Roman"/>
                      <w:color w:val="auto"/>
                      <w:lang w:val="en-US" w:eastAsia="zh-CN"/>
                    </w:rPr>
                    <w:t>/距声源距离</w:t>
                  </w:r>
                  <w:r>
                    <w:rPr>
                      <w:rFonts w:hint="eastAsia" w:ascii="Times New Roman" w:hAnsi="Times New Roman" w:cs="Times New Roman"/>
                      <w:color w:val="auto"/>
                      <w:lang w:val="zh-CN"/>
                    </w:rPr>
                    <w:t>）</w:t>
                  </w:r>
                  <w:r>
                    <w:rPr>
                      <w:rFonts w:hint="eastAsia" w:ascii="Times New Roman" w:hAnsi="Times New Roman" w:cs="Times New Roman"/>
                      <w:color w:val="auto"/>
                      <w:lang w:val="en-US" w:eastAsia="zh-CN"/>
                    </w:rPr>
                    <w:t>/（dB（A）/m）</w:t>
                  </w:r>
                </w:p>
              </w:tc>
              <w:tc>
                <w:tcPr>
                  <w:tcW w:w="1067" w:type="dxa"/>
                  <w:vMerge w:val="continue"/>
                  <w:vAlign w:val="center"/>
                </w:tcPr>
                <w:p>
                  <w:pPr>
                    <w:pStyle w:val="43"/>
                    <w:spacing w:line="240" w:lineRule="auto"/>
                    <w:rPr>
                      <w:rFonts w:hint="eastAsia" w:ascii="Times New Roman" w:hAnsi="Times New Roman" w:cs="Times New Roman"/>
                      <w:color w:val="auto"/>
                      <w:lang w:val="en-US" w:eastAsia="zh-CN"/>
                    </w:rPr>
                  </w:pPr>
                </w:p>
              </w:tc>
              <w:tc>
                <w:tcPr>
                  <w:tcW w:w="1068" w:type="dxa"/>
                  <w:vMerge w:val="continue"/>
                  <w:vAlign w:val="center"/>
                </w:tcPr>
                <w:p>
                  <w:pPr>
                    <w:pStyle w:val="43"/>
                    <w:spacing w:line="240" w:lineRule="auto"/>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dxa"/>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2021" w:type="dxa"/>
                  <w:vAlign w:val="center"/>
                </w:tcPr>
                <w:p>
                  <w:pPr>
                    <w:keepNext w:val="0"/>
                    <w:keepLines w:val="0"/>
                    <w:widowControl/>
                    <w:suppressLineNumbers w:val="0"/>
                    <w:jc w:val="center"/>
                    <w:textAlignment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风机1</w:t>
                  </w:r>
                </w:p>
              </w:tc>
              <w:tc>
                <w:tcPr>
                  <w:tcW w:w="924"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80</w:t>
                  </w:r>
                </w:p>
              </w:tc>
              <w:tc>
                <w:tcPr>
                  <w:tcW w:w="800"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888" w:type="dxa"/>
                  <w:vAlign w:val="center"/>
                </w:tcPr>
                <w:p>
                  <w:pPr>
                    <w:spacing w:line="240" w:lineRule="auto"/>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0.6</w:t>
                  </w:r>
                </w:p>
              </w:tc>
              <w:tc>
                <w:tcPr>
                  <w:tcW w:w="2315"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olor w:val="auto"/>
                      <w:szCs w:val="21"/>
                      <w:lang w:val="en-US" w:eastAsia="zh-CN"/>
                    </w:rPr>
                    <w:t>90</w:t>
                  </w:r>
                  <w:r>
                    <w:rPr>
                      <w:rFonts w:ascii="Times New Roman" w:hAnsi="Times New Roman"/>
                      <w:color w:val="auto"/>
                      <w:szCs w:val="21"/>
                    </w:rPr>
                    <w:t>/1</w:t>
                  </w:r>
                </w:p>
              </w:tc>
              <w:tc>
                <w:tcPr>
                  <w:tcW w:w="1067" w:type="dxa"/>
                  <w:vMerge w:val="restart"/>
                  <w:vAlign w:val="center"/>
                </w:tcPr>
                <w:p>
                  <w:pPr>
                    <w:pStyle w:val="43"/>
                    <w:spacing w:line="240" w:lineRule="auto"/>
                    <w:rPr>
                      <w:rFonts w:hint="eastAsia" w:ascii="Times New Roman" w:hAnsi="Times New Roman" w:eastAsia="宋体" w:cs="Times New Roman"/>
                      <w:color w:val="auto"/>
                      <w:lang w:val="en-US" w:eastAsia="zh-CN"/>
                    </w:rPr>
                  </w:pPr>
                  <w:r>
                    <w:rPr>
                      <w:rFonts w:hint="eastAsia" w:ascii="Times New Roman" w:hAnsi="Times New Roman"/>
                      <w:color w:val="auto"/>
                      <w:szCs w:val="21"/>
                      <w:lang w:eastAsia="zh-CN"/>
                    </w:rPr>
                    <w:t>隔声罩或带有吸声设施的单独的设备间、消声器、软连接</w:t>
                  </w:r>
                </w:p>
              </w:tc>
              <w:tc>
                <w:tcPr>
                  <w:tcW w:w="1068" w:type="dxa"/>
                  <w:vMerge w:val="restart"/>
                  <w:vAlign w:val="center"/>
                </w:tcPr>
                <w:p>
                  <w:pPr>
                    <w:pStyle w:val="43"/>
                    <w:spacing w:line="240" w:lineRule="auto"/>
                    <w:rPr>
                      <w:rFonts w:hint="eastAsia" w:ascii="Times New Roman" w:hAnsi="Times New Roman" w:cs="Times New Roman"/>
                      <w:color w:val="auto"/>
                      <w:lang w:val="en-US" w:eastAsia="zh-CN"/>
                    </w:rPr>
                  </w:pPr>
                  <w:r>
                    <w:rPr>
                      <w:rFonts w:hint="eastAsia" w:ascii="Times New Roman" w:hAnsi="Times New Roman"/>
                      <w:color w:val="auto"/>
                      <w:szCs w:val="21"/>
                    </w:rPr>
                    <w:t>昼间连续运行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dxa"/>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2021" w:type="dxa"/>
                  <w:vAlign w:val="center"/>
                </w:tcPr>
                <w:p>
                  <w:pPr>
                    <w:keepNext w:val="0"/>
                    <w:keepLines w:val="0"/>
                    <w:widowControl/>
                    <w:suppressLineNumbers w:val="0"/>
                    <w:jc w:val="center"/>
                    <w:textAlignment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风机2</w:t>
                  </w:r>
                </w:p>
              </w:tc>
              <w:tc>
                <w:tcPr>
                  <w:tcW w:w="924"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80</w:t>
                  </w:r>
                </w:p>
              </w:tc>
              <w:tc>
                <w:tcPr>
                  <w:tcW w:w="8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888"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0.6</w:t>
                  </w:r>
                </w:p>
              </w:tc>
              <w:tc>
                <w:tcPr>
                  <w:tcW w:w="2315"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olor w:val="auto"/>
                      <w:szCs w:val="21"/>
                      <w:lang w:val="en-US" w:eastAsia="zh-CN"/>
                    </w:rPr>
                    <w:t>90</w:t>
                  </w:r>
                  <w:r>
                    <w:rPr>
                      <w:rFonts w:ascii="Times New Roman" w:hAnsi="Times New Roman"/>
                      <w:color w:val="auto"/>
                      <w:szCs w:val="21"/>
                    </w:rPr>
                    <w:t>/1</w:t>
                  </w:r>
                </w:p>
              </w:tc>
              <w:tc>
                <w:tcPr>
                  <w:tcW w:w="1067" w:type="dxa"/>
                  <w:vMerge w:val="continue"/>
                  <w:vAlign w:val="center"/>
                </w:tcPr>
                <w:p>
                  <w:pPr>
                    <w:pStyle w:val="43"/>
                    <w:spacing w:line="240" w:lineRule="auto"/>
                    <w:rPr>
                      <w:rFonts w:hint="eastAsia" w:ascii="Times New Roman" w:hAnsi="Times New Roman" w:cs="Times New Roman"/>
                      <w:color w:val="auto"/>
                      <w:lang w:val="en-US" w:eastAsia="zh-CN"/>
                    </w:rPr>
                  </w:pPr>
                </w:p>
              </w:tc>
              <w:tc>
                <w:tcPr>
                  <w:tcW w:w="1068" w:type="dxa"/>
                  <w:vMerge w:val="continue"/>
                  <w:vAlign w:val="center"/>
                </w:tcPr>
                <w:p>
                  <w:pPr>
                    <w:pStyle w:val="43"/>
                    <w:spacing w:line="240" w:lineRule="auto"/>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dxa"/>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2021" w:type="dxa"/>
                  <w:vAlign w:val="center"/>
                </w:tcPr>
                <w:p>
                  <w:pPr>
                    <w:keepNext w:val="0"/>
                    <w:keepLines w:val="0"/>
                    <w:widowControl/>
                    <w:suppressLineNumbers w:val="0"/>
                    <w:jc w:val="center"/>
                    <w:textAlignment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风机3</w:t>
                  </w:r>
                </w:p>
              </w:tc>
              <w:tc>
                <w:tcPr>
                  <w:tcW w:w="924"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80</w:t>
                  </w:r>
                </w:p>
              </w:tc>
              <w:tc>
                <w:tcPr>
                  <w:tcW w:w="800"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888" w:type="dxa"/>
                  <w:vAlign w:val="center"/>
                </w:tcPr>
                <w:p>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0.6</w:t>
                  </w:r>
                </w:p>
              </w:tc>
              <w:tc>
                <w:tcPr>
                  <w:tcW w:w="2315" w:type="dxa"/>
                  <w:vAlign w:val="center"/>
                </w:tcPr>
                <w:p>
                  <w:pPr>
                    <w:spacing w:line="240" w:lineRule="auto"/>
                    <w:jc w:val="center"/>
                    <w:rPr>
                      <w:rFonts w:hint="eastAsia" w:ascii="Times New Roman" w:hAnsi="Times New Roman" w:cs="Times New Roman"/>
                      <w:color w:val="auto"/>
                      <w:lang w:val="en-US" w:eastAsia="zh-CN"/>
                    </w:rPr>
                  </w:pPr>
                  <w:r>
                    <w:rPr>
                      <w:rFonts w:hint="eastAsia" w:ascii="Times New Roman" w:hAnsi="Times New Roman"/>
                      <w:color w:val="auto"/>
                      <w:szCs w:val="21"/>
                      <w:lang w:val="en-US" w:eastAsia="zh-CN"/>
                    </w:rPr>
                    <w:t>90</w:t>
                  </w:r>
                  <w:r>
                    <w:rPr>
                      <w:rFonts w:ascii="Times New Roman" w:hAnsi="Times New Roman"/>
                      <w:color w:val="auto"/>
                      <w:szCs w:val="21"/>
                    </w:rPr>
                    <w:t>/1</w:t>
                  </w:r>
                </w:p>
              </w:tc>
              <w:tc>
                <w:tcPr>
                  <w:tcW w:w="1067" w:type="dxa"/>
                  <w:vMerge w:val="continue"/>
                  <w:vAlign w:val="center"/>
                </w:tcPr>
                <w:p>
                  <w:pPr>
                    <w:pStyle w:val="43"/>
                    <w:spacing w:line="240" w:lineRule="auto"/>
                    <w:rPr>
                      <w:rFonts w:hint="eastAsia" w:ascii="Times New Roman" w:hAnsi="Times New Roman" w:cs="Times New Roman"/>
                      <w:color w:val="auto"/>
                      <w:lang w:val="en-US" w:eastAsia="zh-CN"/>
                    </w:rPr>
                  </w:pPr>
                </w:p>
              </w:tc>
              <w:tc>
                <w:tcPr>
                  <w:tcW w:w="1068" w:type="dxa"/>
                  <w:vMerge w:val="continue"/>
                  <w:vAlign w:val="center"/>
                </w:tcPr>
                <w:p>
                  <w:pPr>
                    <w:pStyle w:val="43"/>
                    <w:spacing w:line="240" w:lineRule="auto"/>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dxa"/>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2021" w:type="dxa"/>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风机4</w:t>
                  </w:r>
                </w:p>
              </w:tc>
              <w:tc>
                <w:tcPr>
                  <w:tcW w:w="924" w:type="dxa"/>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70</w:t>
                  </w:r>
                </w:p>
              </w:tc>
              <w:tc>
                <w:tcPr>
                  <w:tcW w:w="800" w:type="dxa"/>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w:t>
                  </w:r>
                </w:p>
              </w:tc>
              <w:tc>
                <w:tcPr>
                  <w:tcW w:w="888" w:type="dxa"/>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0.6</w:t>
                  </w:r>
                </w:p>
              </w:tc>
              <w:tc>
                <w:tcPr>
                  <w:tcW w:w="2315" w:type="dxa"/>
                  <w:vAlign w:val="center"/>
                </w:tcPr>
                <w:p>
                  <w:pPr>
                    <w:jc w:val="center"/>
                    <w:rPr>
                      <w:rFonts w:hint="eastAsia" w:ascii="Times New Roman" w:hAnsi="Times New Roman" w:cs="Times New Roman" w:eastAsiaTheme="minorEastAsia"/>
                      <w:color w:val="auto"/>
                      <w:lang w:val="en-US" w:eastAsia="zh-CN"/>
                    </w:rPr>
                  </w:pPr>
                  <w:r>
                    <w:rPr>
                      <w:rFonts w:ascii="Times New Roman" w:hAnsi="Times New Roman"/>
                      <w:color w:val="auto"/>
                      <w:szCs w:val="21"/>
                    </w:rPr>
                    <w:t>90/</w:t>
                  </w:r>
                  <w:r>
                    <w:rPr>
                      <w:rFonts w:hint="eastAsia" w:ascii="Times New Roman" w:hAnsi="Times New Roman"/>
                      <w:color w:val="auto"/>
                      <w:szCs w:val="21"/>
                      <w:lang w:val="en-US" w:eastAsia="zh-CN"/>
                    </w:rPr>
                    <w:t>1</w:t>
                  </w:r>
                </w:p>
              </w:tc>
              <w:tc>
                <w:tcPr>
                  <w:tcW w:w="1067" w:type="dxa"/>
                  <w:vMerge w:val="continue"/>
                  <w:vAlign w:val="center"/>
                </w:tcPr>
                <w:p>
                  <w:pPr>
                    <w:pStyle w:val="43"/>
                    <w:spacing w:line="240" w:lineRule="auto"/>
                    <w:rPr>
                      <w:rFonts w:hint="eastAsia" w:ascii="Times New Roman" w:hAnsi="Times New Roman" w:eastAsia="宋体" w:cs="Times New Roman"/>
                      <w:color w:val="auto"/>
                      <w:lang w:val="en-US" w:eastAsia="zh-CN"/>
                    </w:rPr>
                  </w:pPr>
                </w:p>
              </w:tc>
              <w:tc>
                <w:tcPr>
                  <w:tcW w:w="1068" w:type="dxa"/>
                  <w:vMerge w:val="continue"/>
                  <w:vAlign w:val="center"/>
                </w:tcPr>
                <w:p>
                  <w:pPr>
                    <w:pStyle w:val="43"/>
                    <w:spacing w:line="240" w:lineRule="auto"/>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dxa"/>
                  <w:vAlign w:val="center"/>
                </w:tcPr>
                <w:p>
                  <w:pPr>
                    <w:pStyle w:val="4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2021" w:type="dxa"/>
                  <w:vAlign w:val="center"/>
                </w:tcPr>
                <w:p>
                  <w:pPr>
                    <w:keepNext w:val="0"/>
                    <w:keepLines w:val="0"/>
                    <w:widowControl/>
                    <w:suppressLineNumbers w:val="0"/>
                    <w:jc w:val="center"/>
                    <w:textAlignment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风机5</w:t>
                  </w:r>
                </w:p>
              </w:tc>
              <w:tc>
                <w:tcPr>
                  <w:tcW w:w="924" w:type="dxa"/>
                  <w:vAlign w:val="center"/>
                </w:tcPr>
                <w:p>
                  <w:pPr>
                    <w:pStyle w:val="43"/>
                    <w:spacing w:line="240" w:lineRule="auto"/>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65</w:t>
                  </w:r>
                </w:p>
              </w:tc>
              <w:tc>
                <w:tcPr>
                  <w:tcW w:w="800" w:type="dxa"/>
                  <w:vAlign w:val="center"/>
                </w:tcPr>
                <w:p>
                  <w:pPr>
                    <w:pStyle w:val="43"/>
                    <w:spacing w:line="240" w:lineRule="auto"/>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-2.5</w:t>
                  </w:r>
                </w:p>
              </w:tc>
              <w:tc>
                <w:tcPr>
                  <w:tcW w:w="888" w:type="dxa"/>
                  <w:vAlign w:val="center"/>
                </w:tcPr>
                <w:p>
                  <w:pPr>
                    <w:pStyle w:val="43"/>
                    <w:spacing w:line="240" w:lineRule="auto"/>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0.6</w:t>
                  </w:r>
                </w:p>
              </w:tc>
              <w:tc>
                <w:tcPr>
                  <w:tcW w:w="2315" w:type="dxa"/>
                  <w:vAlign w:val="center"/>
                </w:tcPr>
                <w:p>
                  <w:pPr>
                    <w:jc w:val="center"/>
                    <w:rPr>
                      <w:rFonts w:ascii="Times New Roman" w:hAnsi="Times New Roman"/>
                      <w:color w:val="auto"/>
                      <w:szCs w:val="21"/>
                    </w:rPr>
                  </w:pPr>
                  <w:r>
                    <w:rPr>
                      <w:rFonts w:ascii="Times New Roman" w:hAnsi="Times New Roman"/>
                      <w:color w:val="auto"/>
                      <w:szCs w:val="21"/>
                    </w:rPr>
                    <w:t>90/</w:t>
                  </w:r>
                  <w:r>
                    <w:rPr>
                      <w:rFonts w:hint="eastAsia" w:ascii="Times New Roman" w:hAnsi="Times New Roman"/>
                      <w:color w:val="auto"/>
                      <w:szCs w:val="21"/>
                      <w:lang w:val="en-US" w:eastAsia="zh-CN"/>
                    </w:rPr>
                    <w:t>1</w:t>
                  </w:r>
                </w:p>
              </w:tc>
              <w:tc>
                <w:tcPr>
                  <w:tcW w:w="1067" w:type="dxa"/>
                  <w:vMerge w:val="continue"/>
                  <w:vAlign w:val="center"/>
                </w:tcPr>
                <w:p>
                  <w:pPr>
                    <w:pStyle w:val="43"/>
                    <w:spacing w:line="240" w:lineRule="auto"/>
                    <w:rPr>
                      <w:rFonts w:hint="eastAsia" w:ascii="Times New Roman" w:hAnsi="Times New Roman" w:eastAsia="宋体" w:cs="Times New Roman"/>
                      <w:color w:val="auto"/>
                      <w:lang w:val="en-US" w:eastAsia="zh-CN"/>
                    </w:rPr>
                  </w:pPr>
                </w:p>
              </w:tc>
              <w:tc>
                <w:tcPr>
                  <w:tcW w:w="1068" w:type="dxa"/>
                  <w:vMerge w:val="continue"/>
                  <w:vAlign w:val="center"/>
                </w:tcPr>
                <w:p>
                  <w:pPr>
                    <w:pStyle w:val="43"/>
                    <w:spacing w:line="240" w:lineRule="auto"/>
                    <w:rPr>
                      <w:rFonts w:hint="eastAsia"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8"/>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cs="Times New Roman"/>
                      <w:color w:val="auto"/>
                      <w:lang w:val="en-US" w:eastAsia="zh-CN"/>
                    </w:rPr>
                  </w:pPr>
                  <w:r>
                    <w:rPr>
                      <w:rFonts w:hint="eastAsia" w:ascii="Times New Roman" w:hAnsi="Times New Roman" w:eastAsia="宋体" w:cs="Times New Roman"/>
                      <w:b/>
                      <w:bCs/>
                      <w:color w:val="auto"/>
                      <w:lang w:val="zh-CN"/>
                    </w:rPr>
                    <w:t>注：</w:t>
                  </w:r>
                  <w:r>
                    <w:rPr>
                      <w:rFonts w:hint="eastAsia" w:ascii="Times New Roman" w:hAnsi="Times New Roman" w:eastAsia="宋体" w:cs="Times New Roman"/>
                      <w:b w:val="0"/>
                      <w:bCs w:val="0"/>
                      <w:color w:val="auto"/>
                      <w:lang w:val="zh-CN"/>
                    </w:rPr>
                    <w:t>①</w:t>
                  </w:r>
                  <w:r>
                    <w:rPr>
                      <w:rFonts w:hint="eastAsia" w:ascii="Times New Roman" w:hAnsi="Times New Roman" w:eastAsia="宋体" w:cs="Times New Roman"/>
                      <w:color w:val="auto"/>
                      <w:lang w:val="zh-CN"/>
                    </w:rPr>
                    <w:t>以</w:t>
                  </w:r>
                  <w:r>
                    <w:rPr>
                      <w:rFonts w:hint="eastAsia" w:ascii="Times New Roman" w:hAnsi="Times New Roman" w:eastAsia="宋体" w:cs="Times New Roman"/>
                      <w:color w:val="auto"/>
                      <w:lang w:val="en-US" w:eastAsia="zh-CN"/>
                    </w:rPr>
                    <w:t>生产车间西南角为坐标圆点（0,0），X轴正向为正东方向，Y轴正向为正北方向。②</w:t>
                  </w:r>
                  <w:r>
                    <w:rPr>
                      <w:rFonts w:hint="eastAsia" w:ascii="Times New Roman" w:hAnsi="Times New Roman" w:cs="Times New Roman"/>
                      <w:color w:val="auto"/>
                      <w:lang w:val="en-US" w:eastAsia="zh-CN"/>
                    </w:rPr>
                    <w:t>噪声污染防治可行技术参考《汽车工业污染防治可行技术指南》（HJ1181-2021）：“表10 噪声污染防治可行技术”相关参数。</w:t>
                  </w:r>
                </w:p>
              </w:tc>
            </w:tr>
          </w:tbl>
          <w:p>
            <w:pPr>
              <w:tabs>
                <w:tab w:val="left" w:pos="432"/>
              </w:tabs>
              <w:spacing w:line="360" w:lineRule="auto"/>
              <w:ind w:firstLine="480" w:firstLineChars="200"/>
              <w:rPr>
                <w:rFonts w:hint="eastAsia"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3.2</w:t>
            </w:r>
            <w:r>
              <w:rPr>
                <w:rFonts w:hint="eastAsia" w:ascii="宋体" w:hAnsi="宋体" w:eastAsia="宋体" w:cs="宋体"/>
                <w:bCs/>
                <w:color w:val="auto"/>
                <w:sz w:val="24"/>
                <w:szCs w:val="24"/>
                <w:lang w:eastAsia="zh-CN"/>
              </w:rPr>
              <w:t>噪声预测</w:t>
            </w:r>
          </w:p>
          <w:p>
            <w:pPr>
              <w:spacing w:line="360" w:lineRule="auto"/>
              <w:ind w:firstLine="472" w:firstLineChars="200"/>
              <w:rPr>
                <w:rFonts w:ascii="Times New Roman" w:hAnsi="Times New Roman"/>
                <w:color w:val="auto"/>
                <w:spacing w:val="-2"/>
                <w:kern w:val="0"/>
                <w:sz w:val="24"/>
                <w:szCs w:val="20"/>
              </w:rPr>
            </w:pPr>
            <w:r>
              <w:rPr>
                <w:rFonts w:hint="eastAsia" w:ascii="Times New Roman" w:hAnsi="Times New Roman"/>
                <w:color w:val="auto"/>
                <w:spacing w:val="-2"/>
                <w:kern w:val="0"/>
                <w:sz w:val="24"/>
                <w:szCs w:val="20"/>
                <w:lang w:eastAsia="zh-CN"/>
              </w:rPr>
              <w:t>（</w:t>
            </w:r>
            <w:r>
              <w:rPr>
                <w:rFonts w:hint="eastAsia" w:ascii="Times New Roman" w:hAnsi="Times New Roman"/>
                <w:color w:val="auto"/>
                <w:spacing w:val="-2"/>
                <w:kern w:val="0"/>
                <w:sz w:val="24"/>
                <w:szCs w:val="20"/>
                <w:lang w:val="en-US" w:eastAsia="zh-CN"/>
              </w:rPr>
              <w:t>1</w:t>
            </w:r>
            <w:r>
              <w:rPr>
                <w:rFonts w:hint="eastAsia" w:ascii="Times New Roman" w:hAnsi="Times New Roman"/>
                <w:color w:val="auto"/>
                <w:spacing w:val="-2"/>
                <w:kern w:val="0"/>
                <w:sz w:val="24"/>
                <w:szCs w:val="20"/>
                <w:lang w:eastAsia="zh-CN"/>
              </w:rPr>
              <w:t>）</w:t>
            </w:r>
            <w:r>
              <w:rPr>
                <w:rFonts w:hint="eastAsia" w:ascii="Times New Roman" w:hAnsi="Times New Roman"/>
                <w:color w:val="auto"/>
                <w:spacing w:val="-2"/>
                <w:kern w:val="0"/>
                <w:sz w:val="24"/>
                <w:szCs w:val="20"/>
              </w:rPr>
              <w:t>室外声源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auto"/>
                <w:kern w:val="2"/>
                <w:sz w:val="24"/>
                <w:szCs w:val="32"/>
                <w:lang w:val="en-US" w:eastAsia="zh-CN" w:bidi="ar"/>
              </w:rPr>
            </w:pPr>
            <w:r>
              <w:rPr>
                <w:rFonts w:hint="eastAsia" w:ascii="Times New Roman" w:hAnsi="Times New Roman" w:eastAsia="宋体" w:cs="Times New Roman"/>
                <w:color w:val="auto"/>
                <w:kern w:val="2"/>
                <w:sz w:val="24"/>
                <w:szCs w:val="32"/>
                <w:lang w:val="en-US" w:eastAsia="zh-CN" w:bidi="ar"/>
              </w:rPr>
              <w:t>无指向性点声源几何发散衰减的基本公式是。</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color w:val="auto"/>
              </w:rPr>
            </w:pPr>
            <w:r>
              <w:rPr>
                <w:color w:val="auto"/>
              </w:rPr>
              <w:drawing>
                <wp:inline distT="0" distB="0" distL="114300" distR="114300">
                  <wp:extent cx="2571750" cy="285750"/>
                  <wp:effectExtent l="0" t="0" r="0"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35"/>
                          <a:stretch>
                            <a:fillRect/>
                          </a:stretch>
                        </pic:blipFill>
                        <pic:spPr>
                          <a:xfrm>
                            <a:off x="0" y="0"/>
                            <a:ext cx="2571750" cy="285750"/>
                          </a:xfrm>
                          <a:prstGeom prst="rect">
                            <a:avLst/>
                          </a:prstGeom>
                          <a:noFill/>
                          <a:ln>
                            <a:noFill/>
                          </a:ln>
                        </pic:spPr>
                      </pic:pic>
                    </a:graphicData>
                  </a:graphic>
                </wp:inline>
              </w:drawing>
            </w:r>
          </w:p>
          <w:p>
            <w:pPr>
              <w:keepNext w:val="0"/>
              <w:keepLines w:val="0"/>
              <w:widowControl w:val="0"/>
              <w:suppressLineNumbers w:val="0"/>
              <w:spacing w:line="480" w:lineRule="exact"/>
              <w:ind w:firstLine="480" w:firstLineChars="200"/>
              <w:jc w:val="left"/>
              <w:rPr>
                <w:rFonts w:ascii="Times New Roman" w:hAnsi="Times New Roman" w:eastAsia="宋体" w:cs="Times New Roman"/>
                <w:color w:val="auto"/>
                <w:sz w:val="24"/>
                <w:szCs w:val="32"/>
              </w:rPr>
            </w:pPr>
            <w:r>
              <w:rPr>
                <w:rFonts w:hint="default" w:ascii="Times New Roman" w:hAnsi="Times New Roman" w:eastAsia="宋体" w:cs="Times New Roman"/>
                <w:color w:val="auto"/>
                <w:kern w:val="2"/>
                <w:sz w:val="24"/>
                <w:szCs w:val="32"/>
                <w:lang w:val="en-US" w:eastAsia="zh-CN" w:bidi="ar"/>
              </w:rPr>
              <w:t>式中：L</w:t>
            </w:r>
            <w:r>
              <w:rPr>
                <w:rFonts w:hint="default" w:ascii="Times New Roman" w:hAnsi="Times New Roman" w:eastAsia="宋体" w:cs="Times New Roman"/>
                <w:color w:val="auto"/>
                <w:kern w:val="2"/>
                <w:sz w:val="24"/>
                <w:szCs w:val="32"/>
                <w:vertAlign w:val="subscript"/>
                <w:lang w:val="en-US" w:eastAsia="zh-CN" w:bidi="ar"/>
              </w:rPr>
              <w:t>p</w:t>
            </w:r>
            <w:r>
              <w:rPr>
                <w:rFonts w:hint="eastAsia" w:ascii="Times New Roman" w:hAnsi="Times New Roman" w:eastAsia="宋体" w:cs="Times New Roman"/>
                <w:color w:val="auto"/>
                <w:kern w:val="2"/>
                <w:sz w:val="24"/>
                <w:szCs w:val="32"/>
                <w:lang w:val="en-US" w:eastAsia="zh-CN" w:bidi="ar"/>
              </w:rPr>
              <w:t>（r）</w:t>
            </w:r>
            <w:r>
              <w:rPr>
                <w:rFonts w:hint="default" w:ascii="Times New Roman" w:hAnsi="Times New Roman" w:eastAsia="宋体" w:cs="Times New Roman"/>
                <w:color w:val="auto"/>
                <w:kern w:val="2"/>
                <w:sz w:val="24"/>
                <w:szCs w:val="32"/>
                <w:lang w:val="en-US" w:eastAsia="zh-CN" w:bidi="ar"/>
              </w:rPr>
              <w:t xml:space="preserve">——预测点处的声压级，dB； </w:t>
            </w:r>
          </w:p>
          <w:p>
            <w:pPr>
              <w:keepNext w:val="0"/>
              <w:keepLines w:val="0"/>
              <w:widowControl w:val="0"/>
              <w:suppressLineNumbers w:val="0"/>
              <w:spacing w:line="480" w:lineRule="exact"/>
              <w:ind w:firstLine="1200" w:firstLineChars="500"/>
              <w:jc w:val="left"/>
              <w:rPr>
                <w:rFonts w:ascii="Times New Roman" w:hAnsi="Times New Roman" w:eastAsia="宋体" w:cs="Times New Roman"/>
                <w:color w:val="auto"/>
                <w:sz w:val="24"/>
                <w:szCs w:val="32"/>
              </w:rPr>
            </w:pPr>
            <w:r>
              <w:rPr>
                <w:rFonts w:hint="default" w:ascii="Times New Roman" w:hAnsi="Times New Roman" w:eastAsia="宋体" w:cs="Times New Roman"/>
                <w:color w:val="auto"/>
                <w:kern w:val="2"/>
                <w:sz w:val="24"/>
                <w:szCs w:val="32"/>
                <w:lang w:val="en-US" w:eastAsia="zh-CN" w:bidi="ar"/>
              </w:rPr>
              <w:t>L</w:t>
            </w:r>
            <w:r>
              <w:rPr>
                <w:rFonts w:hint="default" w:ascii="Times New Roman" w:hAnsi="Times New Roman" w:eastAsia="宋体" w:cs="Times New Roman"/>
                <w:color w:val="auto"/>
                <w:kern w:val="2"/>
                <w:sz w:val="24"/>
                <w:szCs w:val="32"/>
                <w:vertAlign w:val="subscript"/>
                <w:lang w:val="en-US" w:eastAsia="zh-CN" w:bidi="ar"/>
              </w:rPr>
              <w:t>p</w:t>
            </w:r>
            <w:r>
              <w:rPr>
                <w:rFonts w:hint="eastAsia" w:ascii="Times New Roman" w:hAnsi="Times New Roman" w:eastAsia="宋体" w:cs="Times New Roman"/>
                <w:color w:val="auto"/>
                <w:kern w:val="2"/>
                <w:sz w:val="24"/>
                <w:szCs w:val="32"/>
                <w:lang w:val="en-US" w:eastAsia="zh-CN" w:bidi="ar"/>
              </w:rPr>
              <w:t>（</w:t>
            </w:r>
            <w:r>
              <w:rPr>
                <w:rFonts w:hint="default" w:ascii="Times New Roman" w:hAnsi="Times New Roman" w:eastAsia="宋体" w:cs="Times New Roman"/>
                <w:color w:val="auto"/>
                <w:kern w:val="2"/>
                <w:sz w:val="24"/>
                <w:szCs w:val="32"/>
                <w:lang w:val="en-US" w:eastAsia="zh-CN" w:bidi="ar"/>
              </w:rPr>
              <w:t>r</w:t>
            </w:r>
            <w:r>
              <w:rPr>
                <w:rFonts w:hint="default" w:ascii="Times New Roman" w:hAnsi="Times New Roman" w:eastAsia="宋体" w:cs="Times New Roman"/>
                <w:color w:val="auto"/>
                <w:kern w:val="2"/>
                <w:sz w:val="24"/>
                <w:szCs w:val="32"/>
                <w:vertAlign w:val="subscript"/>
                <w:lang w:val="en-US" w:eastAsia="zh-CN" w:bidi="ar"/>
              </w:rPr>
              <w:t>0</w:t>
            </w:r>
            <w:r>
              <w:rPr>
                <w:rFonts w:hint="eastAsia" w:ascii="Times New Roman" w:hAnsi="Times New Roman" w:eastAsia="宋体" w:cs="Times New Roman"/>
                <w:color w:val="auto"/>
                <w:kern w:val="2"/>
                <w:sz w:val="24"/>
                <w:szCs w:val="32"/>
                <w:lang w:val="en-US" w:eastAsia="zh-CN" w:bidi="ar"/>
              </w:rPr>
              <w:t>）</w:t>
            </w:r>
            <w:r>
              <w:rPr>
                <w:rFonts w:hint="default" w:ascii="Times New Roman" w:hAnsi="Times New Roman" w:eastAsia="宋体" w:cs="Times New Roman"/>
                <w:color w:val="auto"/>
                <w:kern w:val="2"/>
                <w:sz w:val="24"/>
                <w:szCs w:val="32"/>
                <w:lang w:val="en-US" w:eastAsia="zh-CN" w:bidi="ar"/>
              </w:rPr>
              <w:t>——参考位置r</w:t>
            </w:r>
            <w:r>
              <w:rPr>
                <w:rFonts w:hint="default" w:ascii="Times New Roman" w:hAnsi="Times New Roman" w:eastAsia="宋体" w:cs="Times New Roman"/>
                <w:color w:val="auto"/>
                <w:kern w:val="2"/>
                <w:sz w:val="24"/>
                <w:szCs w:val="32"/>
                <w:vertAlign w:val="subscript"/>
                <w:lang w:val="en-US" w:eastAsia="zh-CN" w:bidi="ar"/>
              </w:rPr>
              <w:t>0</w:t>
            </w:r>
            <w:r>
              <w:rPr>
                <w:rFonts w:hint="default" w:ascii="Times New Roman" w:hAnsi="Times New Roman" w:eastAsia="宋体" w:cs="Times New Roman"/>
                <w:color w:val="auto"/>
                <w:kern w:val="2"/>
                <w:sz w:val="24"/>
                <w:szCs w:val="32"/>
                <w:lang w:val="en-US" w:eastAsia="zh-CN" w:bidi="ar"/>
              </w:rPr>
              <w:t xml:space="preserve">处的声压级，dB； </w:t>
            </w:r>
          </w:p>
          <w:p>
            <w:pPr>
              <w:keepNext w:val="0"/>
              <w:keepLines w:val="0"/>
              <w:widowControl w:val="0"/>
              <w:suppressLineNumbers w:val="0"/>
              <w:spacing w:line="480" w:lineRule="exact"/>
              <w:ind w:firstLine="1200" w:firstLineChars="500"/>
              <w:jc w:val="left"/>
              <w:rPr>
                <w:rFonts w:ascii="Times New Roman" w:hAnsi="Times New Roman" w:eastAsia="宋体" w:cs="Times New Roman"/>
                <w:color w:val="auto"/>
                <w:sz w:val="24"/>
                <w:szCs w:val="32"/>
              </w:rPr>
            </w:pPr>
            <w:r>
              <w:rPr>
                <w:rFonts w:hint="default" w:ascii="Times New Roman" w:hAnsi="Times New Roman" w:eastAsia="宋体" w:cs="Times New Roman"/>
                <w:color w:val="auto"/>
                <w:kern w:val="2"/>
                <w:sz w:val="24"/>
                <w:szCs w:val="32"/>
                <w:lang w:val="en-US" w:eastAsia="zh-CN" w:bidi="ar"/>
              </w:rPr>
              <w:t xml:space="preserve">r——预测点距声源的距离，m； </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both"/>
              <w:textAlignment w:val="auto"/>
              <w:rPr>
                <w:rFonts w:hint="eastAsia"/>
                <w:color w:val="auto"/>
                <w:lang w:val="en-US" w:eastAsia="zh-CN"/>
              </w:rPr>
            </w:pPr>
            <w:r>
              <w:rPr>
                <w:rFonts w:hint="default" w:ascii="Times New Roman" w:hAnsi="Times New Roman" w:eastAsia="宋体" w:cs="Times New Roman"/>
                <w:color w:val="auto"/>
                <w:kern w:val="2"/>
                <w:sz w:val="24"/>
                <w:szCs w:val="32"/>
                <w:lang w:val="en-US" w:eastAsia="zh-CN" w:bidi="ar"/>
              </w:rPr>
              <w:t>r</w:t>
            </w:r>
            <w:r>
              <w:rPr>
                <w:rFonts w:hint="default" w:ascii="Times New Roman" w:hAnsi="Times New Roman" w:eastAsia="宋体" w:cs="Times New Roman"/>
                <w:color w:val="auto"/>
                <w:kern w:val="2"/>
                <w:sz w:val="24"/>
                <w:szCs w:val="32"/>
                <w:vertAlign w:val="subscript"/>
                <w:lang w:val="en-US" w:eastAsia="zh-CN" w:bidi="ar"/>
              </w:rPr>
              <w:t>0</w:t>
            </w:r>
            <w:r>
              <w:rPr>
                <w:rFonts w:hint="default" w:ascii="Times New Roman" w:hAnsi="Times New Roman" w:eastAsia="宋体" w:cs="Times New Roman"/>
                <w:color w:val="auto"/>
                <w:kern w:val="2"/>
                <w:sz w:val="24"/>
                <w:szCs w:val="32"/>
                <w:lang w:val="en-US" w:eastAsia="zh-CN" w:bidi="ar"/>
              </w:rPr>
              <w:t>——参考点距声源的距离，m；r</w:t>
            </w:r>
            <w:r>
              <w:rPr>
                <w:rFonts w:hint="default" w:ascii="Times New Roman" w:hAnsi="Times New Roman" w:eastAsia="宋体" w:cs="Times New Roman"/>
                <w:color w:val="auto"/>
                <w:kern w:val="2"/>
                <w:sz w:val="24"/>
                <w:szCs w:val="32"/>
                <w:vertAlign w:val="subscript"/>
                <w:lang w:val="en-US" w:eastAsia="zh-CN" w:bidi="ar"/>
              </w:rPr>
              <w:t>0</w:t>
            </w:r>
            <w:r>
              <w:rPr>
                <w:rFonts w:hint="default" w:ascii="Times New Roman" w:hAnsi="Times New Roman" w:eastAsia="宋体" w:cs="Times New Roman"/>
                <w:color w:val="auto"/>
                <w:kern w:val="2"/>
                <w:sz w:val="24"/>
                <w:szCs w:val="32"/>
                <w:lang w:val="en-US" w:eastAsia="zh-CN" w:bidi="ar"/>
              </w:rPr>
              <w:t>取1m</w:t>
            </w:r>
            <w:r>
              <w:rPr>
                <w:rFonts w:hint="eastAsia" w:ascii="Times New Roman" w:hAnsi="Times New Roman" w:eastAsia="宋体" w:cs="Times New Roman"/>
                <w:color w:val="auto"/>
                <w:kern w:val="2"/>
                <w:sz w:val="24"/>
                <w:szCs w:val="32"/>
                <w:lang w:val="en-US" w:eastAsia="zh-CN" w:bidi="ar"/>
              </w:rPr>
              <w:t>。</w:t>
            </w:r>
          </w:p>
          <w:p>
            <w:pPr>
              <w:adjustRightInd w:val="0"/>
              <w:spacing w:line="360" w:lineRule="auto"/>
              <w:ind w:firstLine="472" w:firstLineChars="200"/>
              <w:rPr>
                <w:rFonts w:hint="eastAsia" w:ascii="Times New Roman" w:hAnsi="Times New Roman" w:cs="宋体"/>
                <w:color w:val="auto"/>
                <w:spacing w:val="-2"/>
                <w:kern w:val="0"/>
                <w:sz w:val="24"/>
                <w:szCs w:val="20"/>
                <w:lang w:eastAsia="zh-CN"/>
              </w:rPr>
            </w:pPr>
            <w:r>
              <w:rPr>
                <w:rFonts w:hint="eastAsia" w:ascii="Times New Roman" w:hAnsi="Times New Roman" w:cs="宋体"/>
                <w:color w:val="auto"/>
                <w:spacing w:val="-2"/>
                <w:kern w:val="0"/>
                <w:sz w:val="24"/>
                <w:szCs w:val="20"/>
                <w:lang w:eastAsia="zh-CN"/>
              </w:rPr>
              <w:t>如果声源处于半自由声场，则上式等效为下式。</w:t>
            </w:r>
          </w:p>
          <w:p>
            <w:pPr>
              <w:adjustRightInd w:val="0"/>
              <w:spacing w:line="360" w:lineRule="auto"/>
              <w:jc w:val="center"/>
              <w:rPr>
                <w:color w:val="auto"/>
              </w:rPr>
            </w:pPr>
            <w:r>
              <w:rPr>
                <w:color w:val="auto"/>
              </w:rPr>
              <w:drawing>
                <wp:inline distT="0" distB="0" distL="114300" distR="114300">
                  <wp:extent cx="2181225" cy="314325"/>
                  <wp:effectExtent l="0" t="0" r="952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6"/>
                          <a:stretch>
                            <a:fillRect/>
                          </a:stretch>
                        </pic:blipFill>
                        <pic:spPr>
                          <a:xfrm>
                            <a:off x="0" y="0"/>
                            <a:ext cx="2181225" cy="314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宋体" w:hAnsi="宋体" w:eastAsia="宋体" w:cs="宋体"/>
                <w:b w:val="0"/>
                <w:bCs w:val="0"/>
                <w:i w:val="0"/>
                <w:iCs w:val="0"/>
                <w:color w:val="auto"/>
                <w:sz w:val="24"/>
                <w:szCs w:val="24"/>
              </w:rPr>
            </w:pPr>
            <w:r>
              <w:rPr>
                <w:rFonts w:hint="eastAsia" w:ascii="宋体" w:hAnsi="宋体" w:eastAsia="宋体" w:cs="宋体"/>
                <w:b w:val="0"/>
                <w:bCs w:val="0"/>
                <w:i w:val="0"/>
                <w:iCs w:val="0"/>
                <w:color w:val="auto"/>
                <w:sz w:val="24"/>
                <w:szCs w:val="24"/>
              </w:rPr>
              <w:t>式中：</w:t>
            </w:r>
            <w:r>
              <w:rPr>
                <w:rFonts w:hint="default" w:ascii="Times New Roman" w:hAnsi="Times New Roman" w:eastAsia="宋体" w:cs="Times New Roman"/>
                <w:b w:val="0"/>
                <w:bCs w:val="0"/>
                <w:i w:val="0"/>
                <w:iCs w:val="0"/>
                <w:color w:val="auto"/>
                <w:sz w:val="24"/>
                <w:szCs w:val="24"/>
              </w:rPr>
              <w:t>L</w:t>
            </w:r>
            <w:r>
              <w:rPr>
                <w:rFonts w:hint="default" w:ascii="Times New Roman" w:hAnsi="Times New Roman" w:eastAsia="宋体" w:cs="Times New Roman"/>
                <w:b w:val="0"/>
                <w:bCs w:val="0"/>
                <w:i w:val="0"/>
                <w:iCs w:val="0"/>
                <w:color w:val="auto"/>
                <w:sz w:val="24"/>
                <w:szCs w:val="24"/>
                <w:vertAlign w:val="subscript"/>
              </w:rPr>
              <w:t>p</w:t>
            </w:r>
            <w:r>
              <w:rPr>
                <w:rFonts w:hint="eastAsia" w:ascii="Times New Roman" w:hAnsi="Times New Roman" w:eastAsia="宋体" w:cs="Times New Roman"/>
                <w:b w:val="0"/>
                <w:bCs w:val="0"/>
                <w:i w:val="0"/>
                <w:iCs w:val="0"/>
                <w:color w:val="auto"/>
                <w:sz w:val="24"/>
                <w:szCs w:val="24"/>
                <w:lang w:eastAsia="zh-CN"/>
              </w:rPr>
              <w:t>（</w:t>
            </w:r>
            <w:r>
              <w:rPr>
                <w:rFonts w:hint="eastAsia" w:ascii="Times New Roman" w:hAnsi="Times New Roman" w:eastAsia="宋体" w:cs="Times New Roman"/>
                <w:b w:val="0"/>
                <w:bCs w:val="0"/>
                <w:i w:val="0"/>
                <w:iCs w:val="0"/>
                <w:color w:val="auto"/>
                <w:sz w:val="24"/>
                <w:szCs w:val="24"/>
                <w:lang w:val="en-US" w:eastAsia="zh-CN"/>
              </w:rPr>
              <w:t>r</w:t>
            </w:r>
            <w:r>
              <w:rPr>
                <w:rFonts w:hint="eastAsia" w:ascii="Times New Roman" w:hAnsi="Times New Roman" w:eastAsia="宋体" w:cs="Times New Roman"/>
                <w:b w:val="0"/>
                <w:bCs w:val="0"/>
                <w:i w:val="0"/>
                <w:iCs w:val="0"/>
                <w:color w:val="auto"/>
                <w:sz w:val="24"/>
                <w:szCs w:val="24"/>
                <w:lang w:eastAsia="zh-CN"/>
              </w:rPr>
              <w:t>）</w:t>
            </w:r>
            <w:r>
              <w:rPr>
                <w:rFonts w:hint="default" w:ascii="Times New Roman" w:hAnsi="Times New Roman" w:eastAsia="宋体" w:cs="Times New Roman"/>
                <w:b w:val="0"/>
                <w:bCs w:val="0"/>
                <w:i w:val="0"/>
                <w:iCs w:val="0"/>
                <w:color w:val="auto"/>
                <w:sz w:val="24"/>
                <w:szCs w:val="24"/>
              </w:rPr>
              <w:t>——</w:t>
            </w:r>
            <w:r>
              <w:rPr>
                <w:rFonts w:hint="eastAsia" w:ascii="宋体" w:hAnsi="宋体" w:eastAsia="宋体" w:cs="宋体"/>
                <w:b w:val="0"/>
                <w:bCs w:val="0"/>
                <w:i w:val="0"/>
                <w:iCs w:val="0"/>
                <w:color w:val="auto"/>
                <w:sz w:val="24"/>
                <w:szCs w:val="24"/>
              </w:rPr>
              <w:t>预测点处声压级，</w:t>
            </w:r>
            <w:r>
              <w:rPr>
                <w:rFonts w:hint="default" w:ascii="Times New Roman" w:hAnsi="Times New Roman" w:eastAsia="宋体" w:cs="Times New Roman"/>
                <w:b w:val="0"/>
                <w:bCs w:val="0"/>
                <w:i w:val="0"/>
                <w:iCs w:val="0"/>
                <w:color w:val="auto"/>
                <w:sz w:val="24"/>
                <w:szCs w:val="24"/>
              </w:rPr>
              <w:t>dB</w:t>
            </w:r>
            <w:r>
              <w:rPr>
                <w:rFonts w:hint="eastAsia" w:ascii="宋体" w:hAnsi="宋体" w:eastAsia="宋体" w:cs="宋体"/>
                <w:b w:val="0"/>
                <w:bCs w:val="0"/>
                <w:i w:val="0"/>
                <w:iCs w:val="0"/>
                <w:color w:val="auto"/>
                <w:sz w:val="24"/>
                <w:szCs w:val="24"/>
              </w:rPr>
              <w:t>；</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both"/>
              <w:textAlignment w:val="auto"/>
              <w:rPr>
                <w:rFonts w:hint="eastAsia" w:ascii="宋体" w:hAnsi="宋体" w:eastAsia="宋体" w:cs="宋体"/>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L</w:t>
            </w:r>
            <w:r>
              <w:rPr>
                <w:rFonts w:hint="default" w:ascii="Times New Roman" w:hAnsi="Times New Roman" w:eastAsia="宋体" w:cs="Times New Roman"/>
                <w:b w:val="0"/>
                <w:bCs w:val="0"/>
                <w:i w:val="0"/>
                <w:iCs w:val="0"/>
                <w:color w:val="auto"/>
                <w:sz w:val="24"/>
                <w:szCs w:val="24"/>
                <w:vertAlign w:val="subscript"/>
              </w:rPr>
              <w:t>w</w:t>
            </w:r>
            <w:r>
              <w:rPr>
                <w:rFonts w:hint="default" w:ascii="Times New Roman" w:hAnsi="Times New Roman" w:eastAsia="宋体" w:cs="Times New Roman"/>
                <w:b w:val="0"/>
                <w:bCs w:val="0"/>
                <w:i w:val="0"/>
                <w:iCs w:val="0"/>
                <w:color w:val="auto"/>
                <w:sz w:val="24"/>
                <w:szCs w:val="24"/>
              </w:rPr>
              <w:t>——</w:t>
            </w:r>
            <w:r>
              <w:rPr>
                <w:rFonts w:hint="eastAsia" w:ascii="宋体" w:hAnsi="宋体" w:eastAsia="宋体" w:cs="宋体"/>
                <w:b w:val="0"/>
                <w:bCs w:val="0"/>
                <w:i w:val="0"/>
                <w:iCs w:val="0"/>
                <w:color w:val="auto"/>
                <w:sz w:val="24"/>
                <w:szCs w:val="24"/>
              </w:rPr>
              <w:t>由点声源产生的倍频带声功率级，</w:t>
            </w:r>
            <w:r>
              <w:rPr>
                <w:rFonts w:hint="default" w:ascii="Times New Roman" w:hAnsi="Times New Roman" w:eastAsia="宋体" w:cs="Times New Roman"/>
                <w:b w:val="0"/>
                <w:bCs w:val="0"/>
                <w:i w:val="0"/>
                <w:iCs w:val="0"/>
                <w:color w:val="auto"/>
                <w:sz w:val="24"/>
                <w:szCs w:val="24"/>
              </w:rPr>
              <w:t>dB</w:t>
            </w:r>
            <w:r>
              <w:rPr>
                <w:rFonts w:hint="eastAsia" w:ascii="宋体" w:hAnsi="宋体" w:eastAsia="宋体" w:cs="宋体"/>
                <w:b w:val="0"/>
                <w:bCs w:val="0"/>
                <w:i w:val="0"/>
                <w:iCs w:val="0"/>
                <w:color w:val="auto"/>
                <w:sz w:val="24"/>
                <w:szCs w:val="24"/>
              </w:rPr>
              <w:t>；</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both"/>
              <w:textAlignment w:val="auto"/>
              <w:rPr>
                <w:rFonts w:hint="eastAsia"/>
                <w:i w:val="0"/>
                <w:iCs w:val="0"/>
                <w:color w:val="auto"/>
                <w:sz w:val="24"/>
                <w:szCs w:val="24"/>
                <w:lang w:eastAsia="zh-CN"/>
              </w:rPr>
            </w:pPr>
            <w:r>
              <w:rPr>
                <w:rFonts w:hint="default" w:ascii="Times New Roman" w:hAnsi="Times New Roman" w:eastAsia="宋体" w:cs="Times New Roman"/>
                <w:b w:val="0"/>
                <w:bCs w:val="0"/>
                <w:i w:val="0"/>
                <w:iCs w:val="0"/>
                <w:color w:val="auto"/>
                <w:sz w:val="24"/>
                <w:szCs w:val="24"/>
              </w:rPr>
              <w:t>r——</w:t>
            </w:r>
            <w:r>
              <w:rPr>
                <w:rFonts w:hint="eastAsia" w:ascii="宋体" w:hAnsi="宋体" w:eastAsia="宋体" w:cs="宋体"/>
                <w:b w:val="0"/>
                <w:bCs w:val="0"/>
                <w:i w:val="0"/>
                <w:iCs w:val="0"/>
                <w:color w:val="auto"/>
                <w:sz w:val="24"/>
                <w:szCs w:val="24"/>
              </w:rPr>
              <w:t>预测点距声源的距离。</w:t>
            </w:r>
            <w:r>
              <w:rPr>
                <w:rFonts w:ascii="宋体" w:hAnsi="宋体" w:eastAsia="宋体" w:cs="宋体"/>
                <w:i w:val="0"/>
                <w:iCs w:val="0"/>
                <w:color w:val="auto"/>
                <w:sz w:val="24"/>
                <w:szCs w:val="24"/>
              </w:rPr>
              <w:t xml:space="preserve"> </w:t>
            </w:r>
          </w:p>
          <w:p>
            <w:pPr>
              <w:adjustRightInd w:val="0"/>
              <w:spacing w:line="360" w:lineRule="auto"/>
              <w:ind w:firstLine="472" w:firstLineChars="200"/>
              <w:rPr>
                <w:rFonts w:ascii="Times New Roman" w:hAnsi="Times New Roman"/>
                <w:color w:val="auto"/>
                <w:spacing w:val="-2"/>
                <w:kern w:val="0"/>
                <w:sz w:val="24"/>
                <w:szCs w:val="20"/>
              </w:rPr>
            </w:pPr>
            <w:r>
              <w:rPr>
                <w:rFonts w:hint="eastAsia" w:ascii="Times New Roman" w:hAnsi="Times New Roman" w:cs="宋体"/>
                <w:color w:val="auto"/>
                <w:spacing w:val="-2"/>
                <w:kern w:val="0"/>
                <w:sz w:val="24"/>
                <w:szCs w:val="20"/>
                <w:lang w:eastAsia="zh-CN"/>
              </w:rPr>
              <w:t>（</w:t>
            </w:r>
            <w:r>
              <w:rPr>
                <w:rFonts w:hint="eastAsia" w:ascii="Times New Roman" w:hAnsi="Times New Roman" w:cs="宋体"/>
                <w:color w:val="auto"/>
                <w:spacing w:val="-2"/>
                <w:kern w:val="0"/>
                <w:sz w:val="24"/>
                <w:szCs w:val="20"/>
                <w:lang w:val="en-US" w:eastAsia="zh-CN"/>
              </w:rPr>
              <w:t>2</w:t>
            </w:r>
            <w:r>
              <w:rPr>
                <w:rFonts w:hint="eastAsia" w:ascii="Times New Roman" w:hAnsi="Times New Roman" w:cs="宋体"/>
                <w:color w:val="auto"/>
                <w:spacing w:val="-2"/>
                <w:kern w:val="0"/>
                <w:sz w:val="24"/>
                <w:szCs w:val="20"/>
                <w:lang w:eastAsia="zh-CN"/>
              </w:rPr>
              <w:t>）</w:t>
            </w:r>
            <w:r>
              <w:rPr>
                <w:rFonts w:hint="eastAsia" w:ascii="Times New Roman" w:hAnsi="Times New Roman"/>
                <w:color w:val="auto"/>
                <w:spacing w:val="-2"/>
                <w:kern w:val="0"/>
                <w:sz w:val="24"/>
                <w:szCs w:val="20"/>
              </w:rPr>
              <w:t>室内声源</w:t>
            </w:r>
          </w:p>
          <w:p>
            <w:pPr>
              <w:adjustRightInd w:val="0"/>
              <w:spacing w:line="360" w:lineRule="auto"/>
              <w:ind w:firstLine="472" w:firstLineChars="200"/>
              <w:rPr>
                <w:rFonts w:hint="eastAsia" w:ascii="Times New Roman" w:hAnsi="Times New Roman" w:eastAsia="宋体"/>
                <w:color w:val="auto"/>
                <w:spacing w:val="-2"/>
                <w:kern w:val="0"/>
                <w:sz w:val="24"/>
                <w:szCs w:val="24"/>
                <w:lang w:eastAsia="zh-CN"/>
              </w:rPr>
            </w:pPr>
            <w:r>
              <w:rPr>
                <w:rFonts w:hint="eastAsia" w:ascii="Times New Roman" w:hAnsi="Times New Roman"/>
                <w:color w:val="auto"/>
                <w:spacing w:val="-2"/>
                <w:kern w:val="0"/>
                <w:sz w:val="24"/>
                <w:szCs w:val="20"/>
              </w:rPr>
              <w:t>①</w:t>
            </w:r>
            <w:r>
              <w:rPr>
                <w:rFonts w:hint="eastAsia" w:ascii="宋体" w:hAnsi="宋体" w:eastAsia="宋体" w:cs="宋体"/>
                <w:b w:val="0"/>
                <w:bCs w:val="0"/>
                <w:i w:val="0"/>
                <w:iCs w:val="0"/>
                <w:color w:val="auto"/>
                <w:sz w:val="24"/>
                <w:szCs w:val="24"/>
              </w:rPr>
              <w:t>某一室内声源靠近围护结构处产生的倍频带声压级或</w:t>
            </w:r>
            <w:r>
              <w:rPr>
                <w:rFonts w:hint="default" w:ascii="Times New Roman" w:hAnsi="Times New Roman" w:eastAsia="宋体" w:cs="Times New Roman"/>
                <w:b w:val="0"/>
                <w:bCs w:val="0"/>
                <w:i w:val="0"/>
                <w:iCs w:val="0"/>
                <w:color w:val="auto"/>
                <w:sz w:val="24"/>
                <w:szCs w:val="24"/>
              </w:rPr>
              <w:t>A</w:t>
            </w:r>
            <w:r>
              <w:rPr>
                <w:rFonts w:hint="eastAsia" w:ascii="宋体" w:hAnsi="宋体" w:eastAsia="宋体" w:cs="宋体"/>
                <w:b w:val="0"/>
                <w:bCs w:val="0"/>
                <w:i w:val="0"/>
                <w:iCs w:val="0"/>
                <w:color w:val="auto"/>
                <w:sz w:val="24"/>
                <w:szCs w:val="24"/>
              </w:rPr>
              <w:t>声级</w:t>
            </w:r>
            <w:r>
              <w:rPr>
                <w:rFonts w:hint="eastAsia" w:ascii="宋体" w:hAnsi="宋体" w:eastAsia="宋体" w:cs="宋体"/>
                <w:color w:val="auto"/>
                <w:sz w:val="24"/>
                <w:szCs w:val="24"/>
                <w:lang w:eastAsia="zh-CN"/>
              </w:rPr>
              <w:t>。</w:t>
            </w:r>
          </w:p>
          <w:p>
            <w:pPr>
              <w:adjustRightInd w:val="0"/>
              <w:spacing w:line="360" w:lineRule="auto"/>
              <w:jc w:val="center"/>
              <w:rPr>
                <w:rFonts w:ascii="Times New Roman" w:hAnsi="Times New Roman"/>
                <w:color w:val="auto"/>
                <w:spacing w:val="-2"/>
                <w:kern w:val="0"/>
                <w:sz w:val="24"/>
                <w:szCs w:val="20"/>
              </w:rPr>
            </w:pPr>
            <w:r>
              <w:rPr>
                <w:color w:val="auto"/>
              </w:rPr>
              <w:drawing>
                <wp:inline distT="0" distB="0" distL="114300" distR="114300">
                  <wp:extent cx="2952750" cy="600075"/>
                  <wp:effectExtent l="0" t="0" r="0" b="952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37"/>
                          <a:stretch>
                            <a:fillRect/>
                          </a:stretch>
                        </pic:blipFill>
                        <pic:spPr>
                          <a:xfrm>
                            <a:off x="0" y="0"/>
                            <a:ext cx="2952750" cy="600075"/>
                          </a:xfrm>
                          <a:prstGeom prst="rect">
                            <a:avLst/>
                          </a:prstGeom>
                          <a:noFill/>
                          <a:ln>
                            <a:noFill/>
                          </a:ln>
                        </pic:spPr>
                      </pic:pic>
                    </a:graphicData>
                  </a:graphic>
                </wp:inline>
              </w:drawing>
            </w:r>
          </w:p>
          <w:p>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p1</w:t>
            </w:r>
            <w:r>
              <w:rPr>
                <w:rFonts w:hint="default" w:ascii="Times New Roman" w:hAnsi="Times New Roman" w:cs="Times New Roman"/>
                <w:color w:val="auto"/>
                <w:sz w:val="24"/>
                <w:szCs w:val="24"/>
              </w:rPr>
              <w:t>——靠近开口处（或窗户）室内某倍频带的声压级或A声级，dB；</w:t>
            </w:r>
          </w:p>
          <w:p>
            <w:pPr>
              <w:tabs>
                <w:tab w:val="left" w:pos="900"/>
              </w:tabs>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 xml:space="preserve"> ——点声源声功率级（A计权或倍频带），dB；</w:t>
            </w:r>
          </w:p>
          <w:p>
            <w:pPr>
              <w:tabs>
                <w:tab w:val="left" w:pos="900"/>
              </w:tabs>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Q——指向性因数；通常对无指向性声源，当声源放在房间中心时，Q=1；当放在一面墙的中心时，Q=2；当放在两面墙夹角处时，Q=4；当放在三面墙夹角处时，Q=8；</w:t>
            </w:r>
          </w:p>
          <w:p>
            <w:pPr>
              <w:tabs>
                <w:tab w:val="left" w:pos="900"/>
              </w:tabs>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R——房间常数；RS /</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α</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1，S为房间内表面面积，m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；α为平均吸声系数；</w:t>
            </w:r>
          </w:p>
          <w:p>
            <w:pPr>
              <w:tabs>
                <w:tab w:val="left" w:pos="900"/>
              </w:tabs>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r——声源到靠近围护结构某点处的距离，m。</w:t>
            </w:r>
          </w:p>
          <w:p>
            <w:pPr>
              <w:pStyle w:val="15"/>
              <w:spacing w:line="360" w:lineRule="auto"/>
              <w:jc w:val="center"/>
              <w:rPr>
                <w:color w:val="auto"/>
              </w:rPr>
            </w:pPr>
            <w:r>
              <w:rPr>
                <w:color w:val="auto"/>
              </w:rPr>
              <w:drawing>
                <wp:inline distT="0" distB="0" distL="114300" distR="114300">
                  <wp:extent cx="3286125" cy="1504950"/>
                  <wp:effectExtent l="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8"/>
                          <a:stretch>
                            <a:fillRect/>
                          </a:stretch>
                        </pic:blipFill>
                        <pic:spPr>
                          <a:xfrm>
                            <a:off x="0" y="0"/>
                            <a:ext cx="3286125" cy="1504950"/>
                          </a:xfrm>
                          <a:prstGeom prst="rect">
                            <a:avLst/>
                          </a:prstGeom>
                          <a:noFill/>
                          <a:ln>
                            <a:noFill/>
                          </a:ln>
                        </pic:spPr>
                      </pic:pic>
                    </a:graphicData>
                  </a:graphic>
                </wp:inline>
              </w:drawing>
            </w:r>
          </w:p>
          <w:p>
            <w:pPr>
              <w:pStyle w:val="2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eastAsia="zh-CN"/>
              </w:rPr>
              <w:t>图</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lang w:val="en-US" w:eastAsia="zh-CN"/>
              </w:rPr>
              <w:t xml:space="preserve">  室内声源等效为室外声源图例</w:t>
            </w:r>
          </w:p>
          <w:p>
            <w:pPr>
              <w:pStyle w:val="15"/>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②然后按下式计算出所有室内声源在围护结构处产生的i倍频带叠加声压级。</w:t>
            </w:r>
          </w:p>
          <w:p>
            <w:pPr>
              <w:spacing w:line="360" w:lineRule="auto"/>
              <w:jc w:val="center"/>
              <w:rPr>
                <w:rFonts w:hint="default" w:ascii="Times New Roman" w:hAnsi="Times New Roman" w:cs="Times New Roman"/>
                <w:color w:val="auto"/>
                <w:sz w:val="24"/>
                <w:szCs w:val="24"/>
              </w:rPr>
            </w:pPr>
            <w:r>
              <w:rPr>
                <w:color w:val="auto"/>
              </w:rPr>
              <w:drawing>
                <wp:inline distT="0" distB="0" distL="114300" distR="114300">
                  <wp:extent cx="2857500" cy="657225"/>
                  <wp:effectExtent l="0" t="0" r="0" b="952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39"/>
                          <a:stretch>
                            <a:fillRect/>
                          </a:stretch>
                        </pic:blipFill>
                        <pic:spPr>
                          <a:xfrm>
                            <a:off x="0" y="0"/>
                            <a:ext cx="2857500" cy="657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eastAsia" w:ascii="Times New Roman" w:hAnsi="Times New Roman" w:cs="Times New Roman"/>
                <w:color w:val="auto"/>
                <w:sz w:val="24"/>
                <w:szCs w:val="24"/>
                <w:vertAlign w:val="subscript"/>
                <w:lang w:val="en-US" w:eastAsia="zh-CN"/>
              </w:rPr>
              <w:t>pli</w:t>
            </w:r>
            <w:r>
              <w:rPr>
                <w:rFonts w:hint="eastAsia"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——靠近围护结构处室内N个声源i倍频带的叠加声压级，dB；</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w:t>
            </w:r>
            <w:r>
              <w:rPr>
                <w:rFonts w:hint="eastAsia" w:ascii="Times New Roman" w:hAnsi="Times New Roman" w:cs="Times New Roman"/>
                <w:color w:val="auto"/>
                <w:sz w:val="24"/>
                <w:szCs w:val="24"/>
                <w:vertAlign w:val="subscript"/>
                <w:lang w:val="en-US" w:eastAsia="zh-CN"/>
              </w:rPr>
              <w:t>l</w:t>
            </w:r>
            <w:r>
              <w:rPr>
                <w:rFonts w:hint="default" w:ascii="Times New Roman" w:hAnsi="Times New Roman" w:cs="Times New Roman"/>
                <w:color w:val="auto"/>
                <w:sz w:val="24"/>
                <w:szCs w:val="24"/>
                <w:vertAlign w:val="subscript"/>
              </w:rPr>
              <w:t xml:space="preserve">i </w:t>
            </w:r>
            <w:r>
              <w:rPr>
                <w:rFonts w:hint="default" w:ascii="Times New Roman" w:hAnsi="Times New Roman" w:cs="Times New Roman"/>
                <w:color w:val="auto"/>
                <w:sz w:val="24"/>
                <w:szCs w:val="24"/>
              </w:rPr>
              <w:t>——室内j声源i倍频带的声压级，dB；</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N——室内声源总数。</w:t>
            </w:r>
          </w:p>
          <w:p>
            <w:pPr>
              <w:spacing w:line="360" w:lineRule="auto"/>
              <w:ind w:firstLine="480" w:firstLineChars="200"/>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③在室内近似为扩散声场时，按</w:t>
            </w:r>
            <w:r>
              <w:rPr>
                <w:rFonts w:hint="eastAsia" w:ascii="Times New Roman" w:hAnsi="Times New Roman" w:cs="Times New Roman"/>
                <w:color w:val="auto"/>
                <w:sz w:val="24"/>
                <w:szCs w:val="24"/>
                <w:lang w:eastAsia="zh-CN"/>
              </w:rPr>
              <w:t>下式</w:t>
            </w:r>
            <w:r>
              <w:rPr>
                <w:rFonts w:hint="default" w:ascii="Times New Roman" w:hAnsi="Times New Roman" w:cs="Times New Roman"/>
                <w:color w:val="auto"/>
                <w:sz w:val="24"/>
                <w:szCs w:val="24"/>
              </w:rPr>
              <w:t>计算出靠近室外围护结构处的声压级</w:t>
            </w:r>
            <w:r>
              <w:rPr>
                <w:rFonts w:hint="eastAsia" w:ascii="Times New Roman" w:hAnsi="Times New Roman" w:cs="Times New Roman"/>
                <w:color w:val="auto"/>
                <w:sz w:val="24"/>
                <w:szCs w:val="24"/>
                <w:lang w:eastAsia="zh-CN"/>
              </w:rPr>
              <w:t>。</w:t>
            </w:r>
          </w:p>
          <w:p>
            <w:pPr>
              <w:spacing w:line="360" w:lineRule="auto"/>
              <w:jc w:val="center"/>
              <w:rPr>
                <w:rFonts w:hint="default" w:ascii="Times New Roman" w:hAnsi="Times New Roman" w:cs="Times New Roman"/>
                <w:color w:val="auto"/>
                <w:sz w:val="24"/>
                <w:szCs w:val="24"/>
              </w:rPr>
            </w:pPr>
            <w:r>
              <w:rPr>
                <w:color w:val="auto"/>
              </w:rPr>
              <w:drawing>
                <wp:inline distT="0" distB="0" distL="114300" distR="114300">
                  <wp:extent cx="2733675" cy="3524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0"/>
                          <a:stretch>
                            <a:fillRect/>
                          </a:stretch>
                        </pic:blipFill>
                        <pic:spPr>
                          <a:xfrm>
                            <a:off x="0" y="0"/>
                            <a:ext cx="2733675" cy="352425"/>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eastAsia" w:ascii="Times New Roman" w:hAnsi="Times New Roman" w:cs="Times New Roman"/>
                <w:color w:val="auto"/>
                <w:sz w:val="24"/>
                <w:szCs w:val="24"/>
                <w:vertAlign w:val="subscript"/>
                <w:lang w:val="en-US" w:eastAsia="zh-CN"/>
              </w:rPr>
              <w:t>p2i</w:t>
            </w:r>
            <w:r>
              <w:rPr>
                <w:rFonts w:hint="eastAsia"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——靠近围护结构处室外N个声源i倍频带的叠加声压级，dB；</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eastAsia" w:ascii="Times New Roman" w:hAnsi="Times New Roman" w:cs="Times New Roman"/>
                <w:color w:val="auto"/>
                <w:sz w:val="24"/>
                <w:szCs w:val="24"/>
                <w:vertAlign w:val="subscript"/>
                <w:lang w:val="en-US" w:eastAsia="zh-CN"/>
              </w:rPr>
              <w:t>pli</w:t>
            </w:r>
            <w:r>
              <w:rPr>
                <w:rFonts w:hint="eastAsia"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——靠近围护结构处室内N个声源i倍频带的叠加声压级，dB；</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TL</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 xml:space="preserve"> ——围护结构i倍频带的隔声量，dB。</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宋体" w:hAnsi="宋体" w:eastAsia="宋体" w:cs="宋体"/>
                <w:b w:val="0"/>
                <w:bCs w:val="0"/>
                <w:i w:val="0"/>
                <w:iCs w:val="0"/>
                <w:color w:val="auto"/>
                <w:sz w:val="24"/>
                <w:szCs w:val="24"/>
              </w:rPr>
              <w:t>④然后按</w:t>
            </w:r>
            <w:r>
              <w:rPr>
                <w:rFonts w:hint="eastAsia" w:ascii="宋体" w:hAnsi="宋体" w:eastAsia="宋体" w:cs="宋体"/>
                <w:b w:val="0"/>
                <w:bCs w:val="0"/>
                <w:i w:val="0"/>
                <w:iCs w:val="0"/>
                <w:color w:val="auto"/>
                <w:sz w:val="24"/>
                <w:szCs w:val="24"/>
                <w:lang w:eastAsia="zh-CN"/>
              </w:rPr>
              <w:t>下式</w:t>
            </w:r>
            <w:r>
              <w:rPr>
                <w:rFonts w:hint="eastAsia" w:ascii="宋体" w:hAnsi="宋体" w:eastAsia="宋体" w:cs="宋体"/>
                <w:b w:val="0"/>
                <w:bCs w:val="0"/>
                <w:i w:val="0"/>
                <w:iCs w:val="0"/>
                <w:color w:val="auto"/>
                <w:sz w:val="24"/>
                <w:szCs w:val="24"/>
              </w:rPr>
              <w:t>将室外声源的声压级和透过面积换算成等效的室外声源，计算出中心位置位于透声面积（</w:t>
            </w:r>
            <w:r>
              <w:rPr>
                <w:rFonts w:hint="eastAsia" w:ascii="Times New Roman" w:hAnsi="Times New Roman" w:eastAsia="宋体" w:cs="Times New Roman"/>
                <w:b w:val="0"/>
                <w:bCs w:val="0"/>
                <w:i w:val="0"/>
                <w:iCs w:val="0"/>
                <w:color w:val="auto"/>
                <w:sz w:val="24"/>
                <w:szCs w:val="24"/>
                <w:lang w:val="en-US" w:eastAsia="zh-CN"/>
              </w:rPr>
              <w:t>S</w:t>
            </w:r>
            <w:r>
              <w:rPr>
                <w:rFonts w:hint="eastAsia" w:ascii="宋体" w:hAnsi="宋体" w:eastAsia="宋体" w:cs="宋体"/>
                <w:b w:val="0"/>
                <w:bCs w:val="0"/>
                <w:i w:val="0"/>
                <w:iCs w:val="0"/>
                <w:color w:val="auto"/>
                <w:sz w:val="24"/>
                <w:szCs w:val="24"/>
              </w:rPr>
              <w:t>）处的等效声源的倍频带声功率级。</w:t>
            </w:r>
            <w:r>
              <w:rPr>
                <w:rFonts w:ascii="宋体" w:hAnsi="宋体" w:eastAsia="宋体" w:cs="宋体"/>
                <w:color w:val="auto"/>
                <w:sz w:val="24"/>
                <w:szCs w:val="24"/>
              </w:rPr>
              <w:t xml:space="preserve"> </w:t>
            </w:r>
          </w:p>
          <w:p>
            <w:pPr>
              <w:spacing w:line="360" w:lineRule="auto"/>
              <w:jc w:val="center"/>
              <w:rPr>
                <w:rFonts w:hint="eastAsia" w:ascii="Times New Roman" w:hAnsi="Times New Roman" w:eastAsia="宋体" w:cs="Times New Roman"/>
                <w:color w:val="auto"/>
                <w:sz w:val="24"/>
                <w:szCs w:val="20"/>
                <w:lang w:eastAsia="zh-CN"/>
              </w:rPr>
            </w:pPr>
            <w:r>
              <w:rPr>
                <w:color w:val="auto"/>
              </w:rPr>
              <w:drawing>
                <wp:inline distT="0" distB="0" distL="114300" distR="114300">
                  <wp:extent cx="2095500" cy="295275"/>
                  <wp:effectExtent l="0" t="0" r="0" b="952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1"/>
                          <a:stretch>
                            <a:fillRect/>
                          </a:stretch>
                        </pic:blipFill>
                        <pic:spPr>
                          <a:xfrm>
                            <a:off x="0" y="0"/>
                            <a:ext cx="2095500" cy="295275"/>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式中：L</w:t>
            </w:r>
            <w:r>
              <w:rPr>
                <w:rFonts w:hint="default" w:ascii="Times New Roman" w:hAnsi="Times New Roman" w:eastAsia="宋体" w:cs="Times New Roman"/>
                <w:b w:val="0"/>
                <w:bCs w:val="0"/>
                <w:i w:val="0"/>
                <w:iCs w:val="0"/>
                <w:color w:val="auto"/>
                <w:sz w:val="24"/>
                <w:szCs w:val="24"/>
                <w:vertAlign w:val="subscript"/>
                <w:lang w:val="en-US" w:eastAsia="zh-CN"/>
              </w:rPr>
              <w:t>w</w:t>
            </w:r>
            <w:r>
              <w:rPr>
                <w:rFonts w:hint="default" w:ascii="Times New Roman" w:hAnsi="Times New Roman" w:eastAsia="宋体" w:cs="Times New Roman"/>
                <w:b w:val="0"/>
                <w:bCs w:val="0"/>
                <w:i w:val="0"/>
                <w:iCs w:val="0"/>
                <w:color w:val="auto"/>
                <w:sz w:val="24"/>
                <w:szCs w:val="24"/>
                <w:lang w:val="en-US" w:eastAsia="zh-CN"/>
              </w:rPr>
              <w:t>——中心位置位于透声面积（S）处的等效声源的倍频带声功率级，dB；</w:t>
            </w:r>
          </w:p>
          <w:p>
            <w:pPr>
              <w:spacing w:line="360" w:lineRule="auto"/>
              <w:ind w:firstLine="1200" w:firstLineChars="500"/>
              <w:rPr>
                <w:rFonts w:hint="default" w:ascii="Times New Roman" w:hAnsi="Times New Roman" w:eastAsia="宋体" w:cs="Times New Roman"/>
                <w:b w:val="0"/>
                <w:bCs w:val="0"/>
                <w:i w:val="0"/>
                <w:iCs w:val="0"/>
                <w:color w:val="auto"/>
                <w:sz w:val="24"/>
                <w:szCs w:val="24"/>
                <w:lang w:val="en-US" w:eastAsia="zh-CN"/>
              </w:rPr>
            </w:pPr>
            <w:r>
              <w:rPr>
                <w:rFonts w:hint="eastAsia" w:ascii="Times New Roman" w:hAnsi="Times New Roman" w:eastAsia="宋体" w:cs="Times New Roman"/>
                <w:b w:val="0"/>
                <w:bCs w:val="0"/>
                <w:i w:val="0"/>
                <w:iCs w:val="0"/>
                <w:color w:val="auto"/>
                <w:sz w:val="24"/>
                <w:szCs w:val="24"/>
                <w:lang w:val="en-US" w:eastAsia="zh-CN"/>
              </w:rPr>
              <w:t>L</w:t>
            </w:r>
            <w:r>
              <w:rPr>
                <w:rFonts w:hint="default" w:ascii="Times New Roman" w:hAnsi="Times New Roman" w:eastAsia="宋体" w:cs="Times New Roman"/>
                <w:b w:val="0"/>
                <w:bCs w:val="0"/>
                <w:i w:val="0"/>
                <w:iCs w:val="0"/>
                <w:color w:val="auto"/>
                <w:sz w:val="24"/>
                <w:szCs w:val="24"/>
                <w:vertAlign w:val="subscript"/>
                <w:lang w:val="en-US" w:eastAsia="zh-CN"/>
              </w:rPr>
              <w:t>p2</w:t>
            </w:r>
            <w:r>
              <w:rPr>
                <w:rFonts w:hint="eastAsia" w:ascii="Times New Roman" w:hAnsi="Times New Roman" w:eastAsia="宋体" w:cs="Times New Roman"/>
                <w:b w:val="0"/>
                <w:bCs w:val="0"/>
                <w:i w:val="0"/>
                <w:iCs w:val="0"/>
                <w:color w:val="auto"/>
                <w:sz w:val="24"/>
                <w:szCs w:val="24"/>
                <w:lang w:val="en-US" w:eastAsia="zh-CN"/>
              </w:rPr>
              <w:t>（T）</w:t>
            </w:r>
            <w:r>
              <w:rPr>
                <w:rFonts w:hint="default" w:ascii="Times New Roman" w:hAnsi="Times New Roman" w:eastAsia="宋体" w:cs="Times New Roman"/>
                <w:b w:val="0"/>
                <w:bCs w:val="0"/>
                <w:i w:val="0"/>
                <w:iCs w:val="0"/>
                <w:color w:val="auto"/>
                <w:sz w:val="24"/>
                <w:szCs w:val="24"/>
                <w:lang w:val="en-US" w:eastAsia="zh-CN"/>
              </w:rPr>
              <w:t>——靠近围护结构处室外声源的声压级，dB；</w:t>
            </w:r>
          </w:p>
          <w:p>
            <w:pPr>
              <w:spacing w:line="360" w:lineRule="auto"/>
              <w:ind w:firstLine="1200" w:firstLineChars="500"/>
              <w:rPr>
                <w:rFonts w:hint="eastAsia" w:ascii="宋体" w:hAnsi="宋体" w:eastAsia="宋体" w:cs="宋体"/>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lang w:val="en-US" w:eastAsia="zh-CN"/>
              </w:rPr>
              <w:t>S——透声面积，m</w:t>
            </w:r>
            <w:r>
              <w:rPr>
                <w:rFonts w:hint="default" w:ascii="Times New Roman" w:hAnsi="Times New Roman" w:eastAsia="宋体" w:cs="Times New Roman"/>
                <w:b w:val="0"/>
                <w:bCs w:val="0"/>
                <w:i w:val="0"/>
                <w:iCs w:val="0"/>
                <w:color w:val="auto"/>
                <w:sz w:val="24"/>
                <w:szCs w:val="24"/>
                <w:vertAlign w:val="superscript"/>
                <w:lang w:val="en-US" w:eastAsia="zh-CN"/>
              </w:rPr>
              <w:t>2</w:t>
            </w:r>
            <w:r>
              <w:rPr>
                <w:rFonts w:hint="default" w:ascii="Times New Roman" w:hAnsi="Times New Roman" w:eastAsia="宋体" w:cs="Times New Roman"/>
                <w:b w:val="0"/>
                <w:bCs w:val="0"/>
                <w:i w:val="0"/>
                <w:iCs w:val="0"/>
                <w:color w:val="auto"/>
                <w:sz w:val="24"/>
                <w:szCs w:val="24"/>
                <w:lang w:val="en-US" w:eastAsia="zh-CN"/>
              </w:rPr>
              <w:t>。</w:t>
            </w:r>
            <w:r>
              <w:rPr>
                <w:rFonts w:hint="eastAsia" w:ascii="宋体" w:hAnsi="宋体" w:eastAsia="宋体" w:cs="宋体"/>
                <w:b w:val="0"/>
                <w:bCs w:val="0"/>
                <w:i w:val="0"/>
                <w:iCs w:val="0"/>
                <w:color w:val="auto"/>
                <w:sz w:val="24"/>
                <w:szCs w:val="24"/>
                <w:lang w:val="en-US" w:eastAsia="zh-CN"/>
              </w:rPr>
              <w:t xml:space="preserve"> </w:t>
            </w:r>
          </w:p>
          <w:p>
            <w:pPr>
              <w:pStyle w:val="64"/>
              <w:snapToGrid/>
              <w:spacing w:line="480" w:lineRule="exact"/>
              <w:rPr>
                <w:rFonts w:hint="default" w:ascii="Times New Roman" w:hAnsi="Times New Roman" w:eastAsia="宋体" w:cs="Times New Roman"/>
                <w:i w:val="0"/>
                <w:iCs w:val="0"/>
                <w:color w:val="auto"/>
                <w:kern w:val="2"/>
                <w:sz w:val="24"/>
                <w:szCs w:val="24"/>
              </w:rPr>
            </w:pPr>
            <w:r>
              <w:rPr>
                <w:rFonts w:hint="default" w:ascii="Times New Roman" w:hAnsi="Times New Roman" w:eastAsia="宋体" w:cs="Times New Roman"/>
                <w:color w:val="auto"/>
                <w:kern w:val="2"/>
                <w:szCs w:val="24"/>
              </w:rPr>
              <w:t>④</w:t>
            </w:r>
            <w:r>
              <w:rPr>
                <w:rFonts w:hint="eastAsia" w:ascii="宋体" w:hAnsi="宋体" w:eastAsia="宋体" w:cs="宋体"/>
                <w:b w:val="0"/>
                <w:bCs w:val="0"/>
                <w:i w:val="0"/>
                <w:iCs w:val="0"/>
                <w:color w:val="auto"/>
                <w:sz w:val="24"/>
                <w:szCs w:val="24"/>
              </w:rPr>
              <w:t>设第</w:t>
            </w:r>
            <w:r>
              <w:rPr>
                <w:rFonts w:hint="default" w:ascii="Times New Roman" w:hAnsi="Times New Roman" w:eastAsia="宋体" w:cs="Times New Roman"/>
                <w:b w:val="0"/>
                <w:bCs w:val="0"/>
                <w:i w:val="0"/>
                <w:iCs w:val="0"/>
                <w:color w:val="auto"/>
                <w:sz w:val="24"/>
                <w:szCs w:val="24"/>
              </w:rPr>
              <w:t>i</w:t>
            </w:r>
            <w:r>
              <w:rPr>
                <w:rFonts w:hint="eastAsia" w:ascii="宋体" w:hAnsi="宋体" w:eastAsia="宋体" w:cs="宋体"/>
                <w:b w:val="0"/>
                <w:bCs w:val="0"/>
                <w:i w:val="0"/>
                <w:iCs w:val="0"/>
                <w:color w:val="auto"/>
                <w:sz w:val="24"/>
                <w:szCs w:val="24"/>
              </w:rPr>
              <w:t>个室外声源在预测点产生的</w:t>
            </w:r>
            <w:r>
              <w:rPr>
                <w:rFonts w:hint="default" w:ascii="Times New Roman" w:hAnsi="Times New Roman" w:eastAsia="宋体" w:cs="Times New Roman"/>
                <w:b w:val="0"/>
                <w:bCs w:val="0"/>
                <w:i w:val="0"/>
                <w:iCs w:val="0"/>
                <w:color w:val="auto"/>
                <w:sz w:val="24"/>
                <w:szCs w:val="24"/>
              </w:rPr>
              <w:t>A</w:t>
            </w:r>
            <w:r>
              <w:rPr>
                <w:rFonts w:hint="eastAsia" w:ascii="宋体" w:hAnsi="宋体" w:eastAsia="宋体" w:cs="宋体"/>
                <w:b w:val="0"/>
                <w:bCs w:val="0"/>
                <w:i w:val="0"/>
                <w:iCs w:val="0"/>
                <w:color w:val="auto"/>
                <w:sz w:val="24"/>
                <w:szCs w:val="24"/>
              </w:rPr>
              <w:t>声级为</w:t>
            </w:r>
            <w:r>
              <w:rPr>
                <w:rFonts w:hint="default" w:ascii="Times New Roman" w:hAnsi="Times New Roman" w:eastAsia="宋体" w:cs="Times New Roman"/>
                <w:b w:val="0"/>
                <w:bCs w:val="0"/>
                <w:i w:val="0"/>
                <w:iCs w:val="0"/>
                <w:color w:val="auto"/>
                <w:sz w:val="24"/>
                <w:szCs w:val="24"/>
              </w:rPr>
              <w:t>L</w:t>
            </w:r>
            <w:r>
              <w:rPr>
                <w:rFonts w:hint="default" w:ascii="Times New Roman" w:hAnsi="Times New Roman" w:eastAsia="宋体" w:cs="Times New Roman"/>
                <w:b w:val="0"/>
                <w:bCs w:val="0"/>
                <w:i w:val="0"/>
                <w:iCs w:val="0"/>
                <w:color w:val="auto"/>
                <w:sz w:val="24"/>
                <w:szCs w:val="24"/>
                <w:vertAlign w:val="subscript"/>
              </w:rPr>
              <w:t>Ai</w:t>
            </w:r>
            <w:r>
              <w:rPr>
                <w:rFonts w:hint="eastAsia" w:ascii="宋体" w:hAnsi="宋体" w:eastAsia="宋体" w:cs="宋体"/>
                <w:b w:val="0"/>
                <w:bCs w:val="0"/>
                <w:i w:val="0"/>
                <w:iCs w:val="0"/>
                <w:color w:val="auto"/>
                <w:sz w:val="24"/>
                <w:szCs w:val="24"/>
              </w:rPr>
              <w:t>，在</w:t>
            </w:r>
            <w:r>
              <w:rPr>
                <w:rFonts w:hint="default" w:ascii="Times New Roman" w:hAnsi="Times New Roman" w:eastAsia="宋体" w:cs="Times New Roman"/>
                <w:b w:val="0"/>
                <w:bCs w:val="0"/>
                <w:i w:val="0"/>
                <w:iCs w:val="0"/>
                <w:color w:val="auto"/>
                <w:sz w:val="24"/>
                <w:szCs w:val="24"/>
              </w:rPr>
              <w:t>T</w:t>
            </w:r>
            <w:r>
              <w:rPr>
                <w:rFonts w:hint="eastAsia" w:ascii="宋体" w:hAnsi="宋体" w:eastAsia="宋体" w:cs="宋体"/>
                <w:b w:val="0"/>
                <w:bCs w:val="0"/>
                <w:i w:val="0"/>
                <w:iCs w:val="0"/>
                <w:color w:val="auto"/>
                <w:sz w:val="24"/>
                <w:szCs w:val="24"/>
              </w:rPr>
              <w:t>时间内该声源工作时间为</w:t>
            </w:r>
            <w:r>
              <w:rPr>
                <w:rFonts w:hint="default" w:ascii="Times New Roman" w:hAnsi="Times New Roman" w:eastAsia="宋体" w:cs="Times New Roman"/>
                <w:b w:val="0"/>
                <w:bCs w:val="0"/>
                <w:i w:val="0"/>
                <w:iCs w:val="0"/>
                <w:color w:val="auto"/>
                <w:sz w:val="24"/>
                <w:szCs w:val="24"/>
              </w:rPr>
              <w:t>t</w:t>
            </w:r>
            <w:r>
              <w:rPr>
                <w:rFonts w:hint="default" w:ascii="Times New Roman" w:hAnsi="Times New Roman" w:eastAsia="宋体" w:cs="Times New Roman"/>
                <w:b w:val="0"/>
                <w:bCs w:val="0"/>
                <w:i w:val="0"/>
                <w:iCs w:val="0"/>
                <w:color w:val="auto"/>
                <w:sz w:val="24"/>
                <w:szCs w:val="24"/>
                <w:vertAlign w:val="subscript"/>
              </w:rPr>
              <w:t>i</w:t>
            </w:r>
            <w:r>
              <w:rPr>
                <w:rFonts w:hint="eastAsia" w:ascii="宋体" w:hAnsi="宋体" w:eastAsia="宋体" w:cs="宋体"/>
                <w:b w:val="0"/>
                <w:bCs w:val="0"/>
                <w:i w:val="0"/>
                <w:iCs w:val="0"/>
                <w:color w:val="auto"/>
                <w:sz w:val="24"/>
                <w:szCs w:val="24"/>
              </w:rPr>
              <w:t>；第</w:t>
            </w:r>
            <w:r>
              <w:rPr>
                <w:rFonts w:hint="default" w:ascii="Times New Roman" w:hAnsi="Times New Roman" w:eastAsia="宋体" w:cs="Times New Roman"/>
                <w:b w:val="0"/>
                <w:bCs w:val="0"/>
                <w:i w:val="0"/>
                <w:iCs w:val="0"/>
                <w:color w:val="auto"/>
                <w:sz w:val="24"/>
                <w:szCs w:val="24"/>
              </w:rPr>
              <w:t>j</w:t>
            </w:r>
            <w:r>
              <w:rPr>
                <w:rFonts w:hint="eastAsia" w:ascii="宋体" w:hAnsi="宋体" w:eastAsia="宋体" w:cs="宋体"/>
                <w:b w:val="0"/>
                <w:bCs w:val="0"/>
                <w:i w:val="0"/>
                <w:iCs w:val="0"/>
                <w:color w:val="auto"/>
                <w:sz w:val="24"/>
                <w:szCs w:val="24"/>
              </w:rPr>
              <w:t>个等效室外声源在预测点产生的</w:t>
            </w:r>
            <w:r>
              <w:rPr>
                <w:rFonts w:hint="default" w:ascii="Times New Roman" w:hAnsi="Times New Roman" w:eastAsia="宋体" w:cs="Times New Roman"/>
                <w:b w:val="0"/>
                <w:bCs w:val="0"/>
                <w:i w:val="0"/>
                <w:iCs w:val="0"/>
                <w:color w:val="auto"/>
                <w:sz w:val="24"/>
                <w:szCs w:val="24"/>
              </w:rPr>
              <w:t>A</w:t>
            </w:r>
            <w:r>
              <w:rPr>
                <w:rFonts w:hint="eastAsia" w:ascii="宋体" w:hAnsi="宋体" w:eastAsia="宋体" w:cs="宋体"/>
                <w:b w:val="0"/>
                <w:bCs w:val="0"/>
                <w:i w:val="0"/>
                <w:iCs w:val="0"/>
                <w:color w:val="auto"/>
                <w:sz w:val="24"/>
                <w:szCs w:val="24"/>
              </w:rPr>
              <w:t>声级为</w:t>
            </w:r>
            <w:r>
              <w:rPr>
                <w:rFonts w:hint="default" w:ascii="Times New Roman" w:hAnsi="Times New Roman" w:eastAsia="宋体" w:cs="Times New Roman"/>
                <w:b w:val="0"/>
                <w:bCs w:val="0"/>
                <w:i w:val="0"/>
                <w:iCs w:val="0"/>
                <w:color w:val="auto"/>
                <w:sz w:val="24"/>
                <w:szCs w:val="24"/>
              </w:rPr>
              <w:t>L</w:t>
            </w:r>
            <w:r>
              <w:rPr>
                <w:rFonts w:hint="default" w:ascii="Times New Roman" w:hAnsi="Times New Roman" w:eastAsia="宋体" w:cs="Times New Roman"/>
                <w:b w:val="0"/>
                <w:bCs w:val="0"/>
                <w:i w:val="0"/>
                <w:iCs w:val="0"/>
                <w:color w:val="auto"/>
                <w:sz w:val="24"/>
                <w:szCs w:val="24"/>
                <w:vertAlign w:val="subscript"/>
              </w:rPr>
              <w:t>Aj</w:t>
            </w:r>
            <w:r>
              <w:rPr>
                <w:rFonts w:hint="eastAsia" w:ascii="宋体" w:hAnsi="宋体" w:eastAsia="宋体" w:cs="宋体"/>
                <w:b w:val="0"/>
                <w:bCs w:val="0"/>
                <w:i w:val="0"/>
                <w:iCs w:val="0"/>
                <w:color w:val="auto"/>
                <w:sz w:val="24"/>
                <w:szCs w:val="24"/>
              </w:rPr>
              <w:t>，在</w:t>
            </w:r>
            <w:r>
              <w:rPr>
                <w:rFonts w:hint="default" w:ascii="Times New Roman" w:hAnsi="Times New Roman" w:eastAsia="宋体" w:cs="Times New Roman"/>
                <w:b w:val="0"/>
                <w:bCs w:val="0"/>
                <w:i w:val="0"/>
                <w:iCs w:val="0"/>
                <w:color w:val="auto"/>
                <w:sz w:val="24"/>
                <w:szCs w:val="24"/>
              </w:rPr>
              <w:t>T</w:t>
            </w:r>
            <w:r>
              <w:rPr>
                <w:rFonts w:hint="eastAsia" w:ascii="宋体" w:hAnsi="宋体" w:eastAsia="宋体" w:cs="宋体"/>
                <w:b w:val="0"/>
                <w:bCs w:val="0"/>
                <w:i w:val="0"/>
                <w:iCs w:val="0"/>
                <w:color w:val="auto"/>
                <w:sz w:val="24"/>
                <w:szCs w:val="24"/>
              </w:rPr>
              <w:t>时间内该声源工作时间为</w:t>
            </w:r>
            <w:r>
              <w:rPr>
                <w:rFonts w:hint="default" w:ascii="Times New Roman" w:hAnsi="Times New Roman" w:eastAsia="宋体" w:cs="Times New Roman"/>
                <w:b w:val="0"/>
                <w:bCs w:val="0"/>
                <w:i w:val="0"/>
                <w:iCs w:val="0"/>
                <w:color w:val="auto"/>
                <w:sz w:val="24"/>
                <w:szCs w:val="24"/>
              </w:rPr>
              <w:t>t</w:t>
            </w:r>
            <w:r>
              <w:rPr>
                <w:rFonts w:hint="default" w:ascii="Times New Roman" w:hAnsi="Times New Roman" w:eastAsia="宋体" w:cs="Times New Roman"/>
                <w:b w:val="0"/>
                <w:bCs w:val="0"/>
                <w:i w:val="0"/>
                <w:iCs w:val="0"/>
                <w:color w:val="auto"/>
                <w:sz w:val="24"/>
                <w:szCs w:val="24"/>
                <w:vertAlign w:val="subscript"/>
              </w:rPr>
              <w:t>j</w:t>
            </w:r>
            <w:r>
              <w:rPr>
                <w:rFonts w:hint="eastAsia" w:ascii="宋体" w:hAnsi="宋体" w:eastAsia="宋体" w:cs="宋体"/>
                <w:b w:val="0"/>
                <w:bCs w:val="0"/>
                <w:i w:val="0"/>
                <w:iCs w:val="0"/>
                <w:color w:val="auto"/>
                <w:sz w:val="24"/>
                <w:szCs w:val="24"/>
              </w:rPr>
              <w:t>，则拟建工程声源对预测点产生的贡献值（</w:t>
            </w:r>
            <w:r>
              <w:rPr>
                <w:rFonts w:hint="default" w:ascii="Times New Roman" w:hAnsi="Times New Roman" w:eastAsia="宋体" w:cs="Times New Roman"/>
                <w:b w:val="0"/>
                <w:bCs w:val="0"/>
                <w:i w:val="0"/>
                <w:iCs w:val="0"/>
                <w:color w:val="auto"/>
                <w:sz w:val="24"/>
                <w:szCs w:val="24"/>
              </w:rPr>
              <w:t>Leqg</w:t>
            </w:r>
            <w:r>
              <w:rPr>
                <w:rFonts w:hint="eastAsia" w:ascii="宋体" w:hAnsi="宋体" w:eastAsia="宋体" w:cs="宋体"/>
                <w:b w:val="0"/>
                <w:bCs w:val="0"/>
                <w:i w:val="0"/>
                <w:iCs w:val="0"/>
                <w:color w:val="auto"/>
                <w:sz w:val="24"/>
                <w:szCs w:val="24"/>
              </w:rPr>
              <w:t>）为</w:t>
            </w:r>
            <w:r>
              <w:rPr>
                <w:rFonts w:hint="default" w:ascii="Times New Roman" w:hAnsi="Times New Roman" w:eastAsia="宋体" w:cs="Times New Roman"/>
                <w:i w:val="0"/>
                <w:iCs w:val="0"/>
                <w:color w:val="auto"/>
                <w:kern w:val="2"/>
                <w:sz w:val="24"/>
                <w:szCs w:val="24"/>
              </w:rPr>
              <w:t>：</w:t>
            </w:r>
          </w:p>
          <w:p>
            <w:pPr>
              <w:pStyle w:val="64"/>
              <w:snapToGrid/>
              <w:spacing w:line="240" w:lineRule="auto"/>
              <w:ind w:left="0" w:leftChars="0" w:firstLine="0" w:firstLineChars="0"/>
              <w:jc w:val="center"/>
              <w:rPr>
                <w:rFonts w:hint="default" w:ascii="Times New Roman" w:hAnsi="Times New Roman" w:eastAsia="宋体" w:cs="Times New Roman"/>
                <w:color w:val="auto"/>
                <w:kern w:val="2"/>
                <w:szCs w:val="24"/>
                <w:vertAlign w:val="subscript"/>
              </w:rPr>
            </w:pPr>
            <w:r>
              <w:rPr>
                <w:color w:val="auto"/>
              </w:rPr>
              <w:drawing>
                <wp:inline distT="0" distB="0" distL="114300" distR="114300">
                  <wp:extent cx="3038475" cy="609600"/>
                  <wp:effectExtent l="0" t="0" r="9525" b="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42"/>
                          <a:stretch>
                            <a:fillRect/>
                          </a:stretch>
                        </pic:blipFill>
                        <pic:spPr>
                          <a:xfrm>
                            <a:off x="0" y="0"/>
                            <a:ext cx="3038475" cy="609600"/>
                          </a:xfrm>
                          <a:prstGeom prst="rect">
                            <a:avLst/>
                          </a:prstGeom>
                          <a:noFill/>
                          <a:ln>
                            <a:noFill/>
                          </a:ln>
                        </pic:spPr>
                      </pic:pic>
                    </a:graphicData>
                  </a:graphic>
                </wp:inline>
              </w:drawing>
            </w:r>
          </w:p>
          <w:p>
            <w:pPr>
              <w:spacing w:line="360" w:lineRule="auto"/>
              <w:ind w:left="1439" w:leftChars="228" w:hanging="960" w:hangingChars="400"/>
              <w:rPr>
                <w:rFonts w:hint="eastAsia" w:ascii="宋体" w:hAnsi="宋体" w:eastAsia="宋体" w:cs="宋体"/>
                <w:b w:val="0"/>
                <w:bCs w:val="0"/>
                <w:i w:val="0"/>
                <w:iCs w:val="0"/>
                <w:color w:val="auto"/>
                <w:sz w:val="24"/>
                <w:szCs w:val="24"/>
              </w:rPr>
            </w:pPr>
            <w:r>
              <w:rPr>
                <w:rFonts w:hint="eastAsia" w:ascii="宋体" w:hAnsi="宋体" w:eastAsia="宋体" w:cs="宋体"/>
                <w:b w:val="0"/>
                <w:bCs w:val="0"/>
                <w:i w:val="0"/>
                <w:iCs w:val="0"/>
                <w:color w:val="auto"/>
                <w:sz w:val="24"/>
                <w:szCs w:val="24"/>
              </w:rPr>
              <w:t>式中：</w:t>
            </w:r>
            <w:r>
              <w:rPr>
                <w:rFonts w:hint="default" w:ascii="Times New Roman" w:hAnsi="Times New Roman" w:eastAsia="宋体" w:cs="Times New Roman"/>
                <w:b w:val="0"/>
                <w:bCs w:val="0"/>
                <w:i w:val="0"/>
                <w:iCs w:val="0"/>
                <w:color w:val="auto"/>
                <w:sz w:val="24"/>
                <w:szCs w:val="24"/>
              </w:rPr>
              <w:t>L</w:t>
            </w:r>
            <w:r>
              <w:rPr>
                <w:rFonts w:hint="default" w:ascii="Times New Roman" w:hAnsi="Times New Roman" w:eastAsia="宋体" w:cs="Times New Roman"/>
                <w:b w:val="0"/>
                <w:bCs w:val="0"/>
                <w:i w:val="0"/>
                <w:iCs w:val="0"/>
                <w:color w:val="auto"/>
                <w:sz w:val="24"/>
                <w:szCs w:val="24"/>
                <w:vertAlign w:val="subscript"/>
              </w:rPr>
              <w:t>eqg</w:t>
            </w:r>
            <w:r>
              <w:rPr>
                <w:rFonts w:hint="default" w:ascii="Times New Roman" w:hAnsi="Times New Roman" w:eastAsia="宋体" w:cs="Times New Roman"/>
                <w:b w:val="0"/>
                <w:bCs w:val="0"/>
                <w:i w:val="0"/>
                <w:iCs w:val="0"/>
                <w:color w:val="auto"/>
                <w:sz w:val="24"/>
                <w:szCs w:val="24"/>
              </w:rPr>
              <w:t>——</w:t>
            </w:r>
            <w:r>
              <w:rPr>
                <w:rFonts w:hint="eastAsia" w:ascii="宋体" w:hAnsi="宋体" w:eastAsia="宋体" w:cs="宋体"/>
                <w:b w:val="0"/>
                <w:bCs w:val="0"/>
                <w:i w:val="0"/>
                <w:iCs w:val="0"/>
                <w:color w:val="auto"/>
                <w:sz w:val="24"/>
                <w:szCs w:val="24"/>
              </w:rPr>
              <w:t>建设项目声源在预测点产生的噪声贡献值，</w:t>
            </w:r>
            <w:r>
              <w:rPr>
                <w:rFonts w:hint="default" w:ascii="Times New Roman" w:hAnsi="Times New Roman" w:eastAsia="宋体" w:cs="Times New Roman"/>
                <w:b w:val="0"/>
                <w:bCs w:val="0"/>
                <w:i w:val="0"/>
                <w:iCs w:val="0"/>
                <w:color w:val="auto"/>
                <w:sz w:val="24"/>
                <w:szCs w:val="24"/>
              </w:rPr>
              <w:t>dB</w:t>
            </w:r>
            <w:r>
              <w:rPr>
                <w:rFonts w:hint="eastAsia" w:ascii="宋体" w:hAnsi="宋体" w:eastAsia="宋体" w:cs="宋体"/>
                <w:b w:val="0"/>
                <w:bCs w:val="0"/>
                <w:i w:val="0"/>
                <w:iCs w:val="0"/>
                <w:color w:val="auto"/>
                <w:sz w:val="24"/>
                <w:szCs w:val="24"/>
              </w:rPr>
              <w:t>；</w:t>
            </w:r>
          </w:p>
          <w:p>
            <w:pPr>
              <w:spacing w:line="360" w:lineRule="auto"/>
              <w:ind w:left="1437" w:leftChars="570" w:hanging="240" w:hangingChars="100"/>
              <w:rPr>
                <w:rFonts w:hint="eastAsia" w:ascii="宋体" w:hAnsi="宋体" w:eastAsia="宋体" w:cs="宋体"/>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T——</w:t>
            </w:r>
            <w:r>
              <w:rPr>
                <w:rFonts w:hint="eastAsia" w:ascii="宋体" w:hAnsi="宋体" w:eastAsia="宋体" w:cs="宋体"/>
                <w:b w:val="0"/>
                <w:bCs w:val="0"/>
                <w:i w:val="0"/>
                <w:iCs w:val="0"/>
                <w:color w:val="auto"/>
                <w:sz w:val="24"/>
                <w:szCs w:val="24"/>
              </w:rPr>
              <w:t>用于计算等效声级的时间，</w:t>
            </w:r>
            <w:r>
              <w:rPr>
                <w:rFonts w:hint="default" w:ascii="Times New Roman" w:hAnsi="Times New Roman" w:eastAsia="宋体" w:cs="Times New Roman"/>
                <w:b w:val="0"/>
                <w:bCs w:val="0"/>
                <w:i w:val="0"/>
                <w:iCs w:val="0"/>
                <w:color w:val="auto"/>
                <w:sz w:val="24"/>
                <w:szCs w:val="24"/>
              </w:rPr>
              <w:t>s</w:t>
            </w:r>
            <w:r>
              <w:rPr>
                <w:rFonts w:hint="eastAsia" w:ascii="宋体" w:hAnsi="宋体" w:eastAsia="宋体" w:cs="宋体"/>
                <w:b w:val="0"/>
                <w:bCs w:val="0"/>
                <w:i w:val="0"/>
                <w:iCs w:val="0"/>
                <w:color w:val="auto"/>
                <w:sz w:val="24"/>
                <w:szCs w:val="24"/>
              </w:rPr>
              <w:t>；</w:t>
            </w:r>
          </w:p>
          <w:p>
            <w:pPr>
              <w:spacing w:line="360" w:lineRule="auto"/>
              <w:ind w:left="1437" w:leftChars="570" w:hanging="240" w:hangingChars="100"/>
              <w:rPr>
                <w:rFonts w:hint="eastAsia" w:ascii="宋体" w:hAnsi="宋体" w:eastAsia="宋体" w:cs="宋体"/>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N——</w:t>
            </w:r>
            <w:r>
              <w:rPr>
                <w:rFonts w:hint="eastAsia" w:ascii="宋体" w:hAnsi="宋体" w:eastAsia="宋体" w:cs="宋体"/>
                <w:b w:val="0"/>
                <w:bCs w:val="0"/>
                <w:i w:val="0"/>
                <w:iCs w:val="0"/>
                <w:color w:val="auto"/>
                <w:sz w:val="24"/>
                <w:szCs w:val="24"/>
              </w:rPr>
              <w:t>室外声源个数；</w:t>
            </w:r>
          </w:p>
          <w:p>
            <w:pPr>
              <w:spacing w:line="360" w:lineRule="auto"/>
              <w:ind w:left="1437" w:leftChars="570" w:hanging="240" w:hangingChars="100"/>
              <w:rPr>
                <w:rFonts w:hint="eastAsia" w:ascii="宋体" w:hAnsi="宋体" w:eastAsia="宋体" w:cs="宋体"/>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t</w:t>
            </w:r>
            <w:r>
              <w:rPr>
                <w:rFonts w:hint="default" w:ascii="Times New Roman" w:hAnsi="Times New Roman" w:eastAsia="宋体" w:cs="Times New Roman"/>
                <w:b w:val="0"/>
                <w:bCs w:val="0"/>
                <w:i w:val="0"/>
                <w:iCs w:val="0"/>
                <w:color w:val="auto"/>
                <w:sz w:val="24"/>
                <w:szCs w:val="24"/>
                <w:vertAlign w:val="subscript"/>
              </w:rPr>
              <w:t>i</w:t>
            </w:r>
            <w:r>
              <w:rPr>
                <w:rFonts w:hint="default" w:ascii="Times New Roman" w:hAnsi="Times New Roman" w:eastAsia="宋体" w:cs="Times New Roman"/>
                <w:b w:val="0"/>
                <w:bCs w:val="0"/>
                <w:i w:val="0"/>
                <w:iCs w:val="0"/>
                <w:color w:val="auto"/>
                <w:sz w:val="24"/>
                <w:szCs w:val="24"/>
              </w:rPr>
              <w:t>——</w:t>
            </w:r>
            <w:r>
              <w:rPr>
                <w:rFonts w:hint="eastAsia" w:ascii="宋体" w:hAnsi="宋体" w:eastAsia="宋体" w:cs="宋体"/>
                <w:b w:val="0"/>
                <w:bCs w:val="0"/>
                <w:i w:val="0"/>
                <w:iCs w:val="0"/>
                <w:color w:val="auto"/>
                <w:sz w:val="24"/>
                <w:szCs w:val="24"/>
              </w:rPr>
              <w:t>在</w:t>
            </w:r>
            <w:r>
              <w:rPr>
                <w:rFonts w:hint="default" w:ascii="Times New Roman" w:hAnsi="Times New Roman" w:eastAsia="宋体" w:cs="Times New Roman"/>
                <w:b w:val="0"/>
                <w:bCs w:val="0"/>
                <w:i w:val="0"/>
                <w:iCs w:val="0"/>
                <w:color w:val="auto"/>
                <w:sz w:val="24"/>
                <w:szCs w:val="24"/>
              </w:rPr>
              <w:t>T</w:t>
            </w:r>
            <w:r>
              <w:rPr>
                <w:rFonts w:hint="eastAsia" w:ascii="宋体" w:hAnsi="宋体" w:eastAsia="宋体" w:cs="宋体"/>
                <w:b w:val="0"/>
                <w:bCs w:val="0"/>
                <w:i w:val="0"/>
                <w:iCs w:val="0"/>
                <w:color w:val="auto"/>
                <w:sz w:val="24"/>
                <w:szCs w:val="24"/>
              </w:rPr>
              <w:t>时间内</w:t>
            </w:r>
            <w:r>
              <w:rPr>
                <w:rFonts w:hint="default" w:ascii="Times New Roman" w:hAnsi="Times New Roman" w:eastAsia="宋体" w:cs="Times New Roman"/>
                <w:b w:val="0"/>
                <w:bCs w:val="0"/>
                <w:i w:val="0"/>
                <w:iCs w:val="0"/>
                <w:color w:val="auto"/>
                <w:sz w:val="24"/>
                <w:szCs w:val="24"/>
              </w:rPr>
              <w:t>i</w:t>
            </w:r>
            <w:r>
              <w:rPr>
                <w:rFonts w:hint="eastAsia" w:ascii="宋体" w:hAnsi="宋体" w:eastAsia="宋体" w:cs="宋体"/>
                <w:b w:val="0"/>
                <w:bCs w:val="0"/>
                <w:i w:val="0"/>
                <w:iCs w:val="0"/>
                <w:color w:val="auto"/>
                <w:sz w:val="24"/>
                <w:szCs w:val="24"/>
              </w:rPr>
              <w:t>声源工作时间，</w:t>
            </w:r>
            <w:r>
              <w:rPr>
                <w:rFonts w:hint="default" w:ascii="Times New Roman" w:hAnsi="Times New Roman" w:eastAsia="宋体" w:cs="Times New Roman"/>
                <w:b w:val="0"/>
                <w:bCs w:val="0"/>
                <w:i w:val="0"/>
                <w:iCs w:val="0"/>
                <w:color w:val="auto"/>
                <w:sz w:val="24"/>
                <w:szCs w:val="24"/>
              </w:rPr>
              <w:t>s</w:t>
            </w:r>
            <w:r>
              <w:rPr>
                <w:rFonts w:hint="eastAsia" w:ascii="宋体" w:hAnsi="宋体" w:eastAsia="宋体" w:cs="宋体"/>
                <w:b w:val="0"/>
                <w:bCs w:val="0"/>
                <w:i w:val="0"/>
                <w:iCs w:val="0"/>
                <w:color w:val="auto"/>
                <w:sz w:val="24"/>
                <w:szCs w:val="24"/>
              </w:rPr>
              <w:t>；</w:t>
            </w:r>
          </w:p>
          <w:p>
            <w:pPr>
              <w:spacing w:line="360" w:lineRule="auto"/>
              <w:ind w:left="1437" w:leftChars="570" w:hanging="240" w:hangingChars="100"/>
              <w:rPr>
                <w:rFonts w:hint="eastAsia" w:ascii="宋体" w:hAnsi="宋体" w:eastAsia="宋体" w:cs="宋体"/>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M ——</w:t>
            </w:r>
            <w:r>
              <w:rPr>
                <w:rFonts w:hint="eastAsia" w:ascii="宋体" w:hAnsi="宋体" w:eastAsia="宋体" w:cs="宋体"/>
                <w:b w:val="0"/>
                <w:bCs w:val="0"/>
                <w:i w:val="0"/>
                <w:iCs w:val="0"/>
                <w:color w:val="auto"/>
                <w:sz w:val="24"/>
                <w:szCs w:val="24"/>
              </w:rPr>
              <w:t>等效室外声源个数；</w:t>
            </w:r>
          </w:p>
          <w:p>
            <w:pPr>
              <w:spacing w:line="360" w:lineRule="auto"/>
              <w:ind w:left="1437" w:leftChars="570" w:hanging="240" w:hangingChars="100"/>
              <w:rPr>
                <w:rFonts w:ascii="宋体" w:hAnsi="宋体" w:eastAsia="宋体" w:cs="宋体"/>
                <w:i w:val="0"/>
                <w:iCs w:val="0"/>
                <w:color w:val="auto"/>
                <w:sz w:val="24"/>
                <w:szCs w:val="24"/>
              </w:rPr>
            </w:pPr>
            <w:r>
              <w:rPr>
                <w:rFonts w:hint="default" w:ascii="Times New Roman" w:hAnsi="Times New Roman" w:eastAsia="宋体" w:cs="Times New Roman"/>
                <w:b w:val="0"/>
                <w:bCs w:val="0"/>
                <w:i w:val="0"/>
                <w:iCs w:val="0"/>
                <w:color w:val="auto"/>
                <w:sz w:val="24"/>
                <w:szCs w:val="24"/>
              </w:rPr>
              <w:t>t</w:t>
            </w:r>
            <w:r>
              <w:rPr>
                <w:rFonts w:hint="default" w:ascii="Times New Roman" w:hAnsi="Times New Roman" w:eastAsia="宋体" w:cs="Times New Roman"/>
                <w:b w:val="0"/>
                <w:bCs w:val="0"/>
                <w:i w:val="0"/>
                <w:iCs w:val="0"/>
                <w:color w:val="auto"/>
                <w:sz w:val="24"/>
                <w:szCs w:val="24"/>
                <w:vertAlign w:val="subscript"/>
              </w:rPr>
              <w:t>j</w:t>
            </w:r>
            <w:r>
              <w:rPr>
                <w:rFonts w:hint="default" w:ascii="Times New Roman" w:hAnsi="Times New Roman" w:eastAsia="宋体" w:cs="Times New Roman"/>
                <w:b w:val="0"/>
                <w:bCs w:val="0"/>
                <w:i w:val="0"/>
                <w:iCs w:val="0"/>
                <w:color w:val="auto"/>
                <w:sz w:val="24"/>
                <w:szCs w:val="24"/>
              </w:rPr>
              <w:t>——</w:t>
            </w:r>
            <w:r>
              <w:rPr>
                <w:rFonts w:hint="eastAsia" w:ascii="宋体" w:hAnsi="宋体" w:eastAsia="宋体" w:cs="宋体"/>
                <w:b w:val="0"/>
                <w:bCs w:val="0"/>
                <w:i w:val="0"/>
                <w:iCs w:val="0"/>
                <w:color w:val="auto"/>
                <w:sz w:val="24"/>
                <w:szCs w:val="24"/>
              </w:rPr>
              <w:t>在</w:t>
            </w:r>
            <w:r>
              <w:rPr>
                <w:rFonts w:hint="default" w:ascii="Times New Roman" w:hAnsi="Times New Roman" w:eastAsia="宋体" w:cs="Times New Roman"/>
                <w:b w:val="0"/>
                <w:bCs w:val="0"/>
                <w:i w:val="0"/>
                <w:iCs w:val="0"/>
                <w:color w:val="auto"/>
                <w:sz w:val="24"/>
                <w:szCs w:val="24"/>
              </w:rPr>
              <w:t>T</w:t>
            </w:r>
            <w:r>
              <w:rPr>
                <w:rFonts w:hint="eastAsia" w:ascii="宋体" w:hAnsi="宋体" w:eastAsia="宋体" w:cs="宋体"/>
                <w:b w:val="0"/>
                <w:bCs w:val="0"/>
                <w:i w:val="0"/>
                <w:iCs w:val="0"/>
                <w:color w:val="auto"/>
                <w:sz w:val="24"/>
                <w:szCs w:val="24"/>
              </w:rPr>
              <w:t>时间内</w:t>
            </w:r>
            <w:r>
              <w:rPr>
                <w:rFonts w:hint="default" w:ascii="Times New Roman" w:hAnsi="Times New Roman" w:eastAsia="宋体" w:cs="Times New Roman"/>
                <w:b w:val="0"/>
                <w:bCs w:val="0"/>
                <w:i w:val="0"/>
                <w:iCs w:val="0"/>
                <w:color w:val="auto"/>
                <w:sz w:val="24"/>
                <w:szCs w:val="24"/>
              </w:rPr>
              <w:t>j</w:t>
            </w:r>
            <w:r>
              <w:rPr>
                <w:rFonts w:hint="eastAsia" w:ascii="宋体" w:hAnsi="宋体" w:eastAsia="宋体" w:cs="宋体"/>
                <w:b w:val="0"/>
                <w:bCs w:val="0"/>
                <w:i w:val="0"/>
                <w:iCs w:val="0"/>
                <w:color w:val="auto"/>
                <w:sz w:val="24"/>
                <w:szCs w:val="24"/>
              </w:rPr>
              <w:t>声源工作时间，</w:t>
            </w:r>
            <w:r>
              <w:rPr>
                <w:rFonts w:hint="default" w:ascii="Times New Roman" w:hAnsi="Times New Roman" w:eastAsia="宋体" w:cs="Times New Roman"/>
                <w:b w:val="0"/>
                <w:bCs w:val="0"/>
                <w:i w:val="0"/>
                <w:iCs w:val="0"/>
                <w:color w:val="auto"/>
                <w:sz w:val="24"/>
                <w:szCs w:val="24"/>
              </w:rPr>
              <w:t>s</w:t>
            </w:r>
            <w:r>
              <w:rPr>
                <w:rFonts w:hint="eastAsia" w:ascii="宋体" w:hAnsi="宋体" w:eastAsia="宋体" w:cs="宋体"/>
                <w:b w:val="0"/>
                <w:bCs w:val="0"/>
                <w:i w:val="0"/>
                <w:iCs w:val="0"/>
                <w:color w:val="auto"/>
                <w:sz w:val="24"/>
                <w:szCs w:val="24"/>
              </w:rPr>
              <w:t>。</w:t>
            </w:r>
            <w:r>
              <w:rPr>
                <w:rFonts w:ascii="宋体" w:hAnsi="宋体" w:eastAsia="宋体" w:cs="宋体"/>
                <w:i w:val="0"/>
                <w:iCs w:val="0"/>
                <w:color w:val="auto"/>
                <w:sz w:val="24"/>
                <w:szCs w:val="24"/>
              </w:rPr>
              <w:t xml:space="preserve"> </w:t>
            </w:r>
          </w:p>
          <w:p>
            <w:pPr>
              <w:spacing w:line="360" w:lineRule="auto"/>
              <w:ind w:firstLine="480" w:firstLineChars="200"/>
              <w:rPr>
                <w:rFonts w:hint="eastAsia" w:ascii="Times New Roman" w:hAnsi="Times New Roman" w:eastAsia="宋体" w:cs="Times New Roman"/>
                <w:color w:val="auto"/>
                <w:sz w:val="24"/>
                <w:szCs w:val="20"/>
                <w:lang w:eastAsia="zh-CN"/>
              </w:rPr>
            </w:pPr>
            <w:r>
              <w:rPr>
                <w:rFonts w:hint="eastAsia" w:ascii="Times New Roman" w:hAnsi="Times New Roman" w:eastAsia="宋体" w:cs="Times New Roman"/>
                <w:color w:val="auto"/>
                <w:sz w:val="24"/>
                <w:szCs w:val="20"/>
                <w:lang w:val="en-US" w:eastAsia="zh-CN"/>
              </w:rPr>
              <w:t>（3）</w:t>
            </w:r>
            <w:r>
              <w:rPr>
                <w:rFonts w:hint="eastAsia" w:ascii="Times New Roman" w:hAnsi="Times New Roman" w:eastAsia="宋体" w:cs="Times New Roman"/>
                <w:color w:val="auto"/>
                <w:sz w:val="24"/>
                <w:szCs w:val="20"/>
                <w:lang w:eastAsia="zh-CN"/>
              </w:rPr>
              <w:t>预测结果及评价</w:t>
            </w:r>
          </w:p>
          <w:p>
            <w:pPr>
              <w:spacing w:line="360" w:lineRule="auto"/>
              <w:ind w:firstLine="480" w:firstLineChars="200"/>
              <w:rPr>
                <w:rFonts w:hint="default" w:ascii="Times New Roman" w:hAnsi="Times New Roman" w:cs="Times New Roman"/>
                <w:color w:val="auto"/>
                <w:sz w:val="24"/>
                <w:szCs w:val="24"/>
                <w:highlight w:val="none"/>
              </w:rPr>
            </w:pPr>
            <w:r>
              <w:rPr>
                <w:rFonts w:ascii="Times New Roman" w:hAnsi="Times New Roman"/>
                <w:color w:val="auto"/>
                <w:sz w:val="24"/>
                <w:szCs w:val="24"/>
                <w:highlight w:val="none"/>
              </w:rPr>
              <w:t>根据《环境影响评价技术导则</w:t>
            </w:r>
            <w:r>
              <w:rPr>
                <w:rFonts w:hint="eastAsia" w:ascii="Times New Roman" w:hAnsi="Times New Roman"/>
                <w:color w:val="auto"/>
                <w:sz w:val="24"/>
                <w:szCs w:val="24"/>
                <w:highlight w:val="none"/>
                <w:lang w:val="en-US" w:eastAsia="zh-CN"/>
              </w:rPr>
              <w:t>-</w:t>
            </w:r>
            <w:r>
              <w:rPr>
                <w:rFonts w:ascii="Times New Roman" w:hAnsi="Times New Roman"/>
                <w:color w:val="auto"/>
                <w:sz w:val="24"/>
                <w:szCs w:val="24"/>
                <w:highlight w:val="none"/>
              </w:rPr>
              <w:t>声环境》（HJ2.4-20</w:t>
            </w:r>
            <w:r>
              <w:rPr>
                <w:rFonts w:hint="eastAsia" w:ascii="Times New Roman" w:hAnsi="Times New Roman"/>
                <w:color w:val="auto"/>
                <w:sz w:val="24"/>
                <w:szCs w:val="24"/>
                <w:highlight w:val="none"/>
                <w:lang w:val="en-US" w:eastAsia="zh-CN"/>
              </w:rPr>
              <w:t>21</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8.5预测和评价内容-8.5.2预测和评价建设项目在施工期和运营期厂界（场界、边界）噪声</w:t>
            </w:r>
            <w:r>
              <w:rPr>
                <w:rFonts w:hint="eastAsia" w:ascii="Times New Roman" w:hAnsi="Times New Roman"/>
                <w:b/>
                <w:bCs/>
                <w:color w:val="auto"/>
                <w:sz w:val="24"/>
                <w:szCs w:val="24"/>
                <w:highlight w:val="none"/>
                <w:lang w:val="en-US" w:eastAsia="zh-CN"/>
              </w:rPr>
              <w:t>贡献值</w:t>
            </w:r>
            <w:r>
              <w:rPr>
                <w:rFonts w:hint="eastAsia" w:ascii="Times New Roman" w:hAnsi="Times New Roman"/>
                <w:color w:val="auto"/>
                <w:sz w:val="24"/>
                <w:szCs w:val="24"/>
                <w:highlight w:val="none"/>
                <w:lang w:val="en-US" w:eastAsia="zh-CN"/>
              </w:rPr>
              <w:t>，评价其超标和达标情况。</w:t>
            </w:r>
            <w:r>
              <w:rPr>
                <w:rFonts w:hint="eastAsia" w:ascii="Times New Roman" w:hAnsi="Times New Roman"/>
                <w:color w:val="auto"/>
                <w:sz w:val="24"/>
                <w:szCs w:val="24"/>
                <w:highlight w:val="none"/>
                <w:lang w:eastAsia="zh-CN"/>
              </w:rPr>
              <w:t>”</w:t>
            </w:r>
            <w:r>
              <w:rPr>
                <w:rFonts w:ascii="Times New Roman" w:hAnsi="Times New Roman"/>
                <w:color w:val="auto"/>
                <w:sz w:val="24"/>
                <w:szCs w:val="24"/>
                <w:highlight w:val="none"/>
              </w:rPr>
              <w:t>具体</w:t>
            </w:r>
            <w:r>
              <w:rPr>
                <w:rFonts w:hint="default" w:ascii="Times New Roman" w:hAnsi="Times New Roman" w:cs="Times New Roman"/>
                <w:color w:val="auto"/>
                <w:sz w:val="24"/>
                <w:szCs w:val="24"/>
                <w:highlight w:val="none"/>
              </w:rPr>
              <w:t>预测结果详见下表</w:t>
            </w: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w:t>
            </w:r>
          </w:p>
          <w:p>
            <w:pPr>
              <w:ind w:firstLine="482" w:firstLineChars="200"/>
              <w:jc w:val="center"/>
              <w:rPr>
                <w:rFonts w:ascii="Times New Roman" w:hAnsi="Times New Roman" w:cs="Times New Roman"/>
                <w:color w:val="auto"/>
                <w:sz w:val="24"/>
              </w:rPr>
            </w:pPr>
            <w:r>
              <w:rPr>
                <w:rFonts w:ascii="Times New Roman" w:hAnsi="Times New Roman" w:cs="Times New Roman"/>
                <w:b/>
                <w:bCs/>
                <w:color w:val="auto"/>
                <w:sz w:val="24"/>
              </w:rPr>
              <w:t>表4.</w:t>
            </w:r>
            <w:r>
              <w:rPr>
                <w:rFonts w:hint="eastAsia" w:ascii="Times New Roman" w:hAnsi="Times New Roman" w:cs="Times New Roman"/>
                <w:b/>
                <w:bCs/>
                <w:color w:val="auto"/>
                <w:sz w:val="24"/>
                <w:lang w:val="en-US" w:eastAsia="zh-CN"/>
              </w:rPr>
              <w:t xml:space="preserve">32  </w:t>
            </w:r>
            <w:r>
              <w:rPr>
                <w:rFonts w:ascii="Times New Roman" w:hAnsi="Times New Roman" w:cs="Times New Roman"/>
                <w:b/>
                <w:bCs/>
                <w:color w:val="auto"/>
                <w:sz w:val="24"/>
              </w:rPr>
              <w:t>厂界噪声预测结果一览表</w:t>
            </w:r>
          </w:p>
          <w:tbl>
            <w:tblPr>
              <w:tblStyle w:val="2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1461"/>
              <w:gridCol w:w="1461"/>
              <w:gridCol w:w="1462"/>
              <w:gridCol w:w="1462"/>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vMerge w:val="restart"/>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厂界</w:t>
                  </w:r>
                </w:p>
              </w:tc>
              <w:tc>
                <w:tcPr>
                  <w:tcW w:w="2956" w:type="dxa"/>
                  <w:gridSpan w:val="2"/>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贡献值</w:t>
                  </w:r>
                </w:p>
              </w:tc>
              <w:tc>
                <w:tcPr>
                  <w:tcW w:w="2958" w:type="dxa"/>
                  <w:gridSpan w:val="2"/>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执行标准</w:t>
                  </w:r>
                </w:p>
              </w:tc>
              <w:tc>
                <w:tcPr>
                  <w:tcW w:w="1785" w:type="dxa"/>
                  <w:vMerge w:val="restart"/>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vMerge w:val="continue"/>
                  <w:vAlign w:val="center"/>
                </w:tcPr>
                <w:p>
                  <w:pPr>
                    <w:jc w:val="center"/>
                    <w:rPr>
                      <w:rFonts w:ascii="Times New Roman" w:hAnsi="Times New Roman" w:cs="Times New Roman"/>
                      <w:color w:val="auto"/>
                      <w:szCs w:val="21"/>
                    </w:rPr>
                  </w:pPr>
                </w:p>
              </w:tc>
              <w:tc>
                <w:tcPr>
                  <w:tcW w:w="1478"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昼间</w:t>
                  </w:r>
                </w:p>
              </w:tc>
              <w:tc>
                <w:tcPr>
                  <w:tcW w:w="1478"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夜间</w:t>
                  </w:r>
                </w:p>
              </w:tc>
              <w:tc>
                <w:tcPr>
                  <w:tcW w:w="1479"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昼间</w:t>
                  </w:r>
                </w:p>
              </w:tc>
              <w:tc>
                <w:tcPr>
                  <w:tcW w:w="1479"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夜间</w:t>
                  </w:r>
                </w:p>
              </w:tc>
              <w:tc>
                <w:tcPr>
                  <w:tcW w:w="1785" w:type="dxa"/>
                  <w:vMerge w:val="continue"/>
                  <w:vAlign w:val="center"/>
                </w:tcPr>
                <w:p>
                  <w:pPr>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厂界东侧</w:t>
                  </w:r>
                </w:p>
              </w:tc>
              <w:tc>
                <w:tcPr>
                  <w:tcW w:w="1478"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46</w:t>
                  </w:r>
                </w:p>
              </w:tc>
              <w:tc>
                <w:tcPr>
                  <w:tcW w:w="1478" w:type="dxa"/>
                  <w:vAlign w:val="center"/>
                </w:tcPr>
                <w:p>
                  <w:pPr>
                    <w:jc w:val="center"/>
                    <w:rPr>
                      <w:rFonts w:hint="eastAsia" w:ascii="宋体" w:hAnsi="宋体" w:eastAsia="宋体" w:cs="宋体"/>
                      <w:color w:val="auto"/>
                      <w:szCs w:val="21"/>
                    </w:rPr>
                  </w:pPr>
                  <w:r>
                    <w:rPr>
                      <w:rFonts w:hint="eastAsia" w:ascii="Times New Roman" w:hAnsi="Times New Roman" w:eastAsia="宋体" w:cs="Times New Roman"/>
                      <w:color w:val="auto"/>
                      <w:szCs w:val="21"/>
                      <w:lang w:val="en-US" w:eastAsia="zh-CN"/>
                    </w:rPr>
                    <w:t>/</w:t>
                  </w:r>
                </w:p>
              </w:tc>
              <w:tc>
                <w:tcPr>
                  <w:tcW w:w="1479" w:type="dxa"/>
                  <w:vAlign w:val="center"/>
                </w:tcPr>
                <w:p>
                  <w:pPr>
                    <w:jc w:val="center"/>
                    <w:rPr>
                      <w:rFonts w:hint="eastAsia" w:ascii="Times New Roman" w:hAnsi="Times New Roman" w:cs="Times New Roman" w:eastAsiaTheme="minorEastAsia"/>
                      <w:color w:val="auto"/>
                      <w:szCs w:val="21"/>
                      <w:lang w:eastAsia="zh-CN"/>
                    </w:rPr>
                  </w:pPr>
                  <w:r>
                    <w:rPr>
                      <w:rFonts w:ascii="Times New Roman" w:hAnsi="Times New Roman" w:cs="Times New Roman"/>
                      <w:color w:val="auto"/>
                      <w:szCs w:val="21"/>
                    </w:rPr>
                    <w:t>6</w:t>
                  </w:r>
                  <w:r>
                    <w:rPr>
                      <w:rFonts w:hint="eastAsia" w:ascii="Times New Roman" w:hAnsi="Times New Roman" w:cs="Times New Roman"/>
                      <w:color w:val="auto"/>
                      <w:szCs w:val="21"/>
                      <w:lang w:val="en-US" w:eastAsia="zh-CN"/>
                    </w:rPr>
                    <w:t>5</w:t>
                  </w:r>
                </w:p>
              </w:tc>
              <w:tc>
                <w:tcPr>
                  <w:tcW w:w="1479"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eastAsia="宋体" w:cs="Times New Roman"/>
                      <w:color w:val="auto"/>
                      <w:szCs w:val="21"/>
                      <w:lang w:val="en-US" w:eastAsia="zh-CN"/>
                    </w:rPr>
                    <w:t>/</w:t>
                  </w:r>
                </w:p>
              </w:tc>
              <w:tc>
                <w:tcPr>
                  <w:tcW w:w="178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厂界南侧</w:t>
                  </w:r>
                </w:p>
              </w:tc>
              <w:tc>
                <w:tcPr>
                  <w:tcW w:w="1478"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42</w:t>
                  </w:r>
                </w:p>
              </w:tc>
              <w:tc>
                <w:tcPr>
                  <w:tcW w:w="1478" w:type="dxa"/>
                  <w:vAlign w:val="center"/>
                </w:tcPr>
                <w:p>
                  <w:pPr>
                    <w:jc w:val="center"/>
                    <w:rPr>
                      <w:rFonts w:hint="eastAsia" w:ascii="宋体" w:hAnsi="宋体" w:eastAsia="宋体" w:cs="宋体"/>
                      <w:color w:val="auto"/>
                      <w:szCs w:val="21"/>
                    </w:rPr>
                  </w:pPr>
                  <w:r>
                    <w:rPr>
                      <w:rFonts w:hint="eastAsia" w:ascii="Times New Roman" w:hAnsi="Times New Roman" w:eastAsia="宋体" w:cs="Times New Roman"/>
                      <w:color w:val="auto"/>
                      <w:szCs w:val="21"/>
                      <w:lang w:val="en-US" w:eastAsia="zh-CN"/>
                    </w:rPr>
                    <w:t>/</w:t>
                  </w:r>
                </w:p>
              </w:tc>
              <w:tc>
                <w:tcPr>
                  <w:tcW w:w="1479" w:type="dxa"/>
                  <w:vAlign w:val="center"/>
                </w:tcPr>
                <w:p>
                  <w:pPr>
                    <w:jc w:val="center"/>
                    <w:rPr>
                      <w:rFonts w:hint="eastAsia" w:ascii="Times New Roman" w:hAnsi="Times New Roman" w:cs="Times New Roman" w:eastAsiaTheme="minorEastAsia"/>
                      <w:color w:val="auto"/>
                      <w:szCs w:val="21"/>
                      <w:lang w:eastAsia="zh-CN"/>
                    </w:rPr>
                  </w:pPr>
                  <w:r>
                    <w:rPr>
                      <w:rFonts w:ascii="Times New Roman" w:hAnsi="Times New Roman" w:cs="Times New Roman"/>
                      <w:color w:val="auto"/>
                      <w:szCs w:val="21"/>
                    </w:rPr>
                    <w:t>6</w:t>
                  </w:r>
                  <w:r>
                    <w:rPr>
                      <w:rFonts w:hint="eastAsia" w:ascii="Times New Roman" w:hAnsi="Times New Roman" w:cs="Times New Roman"/>
                      <w:color w:val="auto"/>
                      <w:szCs w:val="21"/>
                      <w:lang w:val="en-US" w:eastAsia="zh-CN"/>
                    </w:rPr>
                    <w:t>5</w:t>
                  </w:r>
                </w:p>
              </w:tc>
              <w:tc>
                <w:tcPr>
                  <w:tcW w:w="1479" w:type="dxa"/>
                  <w:vAlign w:val="center"/>
                </w:tcPr>
                <w:p>
                  <w:pPr>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w:t>
                  </w:r>
                </w:p>
              </w:tc>
              <w:tc>
                <w:tcPr>
                  <w:tcW w:w="178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5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厂界西侧</w:t>
                  </w:r>
                </w:p>
              </w:tc>
              <w:tc>
                <w:tcPr>
                  <w:tcW w:w="1478"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51</w:t>
                  </w:r>
                </w:p>
              </w:tc>
              <w:tc>
                <w:tcPr>
                  <w:tcW w:w="1478" w:type="dxa"/>
                  <w:vAlign w:val="center"/>
                </w:tcPr>
                <w:p>
                  <w:pPr>
                    <w:jc w:val="center"/>
                    <w:rPr>
                      <w:rFonts w:hint="eastAsia" w:ascii="宋体" w:hAnsi="宋体" w:eastAsia="宋体" w:cs="宋体"/>
                      <w:color w:val="auto"/>
                      <w:szCs w:val="21"/>
                    </w:rPr>
                  </w:pPr>
                  <w:r>
                    <w:rPr>
                      <w:rFonts w:hint="eastAsia" w:ascii="Times New Roman" w:hAnsi="Times New Roman" w:eastAsia="宋体" w:cs="Times New Roman"/>
                      <w:color w:val="auto"/>
                      <w:szCs w:val="21"/>
                      <w:lang w:val="en-US" w:eastAsia="zh-CN"/>
                    </w:rPr>
                    <w:t>/</w:t>
                  </w:r>
                </w:p>
              </w:tc>
              <w:tc>
                <w:tcPr>
                  <w:tcW w:w="1479" w:type="dxa"/>
                  <w:vAlign w:val="center"/>
                </w:tcPr>
                <w:p>
                  <w:pPr>
                    <w:jc w:val="center"/>
                    <w:rPr>
                      <w:rFonts w:hint="eastAsia" w:ascii="Times New Roman" w:hAnsi="Times New Roman" w:cs="Times New Roman" w:eastAsiaTheme="minorEastAsia"/>
                      <w:color w:val="auto"/>
                      <w:szCs w:val="21"/>
                      <w:lang w:eastAsia="zh-CN"/>
                    </w:rPr>
                  </w:pPr>
                  <w:r>
                    <w:rPr>
                      <w:rFonts w:ascii="Times New Roman" w:hAnsi="Times New Roman" w:cs="Times New Roman"/>
                      <w:color w:val="auto"/>
                      <w:szCs w:val="21"/>
                    </w:rPr>
                    <w:t>6</w:t>
                  </w:r>
                  <w:r>
                    <w:rPr>
                      <w:rFonts w:hint="eastAsia" w:ascii="Times New Roman" w:hAnsi="Times New Roman" w:cs="Times New Roman"/>
                      <w:color w:val="auto"/>
                      <w:szCs w:val="21"/>
                      <w:lang w:val="en-US" w:eastAsia="zh-CN"/>
                    </w:rPr>
                    <w:t>5</w:t>
                  </w:r>
                </w:p>
              </w:tc>
              <w:tc>
                <w:tcPr>
                  <w:tcW w:w="1479" w:type="dxa"/>
                  <w:vAlign w:val="center"/>
                </w:tcPr>
                <w:p>
                  <w:pPr>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w:t>
                  </w:r>
                </w:p>
              </w:tc>
              <w:tc>
                <w:tcPr>
                  <w:tcW w:w="178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厂界北侧</w:t>
                  </w:r>
                </w:p>
              </w:tc>
              <w:tc>
                <w:tcPr>
                  <w:tcW w:w="1478"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49</w:t>
                  </w:r>
                </w:p>
              </w:tc>
              <w:tc>
                <w:tcPr>
                  <w:tcW w:w="1478" w:type="dxa"/>
                  <w:vAlign w:val="center"/>
                </w:tcPr>
                <w:p>
                  <w:pPr>
                    <w:jc w:val="center"/>
                    <w:rPr>
                      <w:rFonts w:hint="eastAsia" w:ascii="宋体" w:hAnsi="宋体" w:eastAsia="宋体" w:cs="宋体"/>
                      <w:color w:val="auto"/>
                      <w:szCs w:val="21"/>
                    </w:rPr>
                  </w:pPr>
                  <w:r>
                    <w:rPr>
                      <w:rFonts w:hint="eastAsia" w:ascii="Times New Roman" w:hAnsi="Times New Roman" w:eastAsia="宋体" w:cs="Times New Roman"/>
                      <w:color w:val="auto"/>
                      <w:szCs w:val="21"/>
                      <w:lang w:val="en-US" w:eastAsia="zh-CN"/>
                    </w:rPr>
                    <w:t>/</w:t>
                  </w:r>
                </w:p>
              </w:tc>
              <w:tc>
                <w:tcPr>
                  <w:tcW w:w="1479" w:type="dxa"/>
                  <w:vAlign w:val="center"/>
                </w:tcPr>
                <w:p>
                  <w:pPr>
                    <w:jc w:val="center"/>
                    <w:rPr>
                      <w:rFonts w:hint="eastAsia" w:ascii="Times New Roman" w:hAnsi="Times New Roman" w:cs="Times New Roman" w:eastAsiaTheme="minorEastAsia"/>
                      <w:color w:val="auto"/>
                      <w:szCs w:val="21"/>
                      <w:lang w:eastAsia="zh-CN"/>
                    </w:rPr>
                  </w:pPr>
                  <w:r>
                    <w:rPr>
                      <w:rFonts w:ascii="Times New Roman" w:hAnsi="Times New Roman" w:cs="Times New Roman"/>
                      <w:color w:val="auto"/>
                      <w:szCs w:val="21"/>
                    </w:rPr>
                    <w:t>6</w:t>
                  </w:r>
                  <w:r>
                    <w:rPr>
                      <w:rFonts w:hint="eastAsia" w:ascii="Times New Roman" w:hAnsi="Times New Roman" w:cs="Times New Roman"/>
                      <w:color w:val="auto"/>
                      <w:szCs w:val="21"/>
                      <w:lang w:val="en-US" w:eastAsia="zh-CN"/>
                    </w:rPr>
                    <w:t>5</w:t>
                  </w:r>
                </w:p>
              </w:tc>
              <w:tc>
                <w:tcPr>
                  <w:tcW w:w="1479" w:type="dxa"/>
                  <w:vAlign w:val="center"/>
                </w:tcPr>
                <w:p>
                  <w:pPr>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w:t>
                  </w:r>
                </w:p>
              </w:tc>
              <w:tc>
                <w:tcPr>
                  <w:tcW w:w="1785"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达标</w:t>
                  </w:r>
                </w:p>
              </w:tc>
            </w:tr>
          </w:tbl>
          <w:p>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由上表可见，</w:t>
            </w:r>
            <w:r>
              <w:rPr>
                <w:rFonts w:hint="eastAsia" w:ascii="Times New Roman" w:hAnsi="Times New Roman" w:eastAsia="宋体" w:cs="Times New Roman"/>
                <w:color w:val="auto"/>
                <w:sz w:val="24"/>
                <w:lang w:eastAsia="zh-CN"/>
              </w:rPr>
              <w:t>本</w:t>
            </w:r>
            <w:r>
              <w:rPr>
                <w:rFonts w:hint="eastAsia" w:ascii="Times New Roman" w:hAnsi="Times New Roman" w:eastAsia="宋体" w:cs="Times New Roman"/>
                <w:color w:val="auto"/>
                <w:sz w:val="24"/>
              </w:rPr>
              <w:t>项目运营期昼间各厂界噪声预测值满足《工业企业厂界环境噪声排放标准》（GB12348-2008）表1中</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类标准限值。项目的建设不会改变区域声环境功能，项目运营噪声对周围声环境影响较小。</w:t>
            </w:r>
          </w:p>
          <w:p>
            <w:pPr>
              <w:adjustRightInd w:val="0"/>
              <w:snapToGri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eastAsia="宋体" w:cs="Times New Roman"/>
                <w:color w:val="auto"/>
                <w:sz w:val="24"/>
                <w:lang w:val="en-US" w:eastAsia="zh-CN"/>
              </w:rPr>
              <w:t>3.4</w:t>
            </w:r>
            <w:r>
              <w:rPr>
                <w:rFonts w:hint="eastAsia" w:ascii="Times New Roman" w:hAnsi="Times New Roman" w:cs="Times New Roman"/>
                <w:color w:val="auto"/>
                <w:sz w:val="24"/>
              </w:rPr>
              <w:t>噪声污染防治措施</w:t>
            </w:r>
          </w:p>
          <w:p>
            <w:pPr>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rPr>
              <w:t>本项目的噪声源</w:t>
            </w:r>
            <w:r>
              <w:rPr>
                <w:rFonts w:ascii="Times New Roman" w:hAnsi="Times New Roman" w:cs="Times New Roman"/>
                <w:color w:val="auto"/>
                <w:sz w:val="24"/>
                <w:szCs w:val="24"/>
              </w:rPr>
              <w:t>包括</w:t>
            </w:r>
            <w:r>
              <w:rPr>
                <w:rFonts w:hint="eastAsia" w:ascii="Times New Roman" w:hAnsi="Times New Roman" w:cs="Times New Roman"/>
                <w:color w:val="auto"/>
                <w:sz w:val="24"/>
                <w:szCs w:val="24"/>
                <w:lang w:eastAsia="zh-CN"/>
              </w:rPr>
              <w:t>激光切割机、精密铣床、车床、摇臂钻床、电焊机、</w:t>
            </w:r>
            <w:r>
              <w:rPr>
                <w:rFonts w:hint="eastAsia" w:ascii="Times New Roman" w:hAnsi="Times New Roman" w:cs="Times New Roman"/>
                <w:b w:val="0"/>
                <w:bCs w:val="0"/>
                <w:color w:val="auto"/>
                <w:sz w:val="24"/>
                <w:szCs w:val="24"/>
                <w:vertAlign w:val="baseline"/>
                <w:lang w:val="en-US" w:eastAsia="zh-CN"/>
              </w:rPr>
              <w:t>折弯机、平板硫化机、吊钩式抛丸清理机、锯床</w:t>
            </w:r>
            <w:r>
              <w:rPr>
                <w:rFonts w:hint="eastAsia" w:ascii="Times New Roman" w:hAnsi="Times New Roman" w:eastAsia="宋体" w:cs="Times New Roman"/>
                <w:color w:val="auto"/>
                <w:sz w:val="24"/>
                <w:szCs w:val="24"/>
                <w:lang w:val="en-US" w:eastAsia="zh-CN"/>
              </w:rPr>
              <w:t>、风机</w:t>
            </w:r>
            <w:r>
              <w:rPr>
                <w:rFonts w:ascii="Times New Roman" w:hAnsi="Times New Roman" w:cs="Times New Roman"/>
                <w:color w:val="auto"/>
                <w:sz w:val="24"/>
                <w:szCs w:val="24"/>
              </w:rPr>
              <w:t>等生产设备运行噪声，这些噪声源经相应的降噪措施处理后通过建筑物门窗、墙壁的吸收、屏蔽及阻挡作用，将会大幅度地衰减。具体可采取的治理措施如下：</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①合理布局：项目将高噪声设备尽量布置在厂区中部，通过距离衰减减轻噪声对外环境的影响。</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②选择低噪声设备：项目在满足工艺设计的前提下，尽量选用满足国际标准的低噪声、低振动型号的设备，降低噪声源强。</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s="Times New Roman"/>
                <w:color w:val="auto"/>
                <w:sz w:val="24"/>
              </w:rPr>
              <w:t>③隔声、减</w:t>
            </w:r>
            <w:r>
              <w:rPr>
                <w:rFonts w:hint="eastAsia" w:ascii="Times New Roman" w:hAnsi="Times New Roman" w:cs="Times New Roman"/>
                <w:color w:val="auto"/>
                <w:sz w:val="24"/>
              </w:rPr>
              <w:t>振、消声</w:t>
            </w:r>
            <w:r>
              <w:rPr>
                <w:rFonts w:ascii="Times New Roman" w:hAnsi="Times New Roman" w:cs="Times New Roman"/>
                <w:color w:val="auto"/>
                <w:sz w:val="24"/>
              </w:rPr>
              <w:t>：</w:t>
            </w:r>
            <w:r>
              <w:rPr>
                <w:rFonts w:ascii="Times New Roman" w:hAnsi="Times New Roman"/>
                <w:color w:val="auto"/>
                <w:sz w:val="24"/>
              </w:rPr>
              <w:t>安装减</w:t>
            </w:r>
            <w:r>
              <w:rPr>
                <w:rFonts w:hint="eastAsia" w:ascii="Times New Roman" w:hAnsi="Times New Roman"/>
                <w:color w:val="auto"/>
                <w:sz w:val="24"/>
              </w:rPr>
              <w:t>振</w:t>
            </w:r>
            <w:r>
              <w:rPr>
                <w:rFonts w:ascii="Times New Roman" w:hAnsi="Times New Roman"/>
                <w:color w:val="auto"/>
                <w:sz w:val="24"/>
              </w:rPr>
              <w:t>垫</w:t>
            </w:r>
            <w:r>
              <w:rPr>
                <w:rFonts w:hint="eastAsia" w:ascii="Times New Roman" w:hAnsi="Times New Roman"/>
                <w:color w:val="auto"/>
                <w:sz w:val="24"/>
              </w:rPr>
              <w:t>、消声器</w:t>
            </w:r>
            <w:r>
              <w:rPr>
                <w:rFonts w:ascii="Times New Roman" w:hAnsi="Times New Roman"/>
                <w:color w:val="auto"/>
                <w:sz w:val="24"/>
              </w:rPr>
              <w:t>或者隔声门窗来达到降低噪声的目的。</w:t>
            </w:r>
          </w:p>
          <w:p>
            <w:pPr>
              <w:adjustRightInd w:val="0"/>
              <w:snapToGrid w:val="0"/>
              <w:spacing w:line="360" w:lineRule="auto"/>
              <w:ind w:firstLine="480" w:firstLineChars="200"/>
              <w:rPr>
                <w:rFonts w:ascii="Times New Roman" w:hAnsi="Times New Roman"/>
                <w:color w:val="auto"/>
                <w:sz w:val="24"/>
              </w:rPr>
            </w:pPr>
            <w:r>
              <w:rPr>
                <w:rFonts w:hint="eastAsia" w:ascii="Times New Roman" w:hAnsi="Times New Roman"/>
                <w:color w:val="auto"/>
                <w:sz w:val="24"/>
              </w:rPr>
              <w:t>④</w:t>
            </w:r>
            <w:r>
              <w:rPr>
                <w:rFonts w:ascii="Times New Roman" w:hAnsi="Times New Roman"/>
                <w:color w:val="auto"/>
                <w:sz w:val="24"/>
              </w:rPr>
              <w:t>强化生产管理：确保降噪设施的有效运行，并加强对生产设备的保养、检修与润滑，保证设备处于良好的运转状态。</w:t>
            </w:r>
          </w:p>
          <w:p>
            <w:pPr>
              <w:adjustRightInd w:val="0"/>
              <w:snapToGrid w:val="0"/>
              <w:spacing w:line="360" w:lineRule="auto"/>
              <w:ind w:firstLine="480" w:firstLineChars="200"/>
              <w:rPr>
                <w:rFonts w:ascii="Times New Roman" w:hAnsi="Times New Roman" w:cs="Times New Roman"/>
                <w:color w:val="auto"/>
                <w:sz w:val="24"/>
                <w:lang w:val="zh-CN"/>
              </w:rPr>
            </w:pPr>
            <w:r>
              <w:rPr>
                <w:rFonts w:hint="eastAsia" w:ascii="Times New Roman" w:hAnsi="Times New Roman" w:cs="Times New Roman"/>
                <w:color w:val="auto"/>
                <w:sz w:val="24"/>
                <w:lang w:val="en-US" w:eastAsia="zh-CN"/>
              </w:rPr>
              <w:t>3.4</w:t>
            </w:r>
            <w:r>
              <w:rPr>
                <w:rFonts w:hint="eastAsia" w:ascii="Times New Roman" w:hAnsi="Times New Roman" w:cs="Times New Roman"/>
                <w:color w:val="auto"/>
                <w:sz w:val="24"/>
                <w:lang w:val="zh-CN"/>
              </w:rPr>
              <w:t>噪声排放检测</w:t>
            </w:r>
          </w:p>
          <w:p>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建设</w:t>
            </w:r>
            <w:r>
              <w:rPr>
                <w:rFonts w:ascii="Times New Roman" w:hAnsi="Times New Roman" w:cs="Times New Roman"/>
                <w:color w:val="auto"/>
                <w:sz w:val="24"/>
              </w:rPr>
              <w:t>项目噪声</w:t>
            </w:r>
            <w:r>
              <w:rPr>
                <w:rFonts w:hint="eastAsia" w:ascii="Times New Roman" w:hAnsi="Times New Roman" w:cs="Times New Roman"/>
                <w:color w:val="auto"/>
                <w:sz w:val="24"/>
              </w:rPr>
              <w:t>检测</w:t>
            </w:r>
            <w:r>
              <w:rPr>
                <w:rFonts w:ascii="Times New Roman" w:hAnsi="Times New Roman" w:cs="Times New Roman"/>
                <w:color w:val="auto"/>
                <w:sz w:val="24"/>
              </w:rPr>
              <w:t>计划如下表4.</w:t>
            </w:r>
            <w:r>
              <w:rPr>
                <w:rFonts w:hint="eastAsia" w:ascii="Times New Roman" w:hAnsi="Times New Roman" w:cs="Times New Roman"/>
                <w:color w:val="auto"/>
                <w:sz w:val="24"/>
                <w:lang w:val="en-US" w:eastAsia="zh-CN"/>
              </w:rPr>
              <w:t>33</w:t>
            </w:r>
            <w:r>
              <w:rPr>
                <w:rFonts w:ascii="Times New Roman" w:hAnsi="Times New Roman" w:cs="Times New Roman"/>
                <w:color w:val="auto"/>
                <w:sz w:val="24"/>
              </w:rPr>
              <w:t>所示。</w:t>
            </w:r>
          </w:p>
          <w:p>
            <w:pPr>
              <w:adjustRightInd w:val="0"/>
              <w:snapToGrid w:val="0"/>
              <w:spacing w:line="240" w:lineRule="auto"/>
              <w:jc w:val="center"/>
              <w:rPr>
                <w:rFonts w:ascii="Times New Roman" w:hAnsi="Times New Roman" w:cs="Times New Roman"/>
                <w:b/>
                <w:bCs/>
                <w:color w:val="auto"/>
                <w:sz w:val="24"/>
              </w:rPr>
            </w:pPr>
            <w:r>
              <w:rPr>
                <w:rFonts w:ascii="Times New Roman" w:hAnsi="Times New Roman" w:cs="Times New Roman"/>
                <w:b/>
                <w:bCs/>
                <w:color w:val="auto"/>
                <w:sz w:val="24"/>
              </w:rPr>
              <w:t>表4.</w:t>
            </w:r>
            <w:r>
              <w:rPr>
                <w:rFonts w:hint="eastAsia" w:ascii="Times New Roman" w:hAnsi="Times New Roman" w:cs="Times New Roman"/>
                <w:b/>
                <w:bCs/>
                <w:color w:val="auto"/>
                <w:sz w:val="24"/>
                <w:lang w:val="en-US" w:eastAsia="zh-CN"/>
              </w:rPr>
              <w:t>33</w:t>
            </w:r>
            <w:r>
              <w:rPr>
                <w:rFonts w:ascii="Times New Roman" w:hAnsi="Times New Roman" w:cs="Times New Roman"/>
                <w:b/>
                <w:bCs/>
                <w:color w:val="auto"/>
                <w:sz w:val="24"/>
              </w:rPr>
              <w:t xml:space="preserve">  噪声</w:t>
            </w:r>
            <w:r>
              <w:rPr>
                <w:rFonts w:hint="eastAsia" w:ascii="Times New Roman" w:hAnsi="Times New Roman" w:cs="Times New Roman"/>
                <w:b/>
                <w:bCs/>
                <w:color w:val="auto"/>
                <w:sz w:val="24"/>
              </w:rPr>
              <w:t>检测</w:t>
            </w:r>
            <w:r>
              <w:rPr>
                <w:rFonts w:ascii="Times New Roman" w:hAnsi="Times New Roman" w:cs="Times New Roman"/>
                <w:b/>
                <w:bCs/>
                <w:color w:val="auto"/>
                <w:sz w:val="24"/>
              </w:rPr>
              <w:t>计划表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691"/>
              <w:gridCol w:w="1246"/>
              <w:gridCol w:w="1809"/>
              <w:gridCol w:w="3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检测</w:t>
                  </w:r>
                  <w:r>
                    <w:rPr>
                      <w:rFonts w:ascii="Times New Roman" w:hAnsi="Times New Roman" w:cs="Times New Roman"/>
                      <w:color w:val="auto"/>
                      <w:szCs w:val="21"/>
                    </w:rPr>
                    <w:t>点位置</w:t>
                  </w:r>
                </w:p>
              </w:tc>
              <w:tc>
                <w:tcPr>
                  <w:tcW w:w="1710" w:type="dxa"/>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检测</w:t>
                  </w:r>
                  <w:r>
                    <w:rPr>
                      <w:rFonts w:ascii="Times New Roman" w:hAnsi="Times New Roman" w:cs="Times New Roman"/>
                      <w:color w:val="auto"/>
                      <w:szCs w:val="21"/>
                    </w:rPr>
                    <w:t>指标</w:t>
                  </w:r>
                </w:p>
              </w:tc>
              <w:tc>
                <w:tcPr>
                  <w:tcW w:w="1260" w:type="dxa"/>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检测</w:t>
                  </w:r>
                  <w:r>
                    <w:rPr>
                      <w:rFonts w:ascii="Times New Roman" w:hAnsi="Times New Roman" w:cs="Times New Roman"/>
                      <w:color w:val="auto"/>
                      <w:szCs w:val="21"/>
                    </w:rPr>
                    <w:t>频次</w:t>
                  </w:r>
                </w:p>
              </w:tc>
              <w:tc>
                <w:tcPr>
                  <w:tcW w:w="1830" w:type="dxa"/>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检测</w:t>
                  </w:r>
                  <w:r>
                    <w:rPr>
                      <w:rFonts w:ascii="Times New Roman" w:hAnsi="Times New Roman" w:cs="Times New Roman"/>
                      <w:color w:val="auto"/>
                      <w:szCs w:val="21"/>
                    </w:rPr>
                    <w:t>天数</w:t>
                  </w:r>
                </w:p>
              </w:tc>
              <w:tc>
                <w:tcPr>
                  <w:tcW w:w="3642"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厂界</w:t>
                  </w:r>
                </w:p>
              </w:tc>
              <w:tc>
                <w:tcPr>
                  <w:tcW w:w="1710"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等效连续A声级</w:t>
                  </w:r>
                </w:p>
              </w:tc>
              <w:tc>
                <w:tcPr>
                  <w:tcW w:w="1260" w:type="dxa"/>
                  <w:vAlign w:val="center"/>
                </w:tcPr>
                <w:p>
                  <w:pPr>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1次/</w:t>
                  </w:r>
                  <w:r>
                    <w:rPr>
                      <w:rFonts w:hint="eastAsia" w:ascii="Times New Roman" w:hAnsi="Times New Roman" w:cs="Times New Roman"/>
                      <w:color w:val="auto"/>
                      <w:szCs w:val="21"/>
                      <w:lang w:eastAsia="zh-CN"/>
                    </w:rPr>
                    <w:t>季度</w:t>
                  </w:r>
                </w:p>
              </w:tc>
              <w:tc>
                <w:tcPr>
                  <w:tcW w:w="1830"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连续1天，昼夜各一次</w:t>
                  </w:r>
                </w:p>
              </w:tc>
              <w:tc>
                <w:tcPr>
                  <w:tcW w:w="3642" w:type="dxa"/>
                  <w:vAlign w:val="center"/>
                </w:tcPr>
                <w:p>
                  <w:pPr>
                    <w:jc w:val="center"/>
                    <w:rPr>
                      <w:rFonts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总则》（HJ819-2017）</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《排污单位自行监测技术指南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涂装》（HJ1086-2020）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《排污单位自行监测技术指南-橡胶和塑料制品》（HJ1207-2021）、《排污许可证申请与核发技术规范-家具制造工业》（HJ1027-2019）</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4、固体废物</w:t>
            </w:r>
          </w:p>
          <w:p>
            <w:pPr>
              <w:pStyle w:val="47"/>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本项目固废主要为生活垃圾、一般</w:t>
            </w:r>
            <w:r>
              <w:rPr>
                <w:rFonts w:hint="default" w:ascii="Times New Roman" w:hAnsi="Times New Roman" w:cs="Times New Roman"/>
                <w:color w:val="auto"/>
                <w:sz w:val="24"/>
                <w:szCs w:val="24"/>
                <w:lang w:eastAsia="zh-CN"/>
              </w:rPr>
              <w:t>工业</w:t>
            </w:r>
            <w:r>
              <w:rPr>
                <w:rFonts w:hint="default" w:ascii="Times New Roman" w:hAnsi="Times New Roman" w:cs="Times New Roman"/>
                <w:color w:val="auto"/>
                <w:sz w:val="24"/>
                <w:szCs w:val="24"/>
              </w:rPr>
              <w:t>固体废物、危险废物。</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）生活垃圾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项目拥有职工</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人，生活垃圾按0.5kg/人</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d计，年工作</w:t>
            </w:r>
            <w:r>
              <w:rPr>
                <w:rFonts w:hint="default"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rPr>
              <w:t>天，则生活垃圾产生量为</w:t>
            </w:r>
            <w:r>
              <w:rPr>
                <w:rFonts w:hint="eastAsia" w:ascii="Times New Roman" w:hAnsi="Times New Roman" w:cs="Times New Roman"/>
                <w:color w:val="auto"/>
                <w:sz w:val="24"/>
                <w:szCs w:val="24"/>
                <w:lang w:val="en-US" w:eastAsia="zh-CN"/>
              </w:rPr>
              <w:t>7.5</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val="en-US" w:eastAsia="zh-CN"/>
              </w:rPr>
              <w:t>此部分生活垃圾</w:t>
            </w:r>
            <w:r>
              <w:rPr>
                <w:rFonts w:hint="default" w:ascii="Times New Roman" w:hAnsi="Times New Roman" w:cs="Times New Roman"/>
                <w:color w:val="auto"/>
                <w:sz w:val="24"/>
                <w:szCs w:val="24"/>
              </w:rPr>
              <w:t>集中收集后定期交由环卫部门统一清运处置。</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）一般工业固体废物</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①下脚料</w:t>
            </w:r>
          </w:p>
          <w:p>
            <w:pPr>
              <w:pStyle w:val="47"/>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原辅材料在</w:t>
            </w:r>
            <w:r>
              <w:rPr>
                <w:rFonts w:hint="eastAsia" w:ascii="Times New Roman" w:hAnsi="Times New Roman" w:cs="Times New Roman"/>
                <w:color w:val="auto"/>
                <w:sz w:val="24"/>
                <w:szCs w:val="24"/>
                <w:lang w:eastAsia="zh-CN"/>
              </w:rPr>
              <w:t>激光切割、</w:t>
            </w:r>
            <w:r>
              <w:rPr>
                <w:rFonts w:hint="default" w:ascii="Times New Roman" w:hAnsi="Times New Roman" w:cs="Times New Roman"/>
                <w:color w:val="auto"/>
                <w:sz w:val="24"/>
                <w:szCs w:val="24"/>
              </w:rPr>
              <w:t>机加工过程中会产生一定量的下脚料。</w:t>
            </w:r>
            <w:r>
              <w:rPr>
                <w:rFonts w:hint="default" w:ascii="Times New Roman" w:hAnsi="Times New Roman" w:cs="Times New Roman"/>
                <w:color w:val="auto"/>
                <w:sz w:val="24"/>
                <w:szCs w:val="24"/>
                <w:lang w:eastAsia="zh-CN"/>
              </w:rPr>
              <w:t>参考《机加工行业环境影响评价中常见污染物源强估算及污染治理》（湖北大学学报，自然</w:t>
            </w:r>
            <w:r>
              <w:rPr>
                <w:rFonts w:hint="default" w:ascii="Times New Roman" w:hAnsi="Times New Roman" w:cs="Times New Roman"/>
                <w:color w:val="auto"/>
                <w:sz w:val="24"/>
                <w:szCs w:val="24"/>
                <w:lang w:val="en-US" w:eastAsia="zh-CN"/>
              </w:rPr>
              <w:t>科学版，第32卷第3期，2010年09月</w:t>
            </w:r>
            <w:r>
              <w:rPr>
                <w:rFonts w:hint="default" w:ascii="Times New Roman" w:hAnsi="Times New Roman" w:cs="Times New Roman"/>
                <w:color w:val="auto"/>
                <w:sz w:val="24"/>
                <w:szCs w:val="24"/>
                <w:lang w:eastAsia="zh-CN"/>
              </w:rPr>
              <w:t>，许海萍，刘琳，任婷婷，戴岩，李海波）</w:t>
            </w:r>
            <w:r>
              <w:rPr>
                <w:rFonts w:hint="default" w:ascii="Times New Roman" w:hAnsi="Times New Roman" w:cs="Times New Roman"/>
                <w:color w:val="auto"/>
                <w:sz w:val="24"/>
                <w:szCs w:val="24"/>
              </w:rPr>
              <w:t>，下脚料的产生量</w:t>
            </w:r>
            <w:r>
              <w:rPr>
                <w:rFonts w:hint="default" w:ascii="Times New Roman" w:hAnsi="Times New Roman" w:cs="Times New Roman"/>
                <w:color w:val="auto"/>
                <w:sz w:val="24"/>
                <w:szCs w:val="24"/>
                <w:lang w:val="en-US" w:eastAsia="zh-CN"/>
              </w:rPr>
              <w:t>=原材料的使用量×（1-原材料利用率）</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根据建设单位提供的资料，本项目原材料利用率为</w:t>
            </w:r>
            <w:r>
              <w:rPr>
                <w:rFonts w:hint="default" w:ascii="Times New Roman" w:hAnsi="Times New Roman" w:cs="Times New Roman"/>
                <w:color w:val="auto"/>
                <w:sz w:val="24"/>
                <w:szCs w:val="24"/>
                <w:lang w:val="en-US" w:eastAsia="zh-CN"/>
              </w:rPr>
              <w:t>95%，原材料使用量为300</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en-US" w:eastAsia="zh-CN"/>
              </w:rPr>
              <w:t>t/a，则下脚料产生量为150</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t/a。根据《一般固体废物分类与代码》（GB/T39198-2020），下脚料</w:t>
            </w:r>
            <w:r>
              <w:rPr>
                <w:rFonts w:hint="default" w:ascii="Times New Roman" w:hAnsi="Times New Roman" w:cs="Times New Roman"/>
                <w:color w:val="auto"/>
                <w:sz w:val="24"/>
                <w:szCs w:val="24"/>
              </w:rPr>
              <w:t>废物代码为900-999-99。</w:t>
            </w:r>
            <w:r>
              <w:rPr>
                <w:rFonts w:hint="default" w:ascii="Times New Roman" w:hAnsi="Times New Roman" w:cs="Times New Roman"/>
                <w:color w:val="auto"/>
                <w:sz w:val="24"/>
                <w:szCs w:val="24"/>
                <w:lang w:val="en-US" w:eastAsia="zh-CN"/>
              </w:rPr>
              <w:t>此部分下脚料</w:t>
            </w:r>
            <w:r>
              <w:rPr>
                <w:rFonts w:hint="default" w:ascii="Times New Roman" w:hAnsi="Times New Roman" w:cs="Times New Roman"/>
                <w:color w:val="auto"/>
                <w:sz w:val="24"/>
                <w:szCs w:val="24"/>
              </w:rPr>
              <w:t>集中收集后出售给物资回收部门。</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②</w:t>
            </w:r>
            <w:r>
              <w:rPr>
                <w:rFonts w:hint="default" w:ascii="Times New Roman" w:hAnsi="Times New Roman" w:cs="Times New Roman"/>
                <w:color w:val="auto"/>
                <w:sz w:val="24"/>
                <w:szCs w:val="24"/>
                <w:lang w:eastAsia="zh-CN"/>
              </w:rPr>
              <w:t>焊渣</w:t>
            </w:r>
          </w:p>
          <w:p>
            <w:pPr>
              <w:pStyle w:val="47"/>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焊接时产生焊渣，根据机加工行业一般统计资料，焊渣是在焊接过程中，焊丝夹持部分使用后和清理焊缝后产生的废弃物，根据《机加工行业环境影响评价中常见污染物源强估算及污染治理》（湖北大学学报第32</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42</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卷第3期）</w:t>
            </w:r>
            <w:r>
              <w:rPr>
                <w:rFonts w:hint="eastAsia" w:ascii="宋体" w:hAnsi="宋体" w:eastAsia="宋体" w:cs="宋体"/>
                <w:color w:val="auto"/>
                <w:sz w:val="24"/>
                <w:szCs w:val="24"/>
              </w:rPr>
              <w:t>“</w:t>
            </w:r>
            <w:r>
              <w:rPr>
                <w:rFonts w:hint="default" w:ascii="Times New Roman" w:hAnsi="Times New Roman" w:cs="Times New Roman"/>
                <w:color w:val="auto"/>
                <w:sz w:val="24"/>
                <w:szCs w:val="24"/>
              </w:rPr>
              <w:t>2.4固体废</w:t>
            </w:r>
            <w:r>
              <w:rPr>
                <w:rFonts w:hint="eastAsia" w:ascii="宋体" w:hAnsi="宋体" w:eastAsia="宋体" w:cs="宋体"/>
                <w:color w:val="auto"/>
                <w:sz w:val="24"/>
                <w:szCs w:val="24"/>
              </w:rPr>
              <w:t>物估算及处理措施”中</w:t>
            </w:r>
            <w:r>
              <w:rPr>
                <w:rFonts w:hint="default" w:ascii="Times New Roman" w:hAnsi="Times New Roman" w:cs="Times New Roman"/>
                <w:color w:val="auto"/>
                <w:sz w:val="24"/>
                <w:szCs w:val="24"/>
              </w:rPr>
              <w:t>焊渣=焊条使用量×（1/11+4%），项目焊丝使用量</w:t>
            </w:r>
            <w:r>
              <w:rPr>
                <w:rFonts w:hint="eastAsia" w:ascii="Times New Roman" w:hAnsi="Times New Roman" w:cs="Times New Roman"/>
                <w:color w:val="auto"/>
                <w:sz w:val="24"/>
                <w:szCs w:val="24"/>
                <w:lang w:val="en-US" w:eastAsia="zh-CN"/>
              </w:rPr>
              <w:t>20.0</w:t>
            </w:r>
            <w:r>
              <w:rPr>
                <w:rFonts w:hint="default" w:ascii="Times New Roman" w:hAnsi="Times New Roman" w:cs="Times New Roman"/>
                <w:color w:val="auto"/>
                <w:sz w:val="24"/>
                <w:szCs w:val="24"/>
              </w:rPr>
              <w:t>t/a，焊渣产生量约为</w:t>
            </w:r>
            <w:r>
              <w:rPr>
                <w:rFonts w:hint="eastAsia"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t/a。焊渣</w:t>
            </w:r>
            <w:r>
              <w:rPr>
                <w:rFonts w:hint="default" w:ascii="Times New Roman" w:hAnsi="Times New Roman" w:cs="Times New Roman"/>
                <w:color w:val="auto"/>
                <w:sz w:val="24"/>
                <w:szCs w:val="24"/>
                <w:lang w:eastAsia="zh-CN"/>
              </w:rPr>
              <w:t>集中收集后定期外售</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根据《一般固体废物分类与代码》（GB/T39198-2020），焊渣</w:t>
            </w:r>
            <w:r>
              <w:rPr>
                <w:rFonts w:hint="default" w:ascii="Times New Roman" w:hAnsi="Times New Roman" w:cs="Times New Roman"/>
                <w:color w:val="auto"/>
                <w:sz w:val="24"/>
                <w:szCs w:val="24"/>
              </w:rPr>
              <w:t>废物代码为900-999-99。</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③</w:t>
            </w:r>
            <w:r>
              <w:rPr>
                <w:rFonts w:hint="default" w:ascii="Times New Roman" w:hAnsi="Times New Roman" w:cs="Times New Roman"/>
                <w:color w:val="auto"/>
                <w:sz w:val="24"/>
                <w:szCs w:val="24"/>
                <w:lang w:eastAsia="zh-CN"/>
              </w:rPr>
              <w:t>除尘器收集的颗粒物</w:t>
            </w:r>
          </w:p>
          <w:p>
            <w:pPr>
              <w:pStyle w:val="47"/>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本项目</w:t>
            </w:r>
            <w:r>
              <w:rPr>
                <w:rFonts w:hint="eastAsia" w:ascii="Times New Roman" w:hAnsi="Times New Roman" w:cs="Times New Roman"/>
                <w:color w:val="auto"/>
                <w:sz w:val="24"/>
                <w:szCs w:val="24"/>
                <w:lang w:eastAsia="zh-CN"/>
              </w:rPr>
              <w:t>抛丸、</w:t>
            </w:r>
            <w:r>
              <w:rPr>
                <w:rFonts w:hint="eastAsia" w:ascii="Times New Roman" w:hAnsi="Times New Roman" w:cs="Times New Roman"/>
                <w:color w:val="auto"/>
                <w:sz w:val="24"/>
                <w:szCs w:val="24"/>
                <w:lang w:val="en-US" w:eastAsia="zh-CN"/>
              </w:rPr>
              <w:t>激光切割</w:t>
            </w:r>
            <w:r>
              <w:rPr>
                <w:rFonts w:hint="default" w:ascii="Times New Roman" w:hAnsi="Times New Roman" w:cs="Times New Roman"/>
                <w:color w:val="auto"/>
                <w:sz w:val="24"/>
                <w:szCs w:val="24"/>
                <w:lang w:eastAsia="zh-CN"/>
              </w:rPr>
              <w:t>及焊接工序产生颗粒物，根据除尘器配套的集气系统收集效率及处理效率，则除尘器收集的颗粒物量为</w:t>
            </w:r>
            <w:r>
              <w:rPr>
                <w:rFonts w:hint="eastAsia" w:ascii="Times New Roman" w:hAnsi="Times New Roman" w:cs="Times New Roman"/>
                <w:color w:val="auto"/>
                <w:sz w:val="24"/>
                <w:szCs w:val="24"/>
                <w:lang w:val="en-US" w:eastAsia="zh-CN"/>
              </w:rPr>
              <w:t>8.99479</w:t>
            </w:r>
            <w:r>
              <w:rPr>
                <w:rFonts w:hint="default" w:ascii="Times New Roman" w:hAnsi="Times New Roman" w:cs="Times New Roman"/>
                <w:color w:val="auto"/>
                <w:sz w:val="24"/>
                <w:szCs w:val="24"/>
                <w:lang w:val="en-US" w:eastAsia="zh-CN"/>
              </w:rPr>
              <w:t>t/a。根据《一般固体废物分类与代码》（GB/T39198-2020），</w:t>
            </w:r>
            <w:r>
              <w:rPr>
                <w:rFonts w:hint="default" w:ascii="Times New Roman" w:hAnsi="Times New Roman" w:cs="Times New Roman"/>
                <w:color w:val="auto"/>
                <w:sz w:val="24"/>
                <w:szCs w:val="24"/>
                <w:lang w:eastAsia="zh-CN"/>
              </w:rPr>
              <w:t>除尘器收集的颗粒物</w:t>
            </w:r>
            <w:r>
              <w:rPr>
                <w:rFonts w:hint="default" w:ascii="Times New Roman" w:hAnsi="Times New Roman" w:cs="Times New Roman"/>
                <w:color w:val="auto"/>
                <w:sz w:val="24"/>
                <w:szCs w:val="24"/>
                <w:lang w:val="en-US" w:eastAsia="zh-CN"/>
              </w:rPr>
              <w:t>废物代码为900-999-66。此部分</w:t>
            </w:r>
            <w:r>
              <w:rPr>
                <w:rFonts w:hint="default" w:ascii="Times New Roman" w:hAnsi="Times New Roman" w:cs="Times New Roman"/>
                <w:color w:val="auto"/>
                <w:sz w:val="24"/>
                <w:szCs w:val="24"/>
                <w:lang w:eastAsia="zh-CN"/>
              </w:rPr>
              <w:t>除尘器收集的颗粒物</w:t>
            </w:r>
            <w:r>
              <w:rPr>
                <w:rFonts w:hint="default" w:ascii="Times New Roman" w:hAnsi="Times New Roman" w:cs="Times New Roman"/>
                <w:color w:val="auto"/>
                <w:sz w:val="24"/>
                <w:szCs w:val="24"/>
              </w:rPr>
              <w:t>集中收集后出售给物资回收部门。</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lang w:eastAsia="zh-CN"/>
              </w:rPr>
              <w:t>除尘器收集的塑粉</w:t>
            </w:r>
          </w:p>
          <w:p>
            <w:pPr>
              <w:pStyle w:val="47"/>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本项目喷塑工序产生颗粒物，根据袋式除尘器配套的集气系统收集效率及处理效率，则袋式除尘器收集的颗粒物量为</w:t>
            </w:r>
            <w:r>
              <w:rPr>
                <w:rFonts w:hint="eastAsia" w:ascii="Times New Roman" w:hAnsi="Times New Roman" w:cs="Times New Roman"/>
                <w:color w:val="auto"/>
                <w:sz w:val="24"/>
                <w:szCs w:val="24"/>
                <w:lang w:val="en-US" w:eastAsia="zh-CN"/>
              </w:rPr>
              <w:t>6.5892</w:t>
            </w:r>
            <w:r>
              <w:rPr>
                <w:rFonts w:hint="default" w:ascii="Times New Roman" w:hAnsi="Times New Roman" w:cs="Times New Roman"/>
                <w:color w:val="auto"/>
                <w:sz w:val="24"/>
                <w:szCs w:val="24"/>
                <w:lang w:val="en-US" w:eastAsia="zh-CN"/>
              </w:rPr>
              <w:t>t/a，此部分袋式除尘器收集的塑粉集中收集后作为原材料继续使用。</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⑤</w:t>
            </w:r>
            <w:r>
              <w:rPr>
                <w:rFonts w:hint="default" w:ascii="Times New Roman" w:hAnsi="Times New Roman" w:cs="Times New Roman"/>
                <w:color w:val="auto"/>
                <w:sz w:val="24"/>
                <w:szCs w:val="24"/>
                <w:lang w:eastAsia="zh-CN"/>
              </w:rPr>
              <w:t>废</w:t>
            </w:r>
            <w:r>
              <w:rPr>
                <w:rFonts w:hint="eastAsia" w:ascii="Times New Roman" w:hAnsi="Times New Roman" w:cs="Times New Roman"/>
                <w:color w:val="auto"/>
                <w:sz w:val="24"/>
                <w:szCs w:val="24"/>
                <w:lang w:val="en-US" w:eastAsia="zh-CN"/>
              </w:rPr>
              <w:t>抛丸渣</w:t>
            </w:r>
          </w:p>
          <w:p>
            <w:pPr>
              <w:pStyle w:val="47"/>
              <w:ind w:firstLine="48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抛丸</w:t>
            </w:r>
            <w:r>
              <w:rPr>
                <w:rFonts w:hint="default" w:ascii="Times New Roman" w:hAnsi="Times New Roman" w:cs="Times New Roman"/>
                <w:color w:val="auto"/>
                <w:sz w:val="24"/>
                <w:szCs w:val="24"/>
                <w:lang w:eastAsia="zh-CN"/>
              </w:rPr>
              <w:t>工序使用</w:t>
            </w:r>
            <w:r>
              <w:rPr>
                <w:rFonts w:hint="eastAsia" w:ascii="Times New Roman" w:hAnsi="Times New Roman" w:cs="Times New Roman"/>
                <w:color w:val="auto"/>
                <w:sz w:val="24"/>
                <w:szCs w:val="24"/>
                <w:lang w:eastAsia="zh-CN"/>
              </w:rPr>
              <w:t>金属丸</w:t>
            </w:r>
            <w:r>
              <w:rPr>
                <w:rFonts w:hint="default" w:ascii="Times New Roman" w:hAnsi="Times New Roman" w:cs="Times New Roman"/>
                <w:color w:val="auto"/>
                <w:sz w:val="24"/>
                <w:szCs w:val="24"/>
                <w:lang w:eastAsia="zh-CN"/>
              </w:rPr>
              <w:t>，此工序会产生废</w:t>
            </w:r>
            <w:r>
              <w:rPr>
                <w:rFonts w:hint="eastAsia" w:ascii="Times New Roman" w:hAnsi="Times New Roman" w:cs="Times New Roman"/>
                <w:color w:val="auto"/>
                <w:sz w:val="24"/>
                <w:szCs w:val="24"/>
                <w:lang w:val="en-US" w:eastAsia="zh-CN"/>
              </w:rPr>
              <w:t>抛丸渣</w:t>
            </w:r>
            <w:r>
              <w:rPr>
                <w:rFonts w:hint="default" w:ascii="Times New Roman" w:hAnsi="Times New Roman" w:cs="Times New Roman"/>
                <w:color w:val="auto"/>
                <w:sz w:val="24"/>
                <w:szCs w:val="24"/>
                <w:lang w:eastAsia="zh-CN"/>
              </w:rPr>
              <w:t>。根据建设单位提供的资料，废</w:t>
            </w:r>
            <w:r>
              <w:rPr>
                <w:rFonts w:hint="eastAsia" w:ascii="Times New Roman" w:hAnsi="Times New Roman" w:cs="Times New Roman"/>
                <w:color w:val="auto"/>
                <w:sz w:val="24"/>
                <w:szCs w:val="24"/>
                <w:lang w:val="en-US" w:eastAsia="zh-CN"/>
              </w:rPr>
              <w:t>抛丸渣</w:t>
            </w:r>
            <w:r>
              <w:rPr>
                <w:rFonts w:hint="default" w:ascii="Times New Roman" w:hAnsi="Times New Roman" w:cs="Times New Roman"/>
                <w:color w:val="auto"/>
                <w:sz w:val="24"/>
                <w:szCs w:val="24"/>
                <w:lang w:val="en-US" w:eastAsia="zh-CN"/>
              </w:rPr>
              <w:t>产生量为</w:t>
            </w:r>
            <w:r>
              <w:rPr>
                <w:rFonts w:hint="eastAsia" w:ascii="Times New Roman" w:hAnsi="Times New Roman" w:cs="Times New Roman"/>
                <w:color w:val="auto"/>
                <w:sz w:val="24"/>
                <w:szCs w:val="24"/>
                <w:lang w:val="en-US" w:eastAsia="zh-CN"/>
              </w:rPr>
              <w:t>0.5</w:t>
            </w:r>
            <w:r>
              <w:rPr>
                <w:rFonts w:hint="default" w:ascii="Times New Roman" w:hAnsi="Times New Roman" w:cs="Times New Roman"/>
                <w:color w:val="auto"/>
                <w:sz w:val="24"/>
                <w:szCs w:val="24"/>
                <w:lang w:val="en-US" w:eastAsia="zh-CN"/>
              </w:rPr>
              <w:t>t/a。根据《一般固体废物分类与代码》（GB/T39198-2020），</w:t>
            </w:r>
            <w:r>
              <w:rPr>
                <w:rFonts w:hint="default" w:ascii="Times New Roman" w:hAnsi="Times New Roman" w:cs="Times New Roman"/>
                <w:color w:val="auto"/>
                <w:sz w:val="24"/>
                <w:szCs w:val="24"/>
                <w:lang w:eastAsia="zh-CN"/>
              </w:rPr>
              <w:t>废石英砂</w:t>
            </w:r>
            <w:r>
              <w:rPr>
                <w:rFonts w:hint="default" w:ascii="Times New Roman" w:hAnsi="Times New Roman" w:cs="Times New Roman"/>
                <w:color w:val="auto"/>
                <w:sz w:val="24"/>
                <w:szCs w:val="24"/>
                <w:lang w:val="en-US" w:eastAsia="zh-CN"/>
              </w:rPr>
              <w:t>废物代码为900-999-99。此部分</w:t>
            </w:r>
            <w:r>
              <w:rPr>
                <w:rFonts w:hint="default" w:ascii="Times New Roman" w:hAnsi="Times New Roman" w:cs="Times New Roman"/>
                <w:color w:val="auto"/>
                <w:sz w:val="24"/>
                <w:szCs w:val="24"/>
                <w:lang w:eastAsia="zh-CN"/>
              </w:rPr>
              <w:t>废</w:t>
            </w:r>
            <w:r>
              <w:rPr>
                <w:rFonts w:hint="eastAsia" w:ascii="Times New Roman" w:hAnsi="Times New Roman" w:cs="Times New Roman"/>
                <w:color w:val="auto"/>
                <w:sz w:val="24"/>
                <w:szCs w:val="24"/>
                <w:lang w:val="en-US" w:eastAsia="zh-CN"/>
              </w:rPr>
              <w:t>抛丸渣</w:t>
            </w:r>
            <w:r>
              <w:rPr>
                <w:rFonts w:hint="default" w:ascii="Times New Roman" w:hAnsi="Times New Roman" w:cs="Times New Roman"/>
                <w:color w:val="auto"/>
                <w:sz w:val="24"/>
                <w:szCs w:val="24"/>
              </w:rPr>
              <w:t>集中收集后出售给物资回收部门。</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⑥边脚料</w:t>
            </w:r>
          </w:p>
          <w:p>
            <w:pPr>
              <w:pStyle w:val="47"/>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皮带输送清扫器修边</w:t>
            </w:r>
            <w:r>
              <w:rPr>
                <w:rFonts w:hint="eastAsia" w:ascii="Times New Roman" w:hAnsi="Times New Roman" w:cs="Times New Roman"/>
                <w:color w:val="auto"/>
                <w:sz w:val="24"/>
                <w:szCs w:val="24"/>
                <w:lang w:val="en-US" w:eastAsia="zh-CN"/>
              </w:rPr>
              <w:t>及剪毛</w:t>
            </w:r>
            <w:r>
              <w:rPr>
                <w:rFonts w:hint="default" w:ascii="Times New Roman" w:hAnsi="Times New Roman" w:cs="Times New Roman"/>
                <w:color w:val="auto"/>
                <w:sz w:val="24"/>
                <w:szCs w:val="24"/>
                <w:lang w:val="en-US" w:eastAsia="zh-CN"/>
              </w:rPr>
              <w:t>工序</w:t>
            </w:r>
            <w:r>
              <w:rPr>
                <w:rFonts w:hint="default" w:ascii="Times New Roman" w:hAnsi="Times New Roman" w:cs="Times New Roman"/>
                <w:color w:val="auto"/>
                <w:sz w:val="24"/>
                <w:szCs w:val="24"/>
              </w:rPr>
              <w:t>会产生一定量的</w:t>
            </w:r>
            <w:r>
              <w:rPr>
                <w:rFonts w:hint="eastAsia" w:ascii="Times New Roman" w:hAnsi="Times New Roman" w:cs="Times New Roman"/>
                <w:color w:val="auto"/>
                <w:sz w:val="24"/>
                <w:szCs w:val="24"/>
                <w:lang w:eastAsia="zh-CN"/>
              </w:rPr>
              <w:t>边角料</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根据建设单位提供的资料，边角</w:t>
            </w:r>
            <w:r>
              <w:rPr>
                <w:rFonts w:hint="default" w:ascii="Times New Roman" w:hAnsi="Times New Roman" w:cs="Times New Roman"/>
                <w:color w:val="auto"/>
                <w:sz w:val="24"/>
                <w:szCs w:val="24"/>
                <w:lang w:val="en-US" w:eastAsia="zh-CN"/>
              </w:rPr>
              <w:t>料产生量为0.2t/a。根据《一般固体废物分类与代码》（GB/T39198-2020），</w:t>
            </w:r>
            <w:r>
              <w:rPr>
                <w:rFonts w:hint="default" w:ascii="Times New Roman" w:hAnsi="Times New Roman" w:cs="Times New Roman"/>
                <w:color w:val="auto"/>
                <w:sz w:val="24"/>
                <w:szCs w:val="24"/>
                <w:lang w:eastAsia="zh-CN"/>
              </w:rPr>
              <w:t>边角</w:t>
            </w:r>
            <w:r>
              <w:rPr>
                <w:rFonts w:hint="default" w:ascii="Times New Roman" w:hAnsi="Times New Roman" w:cs="Times New Roman"/>
                <w:color w:val="auto"/>
                <w:sz w:val="24"/>
                <w:szCs w:val="24"/>
                <w:lang w:val="en-US" w:eastAsia="zh-CN"/>
              </w:rPr>
              <w:t>料</w:t>
            </w:r>
            <w:r>
              <w:rPr>
                <w:rFonts w:hint="default" w:ascii="Times New Roman" w:hAnsi="Times New Roman" w:cs="Times New Roman"/>
                <w:color w:val="auto"/>
                <w:sz w:val="24"/>
                <w:szCs w:val="24"/>
              </w:rPr>
              <w:t>废物代码为900-999-99。</w:t>
            </w:r>
            <w:r>
              <w:rPr>
                <w:rFonts w:hint="default" w:ascii="Times New Roman" w:hAnsi="Times New Roman" w:cs="Times New Roman"/>
                <w:color w:val="auto"/>
                <w:sz w:val="24"/>
                <w:szCs w:val="24"/>
                <w:lang w:val="en-US" w:eastAsia="zh-CN"/>
              </w:rPr>
              <w:t>此部分</w:t>
            </w:r>
            <w:r>
              <w:rPr>
                <w:rFonts w:hint="eastAsia" w:ascii="Times New Roman" w:hAnsi="Times New Roman" w:cs="Times New Roman"/>
                <w:color w:val="auto"/>
                <w:sz w:val="24"/>
                <w:szCs w:val="24"/>
                <w:lang w:val="en-US" w:eastAsia="zh-CN"/>
              </w:rPr>
              <w:t>边角料</w:t>
            </w:r>
            <w:r>
              <w:rPr>
                <w:rFonts w:hint="default" w:ascii="Times New Roman" w:hAnsi="Times New Roman" w:cs="Times New Roman"/>
                <w:color w:val="auto"/>
                <w:sz w:val="24"/>
                <w:szCs w:val="24"/>
              </w:rPr>
              <w:t>集中收集后出售给物资回收部门。</w:t>
            </w:r>
          </w:p>
          <w:p>
            <w:pPr>
              <w:pStyle w:val="47"/>
              <w:ind w:firstLine="480"/>
              <w:rPr>
                <w:rFonts w:hint="eastAsia" w:ascii="Times New Roman" w:hAnsi="Times New Roman" w:cs="Times New Roman" w:eastAsiaTheme="minorEastAsia"/>
                <w:color w:val="auto"/>
                <w:szCs w:val="24"/>
                <w:lang w:eastAsia="zh-CN"/>
              </w:rPr>
            </w:pPr>
            <w:r>
              <w:rPr>
                <w:rFonts w:hint="eastAsia" w:ascii="Times New Roman" w:hAnsi="Times New Roman" w:cs="Times New Roman"/>
                <w:color w:val="auto"/>
                <w:szCs w:val="24"/>
              </w:rPr>
              <w:t>⑦废包装</w:t>
            </w:r>
            <w:r>
              <w:rPr>
                <w:rFonts w:hint="eastAsia" w:ascii="Times New Roman" w:hAnsi="Times New Roman" w:cs="Times New Roman"/>
                <w:color w:val="auto"/>
                <w:szCs w:val="24"/>
                <w:lang w:eastAsia="zh-CN"/>
              </w:rPr>
              <w:t>箱</w:t>
            </w:r>
          </w:p>
          <w:p>
            <w:pPr>
              <w:pStyle w:val="47"/>
              <w:ind w:firstLine="480"/>
              <w:rPr>
                <w:rFonts w:hint="default" w:ascii="Times New Roman" w:hAnsi="Times New Roman" w:cs="Times New Roman"/>
                <w:color w:val="auto"/>
                <w:sz w:val="24"/>
                <w:szCs w:val="24"/>
                <w:lang w:val="en-US" w:eastAsia="zh-CN"/>
              </w:rPr>
            </w:pPr>
            <w:r>
              <w:rPr>
                <w:rFonts w:hint="eastAsia" w:ascii="Times New Roman" w:hAnsi="Times New Roman" w:eastAsia="宋体" w:cs="Times New Roman"/>
                <w:bCs/>
                <w:color w:val="auto"/>
                <w:szCs w:val="24"/>
              </w:rPr>
              <w:t>本项目</w:t>
            </w:r>
            <w:r>
              <w:rPr>
                <w:rFonts w:hint="eastAsia" w:ascii="Times New Roman" w:hAnsi="Times New Roman" w:eastAsia="宋体" w:cs="Times New Roman"/>
                <w:bCs/>
                <w:color w:val="auto"/>
                <w:szCs w:val="24"/>
                <w:lang w:eastAsia="zh-CN"/>
              </w:rPr>
              <w:t>塑粉及焊丝</w:t>
            </w:r>
            <w:r>
              <w:rPr>
                <w:rFonts w:hint="eastAsia" w:ascii="Times New Roman" w:hAnsi="Times New Roman" w:eastAsia="宋体" w:cs="Times New Roman"/>
                <w:bCs/>
                <w:color w:val="auto"/>
                <w:szCs w:val="24"/>
              </w:rPr>
              <w:t>使用</w:t>
            </w:r>
            <w:r>
              <w:rPr>
                <w:rFonts w:hint="eastAsia" w:ascii="Times New Roman" w:hAnsi="Times New Roman" w:eastAsia="宋体" w:cs="Times New Roman"/>
                <w:bCs/>
                <w:color w:val="auto"/>
                <w:szCs w:val="24"/>
                <w:lang w:eastAsia="zh-CN"/>
              </w:rPr>
              <w:t>纸质包装箱包装</w:t>
            </w:r>
            <w:r>
              <w:rPr>
                <w:rFonts w:hint="eastAsia" w:ascii="Times New Roman" w:hAnsi="Times New Roman" w:eastAsia="宋体" w:cs="Times New Roman"/>
                <w:bCs/>
                <w:color w:val="auto"/>
                <w:szCs w:val="24"/>
              </w:rPr>
              <w:t>，使用过后会产生</w:t>
            </w:r>
            <w:r>
              <w:rPr>
                <w:rFonts w:hint="eastAsia" w:ascii="Times New Roman" w:hAnsi="Times New Roman" w:cs="Times New Roman"/>
                <w:color w:val="auto"/>
                <w:szCs w:val="24"/>
              </w:rPr>
              <w:t>废包装</w:t>
            </w:r>
            <w:r>
              <w:rPr>
                <w:rFonts w:hint="eastAsia" w:ascii="Times New Roman" w:hAnsi="Times New Roman" w:cs="Times New Roman"/>
                <w:color w:val="auto"/>
                <w:szCs w:val="24"/>
                <w:lang w:eastAsia="zh-CN"/>
              </w:rPr>
              <w:t>箱</w:t>
            </w:r>
            <w:r>
              <w:rPr>
                <w:rFonts w:hint="eastAsia" w:ascii="Times New Roman" w:hAnsi="Times New Roman" w:eastAsia="宋体" w:cs="Times New Roman"/>
                <w:bCs/>
                <w:color w:val="auto"/>
                <w:szCs w:val="24"/>
              </w:rPr>
              <w:t>，</w:t>
            </w:r>
            <w:r>
              <w:rPr>
                <w:rFonts w:hint="eastAsia" w:ascii="Times New Roman" w:hAnsi="Times New Roman" w:cs="Times New Roman"/>
                <w:color w:val="auto"/>
                <w:szCs w:val="24"/>
              </w:rPr>
              <w:t>预计废包装</w:t>
            </w:r>
            <w:r>
              <w:rPr>
                <w:rFonts w:hint="eastAsia" w:ascii="Times New Roman" w:hAnsi="Times New Roman" w:cs="Times New Roman"/>
                <w:color w:val="auto"/>
                <w:szCs w:val="24"/>
                <w:lang w:eastAsia="zh-CN"/>
              </w:rPr>
              <w:t>箱</w:t>
            </w:r>
            <w:r>
              <w:rPr>
                <w:rFonts w:hint="eastAsia" w:ascii="Times New Roman" w:hAnsi="Times New Roman" w:cs="Times New Roman"/>
                <w:color w:val="auto"/>
                <w:szCs w:val="24"/>
              </w:rPr>
              <w:t>产生</w:t>
            </w:r>
            <w:r>
              <w:rPr>
                <w:rFonts w:ascii="Times New Roman" w:hAnsi="Times New Roman" w:cs="Times New Roman"/>
                <w:bCs/>
                <w:color w:val="auto"/>
                <w:szCs w:val="24"/>
              </w:rPr>
              <w:t>总量为</w:t>
            </w:r>
            <w:r>
              <w:rPr>
                <w:rFonts w:hint="eastAsia" w:ascii="Times New Roman" w:hAnsi="Times New Roman" w:cs="Times New Roman"/>
                <w:bCs/>
                <w:color w:val="auto"/>
                <w:szCs w:val="24"/>
                <w:lang w:val="en-US" w:eastAsia="zh-CN"/>
              </w:rPr>
              <w:t>0.2</w:t>
            </w:r>
            <w:r>
              <w:rPr>
                <w:rFonts w:ascii="Times New Roman" w:hAnsi="Times New Roman" w:cs="Times New Roman"/>
                <w:bCs/>
                <w:color w:val="auto"/>
                <w:szCs w:val="24"/>
              </w:rPr>
              <w:t>t/a</w:t>
            </w:r>
            <w:r>
              <w:rPr>
                <w:rFonts w:hint="eastAsia" w:ascii="Times New Roman" w:hAnsi="Times New Roman" w:cs="Times New Roman"/>
                <w:color w:val="auto"/>
                <w:szCs w:val="24"/>
              </w:rPr>
              <w:t>。此部分废包装</w:t>
            </w:r>
            <w:r>
              <w:rPr>
                <w:rFonts w:hint="eastAsia" w:ascii="Times New Roman" w:hAnsi="Times New Roman" w:cs="Times New Roman"/>
                <w:color w:val="auto"/>
                <w:szCs w:val="24"/>
                <w:lang w:eastAsia="zh-CN"/>
              </w:rPr>
              <w:t>箱</w:t>
            </w:r>
            <w:r>
              <w:rPr>
                <w:rFonts w:hint="eastAsia" w:ascii="Times New Roman" w:hAnsi="Times New Roman" w:cs="Times New Roman"/>
                <w:color w:val="auto"/>
                <w:szCs w:val="24"/>
              </w:rPr>
              <w:t>集中</w:t>
            </w:r>
            <w:r>
              <w:rPr>
                <w:rFonts w:ascii="Times New Roman" w:hAnsi="Times New Roman" w:cs="Times New Roman"/>
                <w:color w:val="auto"/>
                <w:szCs w:val="24"/>
              </w:rPr>
              <w:t>收集后出售给物资回收部门。</w:t>
            </w:r>
            <w:r>
              <w:rPr>
                <w:rFonts w:hint="default" w:ascii="Times New Roman" w:hAnsi="Times New Roman" w:cs="Times New Roman"/>
                <w:color w:val="auto"/>
                <w:sz w:val="24"/>
                <w:szCs w:val="24"/>
                <w:lang w:val="en-US" w:eastAsia="zh-CN"/>
              </w:rPr>
              <w:t>根据《一般固体废物分类与代码》（GB/T39198-2020），</w:t>
            </w:r>
            <w:r>
              <w:rPr>
                <w:rFonts w:hint="eastAsia" w:ascii="Times New Roman" w:hAnsi="Times New Roman" w:cs="Times New Roman"/>
                <w:color w:val="auto"/>
                <w:szCs w:val="24"/>
              </w:rPr>
              <w:t>废包装</w:t>
            </w:r>
            <w:r>
              <w:rPr>
                <w:rFonts w:hint="eastAsia" w:ascii="Times New Roman" w:hAnsi="Times New Roman" w:cs="Times New Roman"/>
                <w:color w:val="auto"/>
                <w:szCs w:val="24"/>
                <w:lang w:eastAsia="zh-CN"/>
              </w:rPr>
              <w:t>箱</w:t>
            </w:r>
            <w:r>
              <w:rPr>
                <w:rFonts w:hint="default" w:ascii="Times New Roman" w:hAnsi="Times New Roman" w:cs="Times New Roman"/>
                <w:color w:val="auto"/>
                <w:sz w:val="24"/>
                <w:szCs w:val="24"/>
                <w:lang w:val="en-US" w:eastAsia="zh-CN"/>
              </w:rPr>
              <w:t>废物代码为900-999-99。</w:t>
            </w:r>
          </w:p>
          <w:p>
            <w:pPr>
              <w:pStyle w:val="47"/>
              <w:ind w:firstLine="480"/>
              <w:rPr>
                <w:rFonts w:hint="eastAsia" w:ascii="Times New Roman" w:hAnsi="Times New Roman" w:cs="Times New Roman" w:eastAsiaTheme="minorEastAsia"/>
                <w:color w:val="auto"/>
                <w:szCs w:val="24"/>
                <w:lang w:eastAsia="zh-CN"/>
              </w:rPr>
            </w:pPr>
            <w:r>
              <w:rPr>
                <w:rFonts w:hint="eastAsia" w:ascii="Times New Roman" w:hAnsi="Times New Roman" w:cs="Times New Roman"/>
                <w:color w:val="auto"/>
                <w:szCs w:val="24"/>
              </w:rPr>
              <w:t>⑧废包装</w:t>
            </w:r>
            <w:r>
              <w:rPr>
                <w:rFonts w:hint="eastAsia" w:ascii="Times New Roman" w:hAnsi="Times New Roman" w:cs="Times New Roman"/>
                <w:color w:val="auto"/>
                <w:szCs w:val="24"/>
                <w:lang w:eastAsia="zh-CN"/>
              </w:rPr>
              <w:t>袋</w:t>
            </w:r>
          </w:p>
          <w:p>
            <w:pPr>
              <w:pStyle w:val="47"/>
              <w:ind w:firstLine="480"/>
              <w:rPr>
                <w:rFonts w:hint="default" w:ascii="Times New Roman" w:hAnsi="Times New Roman" w:cs="Times New Roman"/>
                <w:color w:val="auto"/>
                <w:sz w:val="24"/>
                <w:szCs w:val="24"/>
                <w:lang w:val="en-US" w:eastAsia="zh-CN"/>
              </w:rPr>
            </w:pPr>
            <w:r>
              <w:rPr>
                <w:rFonts w:hint="eastAsia" w:ascii="Times New Roman" w:hAnsi="Times New Roman" w:eastAsia="宋体" w:cs="Times New Roman"/>
                <w:bCs/>
                <w:color w:val="auto"/>
                <w:szCs w:val="24"/>
              </w:rPr>
              <w:t>本项目</w:t>
            </w:r>
            <w:r>
              <w:rPr>
                <w:rFonts w:hint="eastAsia" w:ascii="Times New Roman" w:hAnsi="Times New Roman" w:eastAsia="宋体" w:cs="Times New Roman"/>
                <w:bCs/>
                <w:color w:val="auto"/>
                <w:szCs w:val="24"/>
                <w:lang w:eastAsia="zh-CN"/>
              </w:rPr>
              <w:t>金属丸及聚丙烯颗粒</w:t>
            </w:r>
            <w:r>
              <w:rPr>
                <w:rFonts w:hint="eastAsia" w:ascii="Times New Roman" w:hAnsi="Times New Roman" w:eastAsia="宋体" w:cs="Times New Roman"/>
                <w:bCs/>
                <w:color w:val="auto"/>
                <w:szCs w:val="24"/>
              </w:rPr>
              <w:t>使用</w:t>
            </w:r>
            <w:r>
              <w:rPr>
                <w:rFonts w:hint="eastAsia" w:ascii="Times New Roman" w:hAnsi="Times New Roman" w:eastAsia="宋体" w:cs="Times New Roman"/>
                <w:bCs/>
                <w:color w:val="auto"/>
                <w:szCs w:val="24"/>
                <w:lang w:eastAsia="zh-CN"/>
              </w:rPr>
              <w:t>编织袋包装</w:t>
            </w:r>
            <w:r>
              <w:rPr>
                <w:rFonts w:hint="eastAsia" w:ascii="Times New Roman" w:hAnsi="Times New Roman" w:eastAsia="宋体" w:cs="Times New Roman"/>
                <w:bCs/>
                <w:color w:val="auto"/>
                <w:szCs w:val="24"/>
              </w:rPr>
              <w:t>，使用过后会产生</w:t>
            </w:r>
            <w:r>
              <w:rPr>
                <w:rFonts w:hint="eastAsia" w:ascii="Times New Roman" w:hAnsi="Times New Roman" w:cs="Times New Roman"/>
                <w:color w:val="auto"/>
                <w:szCs w:val="24"/>
              </w:rPr>
              <w:t>废包装</w:t>
            </w:r>
            <w:r>
              <w:rPr>
                <w:rFonts w:hint="eastAsia" w:ascii="Times New Roman" w:hAnsi="Times New Roman" w:cs="Times New Roman"/>
                <w:color w:val="auto"/>
                <w:szCs w:val="24"/>
                <w:lang w:eastAsia="zh-CN"/>
              </w:rPr>
              <w:t>袋</w:t>
            </w:r>
            <w:r>
              <w:rPr>
                <w:rFonts w:hint="eastAsia" w:ascii="Times New Roman" w:hAnsi="Times New Roman" w:eastAsia="宋体" w:cs="Times New Roman"/>
                <w:bCs/>
                <w:color w:val="auto"/>
                <w:szCs w:val="24"/>
              </w:rPr>
              <w:t>，</w:t>
            </w:r>
            <w:r>
              <w:rPr>
                <w:rFonts w:hint="eastAsia" w:ascii="Times New Roman" w:hAnsi="Times New Roman" w:cs="Times New Roman"/>
                <w:color w:val="auto"/>
                <w:szCs w:val="24"/>
              </w:rPr>
              <w:t>预计废包装</w:t>
            </w:r>
            <w:r>
              <w:rPr>
                <w:rFonts w:hint="eastAsia" w:ascii="Times New Roman" w:hAnsi="Times New Roman" w:cs="Times New Roman"/>
                <w:color w:val="auto"/>
                <w:szCs w:val="24"/>
                <w:lang w:eastAsia="zh-CN"/>
              </w:rPr>
              <w:t>袋</w:t>
            </w:r>
            <w:r>
              <w:rPr>
                <w:rFonts w:hint="eastAsia" w:ascii="Times New Roman" w:hAnsi="Times New Roman" w:cs="Times New Roman"/>
                <w:color w:val="auto"/>
                <w:szCs w:val="24"/>
              </w:rPr>
              <w:t>产生</w:t>
            </w:r>
            <w:r>
              <w:rPr>
                <w:rFonts w:ascii="Times New Roman" w:hAnsi="Times New Roman" w:cs="Times New Roman"/>
                <w:bCs/>
                <w:color w:val="auto"/>
                <w:szCs w:val="24"/>
              </w:rPr>
              <w:t>总量为</w:t>
            </w:r>
            <w:r>
              <w:rPr>
                <w:rFonts w:hint="eastAsia" w:ascii="Times New Roman" w:hAnsi="Times New Roman" w:cs="Times New Roman"/>
                <w:bCs/>
                <w:color w:val="auto"/>
                <w:szCs w:val="24"/>
                <w:lang w:val="en-US" w:eastAsia="zh-CN"/>
              </w:rPr>
              <w:t>0.01</w:t>
            </w:r>
            <w:r>
              <w:rPr>
                <w:rFonts w:ascii="Times New Roman" w:hAnsi="Times New Roman" w:cs="Times New Roman"/>
                <w:bCs/>
                <w:color w:val="auto"/>
                <w:szCs w:val="24"/>
              </w:rPr>
              <w:t>t/a</w:t>
            </w:r>
            <w:r>
              <w:rPr>
                <w:rFonts w:hint="eastAsia" w:ascii="Times New Roman" w:hAnsi="Times New Roman" w:cs="Times New Roman"/>
                <w:color w:val="auto"/>
                <w:szCs w:val="24"/>
              </w:rPr>
              <w:t>。此部分废包装</w:t>
            </w:r>
            <w:r>
              <w:rPr>
                <w:rFonts w:hint="eastAsia" w:ascii="Times New Roman" w:hAnsi="Times New Roman" w:cs="Times New Roman"/>
                <w:color w:val="auto"/>
                <w:szCs w:val="24"/>
                <w:lang w:eastAsia="zh-CN"/>
              </w:rPr>
              <w:t>袋</w:t>
            </w:r>
            <w:r>
              <w:rPr>
                <w:rFonts w:hint="eastAsia" w:ascii="Times New Roman" w:hAnsi="Times New Roman" w:cs="Times New Roman"/>
                <w:color w:val="auto"/>
                <w:szCs w:val="24"/>
              </w:rPr>
              <w:t>集中</w:t>
            </w:r>
            <w:r>
              <w:rPr>
                <w:rFonts w:ascii="Times New Roman" w:hAnsi="Times New Roman" w:cs="Times New Roman"/>
                <w:color w:val="auto"/>
                <w:szCs w:val="24"/>
              </w:rPr>
              <w:t>收集后出售给物资回收部门。</w:t>
            </w:r>
            <w:r>
              <w:rPr>
                <w:rFonts w:hint="default" w:ascii="Times New Roman" w:hAnsi="Times New Roman" w:cs="Times New Roman"/>
                <w:color w:val="auto"/>
                <w:sz w:val="24"/>
                <w:szCs w:val="24"/>
                <w:lang w:val="en-US" w:eastAsia="zh-CN"/>
              </w:rPr>
              <w:t>根据《一般固体废物分类与代码》（GB/T39198-2020），</w:t>
            </w:r>
            <w:r>
              <w:rPr>
                <w:rFonts w:hint="eastAsia" w:ascii="Times New Roman" w:hAnsi="Times New Roman" w:cs="Times New Roman"/>
                <w:color w:val="auto"/>
                <w:szCs w:val="24"/>
              </w:rPr>
              <w:t>废包装</w:t>
            </w:r>
            <w:r>
              <w:rPr>
                <w:rFonts w:hint="eastAsia" w:ascii="Times New Roman" w:hAnsi="Times New Roman" w:cs="Times New Roman"/>
                <w:color w:val="auto"/>
                <w:szCs w:val="24"/>
                <w:lang w:eastAsia="zh-CN"/>
              </w:rPr>
              <w:t>袋</w:t>
            </w:r>
            <w:r>
              <w:rPr>
                <w:rFonts w:hint="default" w:ascii="Times New Roman" w:hAnsi="Times New Roman" w:cs="Times New Roman"/>
                <w:color w:val="auto"/>
                <w:sz w:val="24"/>
                <w:szCs w:val="24"/>
                <w:lang w:val="en-US" w:eastAsia="zh-CN"/>
              </w:rPr>
              <w:t>废物代码为900-999-99。</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⑨</w:t>
            </w:r>
            <w:r>
              <w:rPr>
                <w:rFonts w:hint="eastAsia" w:ascii="Times New Roman" w:hAnsi="Times New Roman" w:cs="Times New Roman"/>
                <w:color w:val="auto"/>
                <w:sz w:val="24"/>
                <w:szCs w:val="24"/>
                <w:lang w:val="en-US" w:eastAsia="zh-CN"/>
              </w:rPr>
              <w:t>双桶布袋吸尘机</w:t>
            </w:r>
            <w:r>
              <w:rPr>
                <w:rFonts w:hint="default" w:ascii="Times New Roman" w:hAnsi="Times New Roman" w:cs="Times New Roman"/>
                <w:color w:val="auto"/>
                <w:sz w:val="24"/>
                <w:szCs w:val="24"/>
                <w:lang w:eastAsia="zh-CN"/>
              </w:rPr>
              <w:t>收集的</w:t>
            </w:r>
            <w:r>
              <w:rPr>
                <w:rFonts w:hint="eastAsia" w:ascii="Times New Roman" w:hAnsi="Times New Roman" w:cs="Times New Roman"/>
                <w:color w:val="auto"/>
                <w:sz w:val="24"/>
                <w:szCs w:val="24"/>
                <w:lang w:val="en-US" w:eastAsia="zh-CN"/>
              </w:rPr>
              <w:t>颗粒物</w:t>
            </w:r>
          </w:p>
          <w:p>
            <w:pPr>
              <w:pStyle w:val="47"/>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本项目</w:t>
            </w:r>
            <w:r>
              <w:rPr>
                <w:rFonts w:hint="eastAsia" w:ascii="Times New Roman" w:hAnsi="Times New Roman" w:cs="Times New Roman"/>
                <w:color w:val="auto"/>
                <w:sz w:val="24"/>
                <w:szCs w:val="24"/>
                <w:lang w:val="en-US" w:eastAsia="zh-CN"/>
              </w:rPr>
              <w:t>木材下料</w:t>
            </w:r>
            <w:r>
              <w:rPr>
                <w:rFonts w:hint="default" w:ascii="Times New Roman" w:hAnsi="Times New Roman" w:cs="Times New Roman"/>
                <w:color w:val="auto"/>
                <w:sz w:val="24"/>
                <w:szCs w:val="24"/>
                <w:lang w:eastAsia="zh-CN"/>
              </w:rPr>
              <w:t>工序产生颗粒物，根据</w:t>
            </w:r>
            <w:r>
              <w:rPr>
                <w:rFonts w:hint="eastAsia" w:ascii="Times New Roman" w:hAnsi="Times New Roman" w:cs="Times New Roman"/>
                <w:color w:val="auto"/>
                <w:sz w:val="24"/>
                <w:szCs w:val="24"/>
                <w:lang w:val="en-US" w:eastAsia="zh-CN"/>
              </w:rPr>
              <w:t>双桶布袋吸尘机的</w:t>
            </w:r>
            <w:r>
              <w:rPr>
                <w:rFonts w:hint="default" w:ascii="Times New Roman" w:hAnsi="Times New Roman" w:cs="Times New Roman"/>
                <w:color w:val="auto"/>
                <w:sz w:val="24"/>
                <w:szCs w:val="24"/>
                <w:lang w:eastAsia="zh-CN"/>
              </w:rPr>
              <w:t>收集效率，则</w:t>
            </w:r>
            <w:r>
              <w:rPr>
                <w:rFonts w:hint="eastAsia" w:ascii="Times New Roman" w:hAnsi="Times New Roman" w:cs="Times New Roman"/>
                <w:color w:val="auto"/>
                <w:sz w:val="24"/>
                <w:szCs w:val="24"/>
                <w:lang w:val="en-US" w:eastAsia="zh-CN"/>
              </w:rPr>
              <w:t>双桶布袋吸尘机</w:t>
            </w:r>
            <w:r>
              <w:rPr>
                <w:rFonts w:hint="default" w:ascii="Times New Roman" w:hAnsi="Times New Roman" w:cs="Times New Roman"/>
                <w:color w:val="auto"/>
                <w:sz w:val="24"/>
                <w:szCs w:val="24"/>
                <w:lang w:eastAsia="zh-CN"/>
              </w:rPr>
              <w:t>收集的颗粒物量为</w:t>
            </w:r>
            <w:r>
              <w:rPr>
                <w:rFonts w:hint="eastAsia" w:ascii="Times New Roman" w:hAnsi="Times New Roman" w:cs="Times New Roman"/>
                <w:color w:val="auto"/>
                <w:sz w:val="24"/>
                <w:szCs w:val="24"/>
                <w:lang w:val="en-US" w:eastAsia="zh-CN"/>
              </w:rPr>
              <w:t>0.00784</w:t>
            </w:r>
            <w:r>
              <w:rPr>
                <w:rFonts w:hint="default" w:ascii="Times New Roman" w:hAnsi="Times New Roman" w:cs="Times New Roman"/>
                <w:color w:val="auto"/>
                <w:sz w:val="24"/>
                <w:szCs w:val="24"/>
                <w:lang w:val="en-US" w:eastAsia="zh-CN"/>
              </w:rPr>
              <w:t>t/a，此部分袋式除尘器收集的塑粉集中收集后作为原材料继续使用。</w:t>
            </w:r>
            <w:r>
              <w:rPr>
                <w:rFonts w:hint="eastAsia" w:ascii="Times New Roman" w:hAnsi="Times New Roman" w:cs="Times New Roman"/>
                <w:color w:val="auto"/>
                <w:sz w:val="24"/>
                <w:szCs w:val="24"/>
                <w:lang w:val="en-US" w:eastAsia="zh-CN"/>
              </w:rPr>
              <w:t>此部分双桶布袋吸尘机</w:t>
            </w:r>
            <w:r>
              <w:rPr>
                <w:rFonts w:hint="default" w:ascii="Times New Roman" w:hAnsi="Times New Roman" w:cs="Times New Roman"/>
                <w:color w:val="auto"/>
                <w:sz w:val="24"/>
                <w:szCs w:val="24"/>
                <w:lang w:eastAsia="zh-CN"/>
              </w:rPr>
              <w:t>收集的</w:t>
            </w:r>
            <w:r>
              <w:rPr>
                <w:rFonts w:hint="eastAsia" w:ascii="Times New Roman" w:hAnsi="Times New Roman" w:cs="Times New Roman"/>
                <w:color w:val="auto"/>
                <w:sz w:val="24"/>
                <w:szCs w:val="24"/>
                <w:lang w:val="en-US" w:eastAsia="zh-CN"/>
              </w:rPr>
              <w:t>木屑</w:t>
            </w:r>
            <w:r>
              <w:rPr>
                <w:rFonts w:hint="default" w:ascii="Times New Roman" w:hAnsi="Times New Roman" w:cs="Times New Roman"/>
                <w:color w:val="auto"/>
                <w:sz w:val="24"/>
                <w:szCs w:val="24"/>
              </w:rPr>
              <w:t>集中收集后定期交由环卫部门统一清运处置。</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）危险废物</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①废机油</w:t>
            </w:r>
          </w:p>
          <w:p>
            <w:pPr>
              <w:pStyle w:val="47"/>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w:t>
            </w:r>
            <w:r>
              <w:rPr>
                <w:rFonts w:hint="eastAsia" w:ascii="Times New Roman" w:hAnsi="Times New Roman" w:cs="Times New Roman"/>
                <w:color w:val="auto"/>
                <w:sz w:val="24"/>
                <w:szCs w:val="24"/>
                <w:lang w:val="en-US" w:eastAsia="zh-CN"/>
              </w:rPr>
              <w:t>生产设备</w:t>
            </w:r>
            <w:r>
              <w:rPr>
                <w:rFonts w:hint="default" w:ascii="Times New Roman" w:hAnsi="Times New Roman" w:cs="Times New Roman"/>
                <w:color w:val="auto"/>
                <w:sz w:val="24"/>
                <w:szCs w:val="24"/>
                <w:lang w:val="en-US" w:eastAsia="zh-CN"/>
              </w:rPr>
              <w:t>维护时会产生少量废机油，废机油产生量约为0.15t/a。</w:t>
            </w:r>
            <w:r>
              <w:rPr>
                <w:rFonts w:hint="default" w:ascii="Times New Roman" w:hAnsi="Times New Roman" w:cs="Times New Roman"/>
                <w:color w:val="auto"/>
                <w:sz w:val="24"/>
                <w:szCs w:val="24"/>
                <w:lang w:eastAsia="zh-CN"/>
              </w:rPr>
              <w:t>对照</w:t>
            </w:r>
            <w:r>
              <w:rPr>
                <w:rFonts w:hint="default" w:ascii="Times New Roman" w:hAnsi="Times New Roman" w:cs="Times New Roman"/>
                <w:color w:val="auto"/>
                <w:sz w:val="24"/>
                <w:szCs w:val="24"/>
              </w:rPr>
              <w:t>《国家危险废物名录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2021年版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部令第</w:t>
            </w:r>
            <w:r>
              <w:rPr>
                <w:rFonts w:hint="default" w:ascii="Times New Roman" w:hAnsi="Times New Roman" w:cs="Times New Roman"/>
                <w:color w:val="auto"/>
                <w:sz w:val="24"/>
                <w:szCs w:val="24"/>
                <w:lang w:val="en-US" w:eastAsia="zh-CN"/>
              </w:rPr>
              <w:t>15号，2021年01月01日实施</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废机油属于危险废物，废物类别为HW08废矿物油与含废矿物油废物，废物代码为900-2</w:t>
            </w:r>
            <w:r>
              <w:rPr>
                <w:rFonts w:hint="eastAsia" w:ascii="Times New Roman" w:hAnsi="Times New Roman" w:cs="Times New Roman"/>
                <w:color w:val="auto"/>
                <w:sz w:val="24"/>
                <w:szCs w:val="24"/>
                <w:lang w:val="en-US" w:eastAsia="zh-CN"/>
              </w:rPr>
              <w:t>49</w:t>
            </w:r>
            <w:r>
              <w:rPr>
                <w:rFonts w:hint="default" w:ascii="Times New Roman" w:hAnsi="Times New Roman" w:cs="Times New Roman"/>
                <w:color w:val="auto"/>
                <w:sz w:val="24"/>
                <w:szCs w:val="24"/>
                <w:lang w:val="en-US" w:eastAsia="zh-CN"/>
              </w:rPr>
              <w:t>-08。废机油</w:t>
            </w:r>
            <w:r>
              <w:rPr>
                <w:rFonts w:hint="default" w:ascii="Times New Roman" w:hAnsi="Times New Roman" w:cs="Times New Roman"/>
                <w:color w:val="auto"/>
                <w:sz w:val="24"/>
                <w:szCs w:val="24"/>
              </w:rPr>
              <w:t>经收集后放入专用的储存桶内暂存于车间内危险废物暂存库内，委托具有危险废物处理资质单位处置。</w:t>
            </w:r>
          </w:p>
          <w:p>
            <w:pPr>
              <w:pStyle w:val="47"/>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②废切削液</w:t>
            </w:r>
          </w:p>
          <w:p>
            <w:pPr>
              <w:pStyle w:val="47"/>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切削液是一种用在金属切削、磨加工过程中，用来冷却和润滑刀具和加工件的工业用液体</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废切削液的产生量预计为0.</w:t>
            </w:r>
            <w:r>
              <w:rPr>
                <w:rFonts w:hint="default"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对照</w:t>
            </w:r>
            <w:r>
              <w:rPr>
                <w:rFonts w:hint="default" w:ascii="Times New Roman" w:hAnsi="Times New Roman" w:cs="Times New Roman"/>
                <w:color w:val="auto"/>
                <w:sz w:val="24"/>
                <w:szCs w:val="24"/>
              </w:rPr>
              <w:t>《国家危险废物名录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2021年版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部令第</w:t>
            </w:r>
            <w:r>
              <w:rPr>
                <w:rFonts w:hint="default" w:ascii="Times New Roman" w:hAnsi="Times New Roman" w:cs="Times New Roman"/>
                <w:color w:val="auto"/>
                <w:sz w:val="24"/>
                <w:szCs w:val="24"/>
                <w:lang w:val="en-US" w:eastAsia="zh-CN"/>
              </w:rPr>
              <w:t>15号，2021年01月01日实施</w:t>
            </w:r>
            <w:r>
              <w:rPr>
                <w:rFonts w:hint="default" w:ascii="Times New Roman" w:hAnsi="Times New Roman" w:cs="Times New Roman"/>
                <w:color w:val="auto"/>
                <w:sz w:val="24"/>
                <w:szCs w:val="24"/>
              </w:rPr>
              <w:t>），废切削液属于危险废物</w:t>
            </w:r>
            <w:r>
              <w:rPr>
                <w:rFonts w:hint="default" w:ascii="Times New Roman" w:hAnsi="Times New Roman" w:cs="Times New Roman"/>
                <w:color w:val="auto"/>
                <w:sz w:val="24"/>
                <w:szCs w:val="24"/>
                <w:lang w:eastAsia="zh-CN"/>
              </w:rPr>
              <w:t>，废物类别为</w:t>
            </w:r>
            <w:r>
              <w:rPr>
                <w:rFonts w:hint="default" w:ascii="Times New Roman" w:hAnsi="Times New Roman" w:cs="Times New Roman"/>
                <w:color w:val="auto"/>
                <w:sz w:val="24"/>
                <w:szCs w:val="24"/>
                <w:lang w:val="en-US" w:eastAsia="zh-CN"/>
              </w:rPr>
              <w:t>HW09油/水、烃/水混合物或乳化液，废物代码为900-006-09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废切削液经收集后放入专用的储存桶内暂存于车间内危险废物暂存库内，委托具有危险废物处理资质单位处置。</w:t>
            </w:r>
          </w:p>
          <w:p>
            <w:pPr>
              <w:pStyle w:val="47"/>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③废活性炭</w:t>
            </w:r>
          </w:p>
          <w:p>
            <w:pPr>
              <w:pStyle w:val="47"/>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w:t>
            </w:r>
            <w:r>
              <w:rPr>
                <w:rFonts w:hint="eastAsia" w:ascii="Times New Roman" w:hAnsi="Times New Roman" w:cs="Times New Roman"/>
                <w:color w:val="auto"/>
                <w:sz w:val="24"/>
                <w:szCs w:val="24"/>
                <w:lang w:eastAsia="zh-CN"/>
              </w:rPr>
              <w:t>工程分析</w:t>
            </w:r>
            <w:r>
              <w:rPr>
                <w:rFonts w:hint="default" w:ascii="Times New Roman" w:hAnsi="Times New Roman" w:cs="Times New Roman"/>
                <w:color w:val="auto"/>
                <w:sz w:val="24"/>
                <w:szCs w:val="24"/>
              </w:rPr>
              <w:t>，本项目被活性炭的吸附的废气量为</w:t>
            </w:r>
            <w:r>
              <w:rPr>
                <w:rFonts w:hint="eastAsia" w:ascii="Times New Roman" w:hAnsi="Times New Roman" w:cs="Times New Roman"/>
                <w:color w:val="auto"/>
                <w:sz w:val="24"/>
                <w:szCs w:val="24"/>
                <w:lang w:val="en-US" w:eastAsia="zh-CN"/>
              </w:rPr>
              <w:t>0.85328</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根据《简明通风设计手册》（中国建筑工业出版社，孙一坚主编）</w:t>
            </w:r>
            <w:r>
              <w:rPr>
                <w:rFonts w:hint="eastAsia" w:ascii="宋体" w:hAnsi="宋体" w:eastAsia="宋体" w:cs="宋体"/>
                <w:color w:val="auto"/>
                <w:sz w:val="24"/>
                <w:szCs w:val="24"/>
                <w:lang w:eastAsia="zh-CN"/>
              </w:rPr>
              <w:t>：“活性</w:t>
            </w:r>
            <w:r>
              <w:rPr>
                <w:rFonts w:hint="default" w:ascii="Times New Roman" w:hAnsi="Times New Roman" w:cs="Times New Roman"/>
                <w:color w:val="auto"/>
                <w:sz w:val="24"/>
                <w:szCs w:val="24"/>
                <w:lang w:eastAsia="zh-CN"/>
              </w:rPr>
              <w:t>炭的有效吸附量</w:t>
            </w:r>
            <w:r>
              <w:rPr>
                <w:rFonts w:hint="default" w:ascii="Times New Roman" w:hAnsi="Times New Roman" w:cs="Times New Roman"/>
                <w:color w:val="auto"/>
                <w:sz w:val="24"/>
                <w:szCs w:val="24"/>
                <w:lang w:val="en-US" w:eastAsia="zh-CN"/>
              </w:rPr>
              <w:t>qe</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0.25g/g-活性炭</w:t>
            </w:r>
            <w:r>
              <w:rPr>
                <w:rFonts w:hint="eastAsia" w:ascii="宋体" w:hAnsi="宋体" w:eastAsia="宋体" w:cs="宋体"/>
                <w:color w:val="auto"/>
                <w:sz w:val="24"/>
                <w:szCs w:val="24"/>
                <w:lang w:eastAsia="zh-CN"/>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因此吸附</w:t>
            </w:r>
            <w:r>
              <w:rPr>
                <w:rFonts w:hint="eastAsia" w:ascii="Times New Roman" w:hAnsi="Times New Roman" w:cs="Times New Roman"/>
                <w:color w:val="auto"/>
                <w:sz w:val="24"/>
                <w:szCs w:val="24"/>
                <w:lang w:val="en-US" w:eastAsia="zh-CN"/>
              </w:rPr>
              <w:t>0.85328</w:t>
            </w:r>
            <w:r>
              <w:rPr>
                <w:rFonts w:hint="default" w:ascii="Times New Roman" w:hAnsi="Times New Roman" w:cs="Times New Roman"/>
                <w:color w:val="auto"/>
                <w:sz w:val="24"/>
                <w:szCs w:val="24"/>
              </w:rPr>
              <w:t>t/a的废气需要理论活性炭量为：</w:t>
            </w:r>
            <w:r>
              <w:rPr>
                <w:rFonts w:hint="eastAsia" w:ascii="Times New Roman" w:hAnsi="Times New Roman" w:cs="Times New Roman"/>
                <w:color w:val="auto"/>
                <w:sz w:val="24"/>
                <w:szCs w:val="24"/>
                <w:lang w:val="en-US" w:eastAsia="zh-CN"/>
              </w:rPr>
              <w:t>0.85328</w:t>
            </w:r>
            <w:r>
              <w:rPr>
                <w:rFonts w:hint="default" w:ascii="Times New Roman" w:hAnsi="Times New Roman" w:cs="Times New Roman"/>
                <w:color w:val="auto"/>
                <w:sz w:val="24"/>
                <w:szCs w:val="24"/>
              </w:rPr>
              <w:t>/0.2</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3.41312</w:t>
            </w:r>
            <w:r>
              <w:rPr>
                <w:rFonts w:hint="default" w:ascii="Times New Roman" w:hAnsi="Times New Roman" w:cs="Times New Roman"/>
                <w:color w:val="auto"/>
                <w:sz w:val="24"/>
                <w:szCs w:val="24"/>
              </w:rPr>
              <w:t>t/a。本项目拟设置</w:t>
            </w:r>
            <w:r>
              <w:rPr>
                <w:rFonts w:hint="default" w:ascii="Times New Roman" w:hAnsi="Times New Roman" w:cs="Times New Roman"/>
                <w:color w:val="auto"/>
                <w:sz w:val="24"/>
                <w:szCs w:val="24"/>
                <w:lang w:val="en-US" w:eastAsia="zh-CN"/>
              </w:rPr>
              <w:t>二级活性炭吸附箱</w:t>
            </w:r>
            <w:r>
              <w:rPr>
                <w:rFonts w:hint="default" w:ascii="Times New Roman" w:hAnsi="Times New Roman" w:cs="Times New Roman"/>
                <w:color w:val="auto"/>
                <w:sz w:val="24"/>
                <w:szCs w:val="24"/>
              </w:rPr>
              <w:t>，装置所装活性炭容量为</w:t>
            </w:r>
            <w:r>
              <w:rPr>
                <w:rFonts w:hint="eastAsia" w:ascii="Times New Roman" w:hAnsi="Times New Roman" w:cs="Times New Roman"/>
                <w:color w:val="auto"/>
                <w:sz w:val="24"/>
                <w:szCs w:val="24"/>
                <w:lang w:val="en-US" w:eastAsia="zh-CN"/>
              </w:rPr>
              <w:t>500</w:t>
            </w:r>
            <w:r>
              <w:rPr>
                <w:rFonts w:hint="default" w:ascii="Times New Roman" w:hAnsi="Times New Roman" w:cs="Times New Roman"/>
                <w:color w:val="auto"/>
                <w:sz w:val="24"/>
                <w:szCs w:val="24"/>
              </w:rPr>
              <w:t>kg/a</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3413.12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00</w:t>
            </w:r>
            <w:r>
              <w:rPr>
                <w:rFonts w:hint="eastAsia" w:ascii="宋体" w:hAnsi="宋体" w:eastAsia="宋体" w:cs="宋体"/>
                <w:color w:val="auto"/>
                <w:sz w:val="24"/>
                <w:szCs w:val="24"/>
              </w:rPr>
              <w:t>≈</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次，</w:t>
            </w:r>
            <w:r>
              <w:rPr>
                <w:rFonts w:hint="default"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次</w:t>
            </w:r>
            <w:r>
              <w:rPr>
                <w:rFonts w:hint="eastAsia" w:ascii="宋体" w:hAnsi="宋体" w:eastAsia="宋体" w:cs="宋体"/>
                <w:color w:val="auto"/>
                <w:sz w:val="24"/>
                <w:szCs w:val="24"/>
              </w:rPr>
              <w:t>≈</w:t>
            </w:r>
            <w:r>
              <w:rPr>
                <w:rFonts w:hint="eastAsia" w:ascii="Times New Roman" w:hAnsi="Times New Roman" w:cs="Times New Roman"/>
                <w:color w:val="auto"/>
                <w:sz w:val="24"/>
                <w:szCs w:val="24"/>
                <w:lang w:val="en-US" w:eastAsia="zh-CN"/>
              </w:rPr>
              <w:t>42</w:t>
            </w:r>
            <w:r>
              <w:rPr>
                <w:rFonts w:hint="default" w:ascii="Times New Roman" w:hAnsi="Times New Roman" w:cs="Times New Roman"/>
                <w:color w:val="auto"/>
                <w:sz w:val="24"/>
                <w:szCs w:val="24"/>
              </w:rPr>
              <w:t>d/次，因此本项目达产后活性炭装置更换周期</w:t>
            </w:r>
            <w:r>
              <w:rPr>
                <w:rFonts w:hint="eastAsia" w:ascii="Times New Roman" w:hAnsi="Times New Roman" w:cs="Times New Roman"/>
                <w:color w:val="auto"/>
                <w:sz w:val="24"/>
                <w:szCs w:val="24"/>
                <w:lang w:val="en-US" w:eastAsia="zh-CN"/>
              </w:rPr>
              <w:t>42</w:t>
            </w:r>
            <w:r>
              <w:rPr>
                <w:rFonts w:hint="default" w:ascii="Times New Roman" w:hAnsi="Times New Roman" w:cs="Times New Roman"/>
                <w:color w:val="auto"/>
                <w:sz w:val="24"/>
                <w:szCs w:val="24"/>
              </w:rPr>
              <w:t>d/次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则本项目废活性炭产生量为</w:t>
            </w:r>
            <w:r>
              <w:rPr>
                <w:rFonts w:hint="eastAsia" w:ascii="Times New Roman" w:hAnsi="Times New Roman" w:cs="Times New Roman"/>
                <w:color w:val="auto"/>
                <w:sz w:val="24"/>
                <w:szCs w:val="24"/>
                <w:lang w:val="en-US" w:eastAsia="zh-CN"/>
              </w:rPr>
              <w:t>4.2664</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对照</w:t>
            </w:r>
            <w:r>
              <w:rPr>
                <w:rFonts w:hint="default" w:ascii="Times New Roman" w:hAnsi="Times New Roman" w:cs="Times New Roman"/>
                <w:color w:val="auto"/>
                <w:sz w:val="24"/>
                <w:szCs w:val="24"/>
              </w:rPr>
              <w:t>《国家危险废物名录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2021年版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部令第</w:t>
            </w:r>
            <w:r>
              <w:rPr>
                <w:rFonts w:hint="default" w:ascii="Times New Roman" w:hAnsi="Times New Roman" w:cs="Times New Roman"/>
                <w:color w:val="auto"/>
                <w:sz w:val="24"/>
                <w:szCs w:val="24"/>
                <w:lang w:val="en-US" w:eastAsia="zh-CN"/>
              </w:rPr>
              <w:t>15号，2021年01月01日实施</w:t>
            </w:r>
            <w:r>
              <w:rPr>
                <w:rFonts w:hint="default" w:ascii="Times New Roman" w:hAnsi="Times New Roman" w:cs="Times New Roman"/>
                <w:color w:val="auto"/>
                <w:sz w:val="24"/>
                <w:szCs w:val="24"/>
              </w:rPr>
              <w:t>），废活性炭属于危险废物，废物</w:t>
            </w:r>
            <w:r>
              <w:rPr>
                <w:rFonts w:hint="default" w:ascii="Times New Roman" w:hAnsi="Times New Roman" w:cs="Times New Roman"/>
                <w:color w:val="auto"/>
                <w:sz w:val="24"/>
                <w:szCs w:val="24"/>
                <w:lang w:eastAsia="zh-CN"/>
              </w:rPr>
              <w:t>类别为</w:t>
            </w:r>
            <w:r>
              <w:rPr>
                <w:rFonts w:hint="default" w:ascii="Times New Roman" w:hAnsi="Times New Roman" w:cs="Times New Roman"/>
                <w:color w:val="auto"/>
                <w:sz w:val="24"/>
                <w:szCs w:val="24"/>
              </w:rPr>
              <w:t>HW49</w:t>
            </w:r>
            <w:r>
              <w:rPr>
                <w:rFonts w:hint="default" w:ascii="Times New Roman" w:hAnsi="Times New Roman" w:cs="Times New Roman"/>
                <w:color w:val="auto"/>
                <w:sz w:val="24"/>
                <w:szCs w:val="24"/>
                <w:lang w:eastAsia="zh-CN"/>
              </w:rPr>
              <w:t>其他废物</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废物代码为</w:t>
            </w:r>
            <w:r>
              <w:rPr>
                <w:rFonts w:hint="default" w:ascii="Times New Roman" w:hAnsi="Times New Roman" w:cs="Times New Roman"/>
                <w:color w:val="auto"/>
                <w:sz w:val="24"/>
                <w:szCs w:val="24"/>
              </w:rPr>
              <w:t>900-0</w:t>
            </w:r>
            <w:r>
              <w:rPr>
                <w:rFonts w:hint="default" w:ascii="Times New Roman" w:hAnsi="Times New Roman" w:cs="Times New Roman"/>
                <w:color w:val="auto"/>
                <w:sz w:val="24"/>
                <w:szCs w:val="24"/>
                <w:lang w:val="en-US" w:eastAsia="zh-CN"/>
              </w:rPr>
              <w:t>39</w:t>
            </w:r>
            <w:r>
              <w:rPr>
                <w:rFonts w:hint="default" w:ascii="Times New Roman" w:hAnsi="Times New Roman" w:cs="Times New Roman"/>
                <w:color w:val="auto"/>
                <w:sz w:val="24"/>
                <w:szCs w:val="24"/>
              </w:rPr>
              <w:t>-49，更换下来的废活性炭收集后委托具有危险废物处理资质单位处置。</w:t>
            </w:r>
          </w:p>
          <w:p>
            <w:pPr>
              <w:pStyle w:val="47"/>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④废聚氨酯预聚体桶</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本项目聚氨酯预聚体采用桶装，使用过后会产生废聚氨酯预聚体桶，废聚氨酯预聚体桶</w:t>
            </w:r>
            <w:r>
              <w:rPr>
                <w:rFonts w:hint="default" w:ascii="Times New Roman" w:hAnsi="Times New Roman" w:cs="Times New Roman"/>
                <w:color w:val="auto"/>
                <w:sz w:val="24"/>
                <w:szCs w:val="24"/>
              </w:rPr>
              <w:t>为</w:t>
            </w:r>
            <w:r>
              <w:rPr>
                <w:rFonts w:hint="eastAsia" w:ascii="Times New Roman" w:hAnsi="Times New Roman" w:cs="Times New Roman"/>
                <w:color w:val="auto"/>
                <w:sz w:val="24"/>
                <w:szCs w:val="24"/>
                <w:lang w:eastAsia="zh-CN"/>
              </w:rPr>
              <w:t>铁质</w:t>
            </w:r>
            <w:r>
              <w:rPr>
                <w:rFonts w:hint="default" w:ascii="Times New Roman" w:hAnsi="Times New Roman" w:cs="Times New Roman"/>
                <w:color w:val="auto"/>
                <w:sz w:val="24"/>
                <w:szCs w:val="24"/>
              </w:rPr>
              <w:t>桶，</w:t>
            </w:r>
            <w:r>
              <w:rPr>
                <w:rFonts w:hint="default" w:ascii="Times New Roman" w:hAnsi="Times New Roman" w:cs="Times New Roman"/>
                <w:color w:val="auto"/>
                <w:sz w:val="24"/>
                <w:szCs w:val="24"/>
                <w:lang w:eastAsia="zh-CN"/>
              </w:rPr>
              <w:t>预计废</w:t>
            </w:r>
            <w:r>
              <w:rPr>
                <w:rFonts w:hint="default" w:ascii="Times New Roman" w:hAnsi="Times New Roman" w:cs="Times New Roman"/>
                <w:color w:val="auto"/>
                <w:sz w:val="24"/>
                <w:szCs w:val="24"/>
                <w:lang w:val="en-US" w:eastAsia="zh-CN"/>
              </w:rPr>
              <w:t>聚氨酯预聚体桶</w:t>
            </w:r>
            <w:r>
              <w:rPr>
                <w:rFonts w:hint="default" w:ascii="Times New Roman" w:hAnsi="Times New Roman" w:cs="Times New Roman"/>
                <w:color w:val="auto"/>
                <w:sz w:val="24"/>
                <w:szCs w:val="24"/>
                <w:lang w:eastAsia="zh-CN"/>
              </w:rPr>
              <w:t>产生量为</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en-US" w:eastAsia="zh-CN"/>
              </w:rPr>
              <w:t>00只/年，</w:t>
            </w:r>
            <w:r>
              <w:rPr>
                <w:rFonts w:hint="eastAsia" w:ascii="Times New Roman" w:hAnsi="Times New Roman" w:cs="Times New Roman"/>
                <w:color w:val="auto"/>
                <w:sz w:val="24"/>
                <w:szCs w:val="24"/>
                <w:lang w:val="en-US" w:eastAsia="zh-CN"/>
              </w:rPr>
              <w:t>铁质</w:t>
            </w:r>
            <w:r>
              <w:rPr>
                <w:rFonts w:hint="default" w:ascii="Times New Roman" w:hAnsi="Times New Roman" w:cs="Times New Roman"/>
                <w:color w:val="auto"/>
                <w:sz w:val="24"/>
                <w:szCs w:val="24"/>
                <w:lang w:val="en-US" w:eastAsia="zh-CN"/>
              </w:rPr>
              <w:t>桶按</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val="en-US" w:eastAsia="zh-CN"/>
              </w:rPr>
              <w:t>kg/只计，则废聚氨酯预聚体桶</w:t>
            </w:r>
            <w:r>
              <w:rPr>
                <w:rFonts w:hint="default" w:ascii="Times New Roman" w:hAnsi="Times New Roman" w:cs="Times New Roman"/>
                <w:color w:val="auto"/>
                <w:sz w:val="24"/>
                <w:szCs w:val="24"/>
                <w:lang w:eastAsia="zh-CN"/>
              </w:rPr>
              <w:t>产生</w:t>
            </w:r>
            <w:r>
              <w:rPr>
                <w:rFonts w:hint="default" w:ascii="Times New Roman" w:hAnsi="Times New Roman" w:cs="Times New Roman"/>
                <w:color w:val="auto"/>
                <w:sz w:val="24"/>
                <w:szCs w:val="24"/>
              </w:rPr>
              <w:t>总量为</w:t>
            </w:r>
            <w:r>
              <w:rPr>
                <w:rFonts w:hint="eastAsia" w:ascii="Times New Roman" w:hAnsi="Times New Roman" w:cs="Times New Roman"/>
                <w:color w:val="auto"/>
                <w:sz w:val="24"/>
                <w:szCs w:val="24"/>
                <w:lang w:val="en-US" w:eastAsia="zh-CN"/>
              </w:rPr>
              <w:t>8.0</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。对照</w:t>
            </w:r>
            <w:r>
              <w:rPr>
                <w:rFonts w:hint="default" w:ascii="Times New Roman" w:hAnsi="Times New Roman" w:cs="Times New Roman"/>
                <w:color w:val="auto"/>
                <w:sz w:val="24"/>
                <w:szCs w:val="24"/>
              </w:rPr>
              <w:t>《国家危险废物名录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2021年版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部令第</w:t>
            </w:r>
            <w:r>
              <w:rPr>
                <w:rFonts w:hint="default" w:ascii="Times New Roman" w:hAnsi="Times New Roman" w:cs="Times New Roman"/>
                <w:color w:val="auto"/>
                <w:sz w:val="24"/>
                <w:szCs w:val="24"/>
                <w:lang w:val="en-US" w:eastAsia="zh-CN"/>
              </w:rPr>
              <w:t>15号，2021年01月01日实施</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废聚氨酯预聚体桶</w:t>
            </w:r>
            <w:r>
              <w:rPr>
                <w:rFonts w:hint="default" w:ascii="Times New Roman" w:hAnsi="Times New Roman" w:cs="Times New Roman"/>
                <w:color w:val="auto"/>
                <w:sz w:val="24"/>
                <w:szCs w:val="24"/>
              </w:rPr>
              <w:t>属于危险废物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废物</w:t>
            </w:r>
            <w:r>
              <w:rPr>
                <w:rFonts w:hint="default" w:ascii="Times New Roman" w:hAnsi="Times New Roman" w:cs="Times New Roman"/>
                <w:color w:val="auto"/>
                <w:sz w:val="24"/>
                <w:szCs w:val="24"/>
                <w:lang w:eastAsia="zh-CN"/>
              </w:rPr>
              <w:t>类别为</w:t>
            </w:r>
            <w:r>
              <w:rPr>
                <w:rFonts w:hint="default" w:ascii="Times New Roman" w:hAnsi="Times New Roman" w:cs="Times New Roman"/>
                <w:color w:val="auto"/>
                <w:sz w:val="24"/>
                <w:szCs w:val="24"/>
              </w:rPr>
              <w:t>HW49</w:t>
            </w:r>
            <w:r>
              <w:rPr>
                <w:rFonts w:hint="default" w:ascii="Times New Roman" w:hAnsi="Times New Roman" w:cs="Times New Roman"/>
                <w:color w:val="auto"/>
                <w:sz w:val="24"/>
                <w:szCs w:val="24"/>
                <w:lang w:eastAsia="zh-CN"/>
              </w:rPr>
              <w:t>其他废物</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废物代码为</w:t>
            </w:r>
            <w:r>
              <w:rPr>
                <w:rFonts w:hint="default" w:ascii="Times New Roman" w:hAnsi="Times New Roman" w:cs="Times New Roman"/>
                <w:color w:val="auto"/>
                <w:sz w:val="24"/>
                <w:szCs w:val="24"/>
              </w:rPr>
              <w:t>900-041-49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废聚氨酯预聚体桶</w:t>
            </w:r>
            <w:r>
              <w:rPr>
                <w:rFonts w:hint="default" w:ascii="Times New Roman" w:hAnsi="Times New Roman" w:cs="Times New Roman"/>
                <w:color w:val="auto"/>
                <w:sz w:val="24"/>
                <w:szCs w:val="24"/>
              </w:rPr>
              <w:t>存放于</w:t>
            </w:r>
            <w:r>
              <w:rPr>
                <w:rFonts w:hint="default" w:ascii="Times New Roman" w:hAnsi="Times New Roman" w:cs="Times New Roman"/>
                <w:color w:val="auto"/>
                <w:sz w:val="24"/>
                <w:szCs w:val="24"/>
                <w:lang w:eastAsia="zh-CN"/>
              </w:rPr>
              <w:t>危险废物暂存房</w:t>
            </w:r>
            <w:r>
              <w:rPr>
                <w:rFonts w:hint="default" w:ascii="Times New Roman" w:hAnsi="Times New Roman" w:cs="Times New Roman"/>
                <w:color w:val="auto"/>
                <w:sz w:val="24"/>
                <w:szCs w:val="24"/>
              </w:rPr>
              <w:t>，委托具有危险废物处理资质单位处置。</w:t>
            </w:r>
          </w:p>
          <w:p>
            <w:pPr>
              <w:pStyle w:val="47"/>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⑤</w:t>
            </w:r>
            <w:r>
              <w:rPr>
                <w:rFonts w:hint="default" w:ascii="Times New Roman" w:hAnsi="Times New Roman" w:cs="Times New Roman"/>
                <w:color w:val="auto"/>
                <w:sz w:val="24"/>
                <w:szCs w:val="24"/>
                <w:lang w:eastAsia="zh-CN"/>
              </w:rPr>
              <w:t>废机油桶</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企业生产过程中会使用机油，生产过程中会产生废机油桶，预计废机油桶产生量为</w:t>
            </w:r>
            <w:r>
              <w:rPr>
                <w:rFonts w:hint="default" w:ascii="Times New Roman" w:hAnsi="Times New Roman" w:cs="Times New Roman"/>
                <w:color w:val="auto"/>
                <w:sz w:val="24"/>
                <w:szCs w:val="24"/>
                <w:lang w:val="en-US" w:eastAsia="zh-CN"/>
              </w:rPr>
              <w:t>25只/年，塑料桶按2.0kg/只计，</w:t>
            </w:r>
            <w:r>
              <w:rPr>
                <w:rFonts w:hint="default" w:ascii="Times New Roman" w:hAnsi="Times New Roman" w:cs="Times New Roman"/>
                <w:color w:val="auto"/>
                <w:sz w:val="24"/>
                <w:szCs w:val="24"/>
                <w:lang w:eastAsia="zh-CN"/>
              </w:rPr>
              <w:t>废机油桶产生</w:t>
            </w:r>
            <w:r>
              <w:rPr>
                <w:rFonts w:hint="default" w:ascii="Times New Roman" w:hAnsi="Times New Roman" w:cs="Times New Roman"/>
                <w:color w:val="auto"/>
                <w:sz w:val="24"/>
                <w:szCs w:val="24"/>
              </w:rPr>
              <w:t>总量为</w:t>
            </w:r>
            <w:r>
              <w:rPr>
                <w:rFonts w:hint="default" w:ascii="Times New Roman" w:hAnsi="Times New Roman" w:cs="Times New Roman"/>
                <w:color w:val="auto"/>
                <w:sz w:val="24"/>
                <w:szCs w:val="24"/>
                <w:lang w:val="en-US" w:eastAsia="zh-CN"/>
              </w:rPr>
              <w:t>0.05</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。对照</w:t>
            </w:r>
            <w:r>
              <w:rPr>
                <w:rFonts w:hint="default" w:ascii="Times New Roman" w:hAnsi="Times New Roman" w:cs="Times New Roman"/>
                <w:color w:val="auto"/>
                <w:sz w:val="24"/>
                <w:szCs w:val="24"/>
              </w:rPr>
              <w:t>《国家危险废物名录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2021年版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部令第</w:t>
            </w:r>
            <w:r>
              <w:rPr>
                <w:rFonts w:hint="default" w:ascii="Times New Roman" w:hAnsi="Times New Roman" w:cs="Times New Roman"/>
                <w:color w:val="auto"/>
                <w:sz w:val="24"/>
                <w:szCs w:val="24"/>
                <w:lang w:val="en-US" w:eastAsia="zh-CN"/>
              </w:rPr>
              <w:t>15号，2021年01月01日实施</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废机油桶</w:t>
            </w:r>
            <w:r>
              <w:rPr>
                <w:rFonts w:hint="default" w:ascii="Times New Roman" w:hAnsi="Times New Roman" w:cs="Times New Roman"/>
                <w:color w:val="auto"/>
                <w:sz w:val="24"/>
                <w:szCs w:val="24"/>
              </w:rPr>
              <w:t>属于危险废物，废物</w:t>
            </w:r>
            <w:r>
              <w:rPr>
                <w:rFonts w:hint="default" w:ascii="Times New Roman" w:hAnsi="Times New Roman" w:cs="Times New Roman"/>
                <w:color w:val="auto"/>
                <w:sz w:val="24"/>
                <w:szCs w:val="24"/>
                <w:lang w:eastAsia="zh-CN"/>
              </w:rPr>
              <w:t>类别为</w:t>
            </w:r>
            <w:r>
              <w:rPr>
                <w:rFonts w:hint="default" w:ascii="Times New Roman" w:hAnsi="Times New Roman" w:cs="Times New Roman"/>
                <w:color w:val="auto"/>
                <w:sz w:val="24"/>
                <w:szCs w:val="24"/>
                <w:lang w:val="en-US" w:eastAsia="zh-CN"/>
              </w:rPr>
              <w:t>HW08废矿物油与含废矿物油废物，废物代码为900-2</w:t>
            </w:r>
            <w:r>
              <w:rPr>
                <w:rFonts w:hint="eastAsia" w:ascii="Times New Roman" w:hAnsi="Times New Roman" w:cs="Times New Roman"/>
                <w:color w:val="auto"/>
                <w:sz w:val="24"/>
                <w:szCs w:val="24"/>
                <w:lang w:val="en-US" w:eastAsia="zh-CN"/>
              </w:rPr>
              <w:t>49</w:t>
            </w:r>
            <w:r>
              <w:rPr>
                <w:rFonts w:hint="default" w:ascii="Times New Roman" w:hAnsi="Times New Roman" w:cs="Times New Roman"/>
                <w:color w:val="auto"/>
                <w:sz w:val="24"/>
                <w:szCs w:val="24"/>
                <w:lang w:val="en-US" w:eastAsia="zh-CN"/>
              </w:rPr>
              <w:t>-08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存放于</w:t>
            </w:r>
            <w:r>
              <w:rPr>
                <w:rFonts w:hint="default" w:ascii="Times New Roman" w:hAnsi="Times New Roman" w:cs="Times New Roman"/>
                <w:color w:val="auto"/>
                <w:sz w:val="24"/>
                <w:szCs w:val="24"/>
                <w:lang w:eastAsia="zh-CN"/>
              </w:rPr>
              <w:t>危险废物暂存间</w:t>
            </w:r>
            <w:r>
              <w:rPr>
                <w:rFonts w:hint="default" w:ascii="Times New Roman" w:hAnsi="Times New Roman" w:cs="Times New Roman"/>
                <w:color w:val="auto"/>
                <w:sz w:val="24"/>
                <w:szCs w:val="24"/>
              </w:rPr>
              <w:t>，委托具有危险废物处理资质单位处置。</w:t>
            </w:r>
          </w:p>
          <w:p>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⑥</w:t>
            </w:r>
            <w:r>
              <w:rPr>
                <w:rFonts w:hint="default" w:ascii="Times New Roman" w:hAnsi="Times New Roman" w:cs="Times New Roman"/>
                <w:color w:val="auto"/>
                <w:sz w:val="24"/>
                <w:szCs w:val="24"/>
                <w:lang w:eastAsia="zh-CN"/>
              </w:rPr>
              <w:t>废切削液桶</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企业生产过程中会使用切削液，生产过程中会产生废切削液桶，预计废切削液桶产生量为</w:t>
            </w:r>
            <w:r>
              <w:rPr>
                <w:rFonts w:hint="default" w:ascii="Times New Roman" w:hAnsi="Times New Roman" w:cs="Times New Roman"/>
                <w:color w:val="auto"/>
                <w:sz w:val="24"/>
                <w:szCs w:val="24"/>
                <w:lang w:val="en-US" w:eastAsia="zh-CN"/>
              </w:rPr>
              <w:t>25只/年，塑料桶按2.0kg/只计，则</w:t>
            </w:r>
            <w:r>
              <w:rPr>
                <w:rFonts w:hint="default" w:ascii="Times New Roman" w:hAnsi="Times New Roman" w:cs="Times New Roman"/>
                <w:color w:val="auto"/>
                <w:sz w:val="24"/>
                <w:szCs w:val="24"/>
                <w:lang w:eastAsia="zh-CN"/>
              </w:rPr>
              <w:t>废切削液桶产生</w:t>
            </w:r>
            <w:r>
              <w:rPr>
                <w:rFonts w:hint="default" w:ascii="Times New Roman" w:hAnsi="Times New Roman" w:cs="Times New Roman"/>
                <w:color w:val="auto"/>
                <w:sz w:val="24"/>
                <w:szCs w:val="24"/>
              </w:rPr>
              <w:t>总量为</w:t>
            </w:r>
            <w:r>
              <w:rPr>
                <w:rFonts w:hint="default" w:ascii="Times New Roman" w:hAnsi="Times New Roman" w:cs="Times New Roman"/>
                <w:color w:val="auto"/>
                <w:sz w:val="24"/>
                <w:szCs w:val="24"/>
                <w:lang w:val="en-US" w:eastAsia="zh-CN"/>
              </w:rPr>
              <w:t>0.05</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。对照</w:t>
            </w:r>
            <w:r>
              <w:rPr>
                <w:rFonts w:hint="default" w:ascii="Times New Roman" w:hAnsi="Times New Roman" w:cs="Times New Roman"/>
                <w:color w:val="auto"/>
                <w:sz w:val="24"/>
                <w:szCs w:val="24"/>
              </w:rPr>
              <w:t>《国家危险废物名录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2021年版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部令第</w:t>
            </w:r>
            <w:r>
              <w:rPr>
                <w:rFonts w:hint="default" w:ascii="Times New Roman" w:hAnsi="Times New Roman" w:cs="Times New Roman"/>
                <w:color w:val="auto"/>
                <w:sz w:val="24"/>
                <w:szCs w:val="24"/>
                <w:lang w:val="en-US" w:eastAsia="zh-CN"/>
              </w:rPr>
              <w:t>15号，2021年01月01日实施</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，废切削液桶</w:t>
            </w:r>
            <w:r>
              <w:rPr>
                <w:rFonts w:hint="default" w:ascii="Times New Roman" w:hAnsi="Times New Roman" w:cs="Times New Roman"/>
                <w:color w:val="auto"/>
                <w:sz w:val="24"/>
                <w:szCs w:val="24"/>
              </w:rPr>
              <w:t>属于危险废物，废物</w:t>
            </w:r>
            <w:r>
              <w:rPr>
                <w:rFonts w:hint="default" w:ascii="Times New Roman" w:hAnsi="Times New Roman" w:cs="Times New Roman"/>
                <w:color w:val="auto"/>
                <w:sz w:val="24"/>
                <w:szCs w:val="24"/>
                <w:lang w:eastAsia="zh-CN"/>
              </w:rPr>
              <w:t>类别为</w:t>
            </w:r>
            <w:r>
              <w:rPr>
                <w:rFonts w:hint="default" w:ascii="Times New Roman" w:hAnsi="Times New Roman" w:cs="Times New Roman"/>
                <w:color w:val="auto"/>
                <w:sz w:val="24"/>
                <w:szCs w:val="24"/>
              </w:rPr>
              <w:t>HW49</w:t>
            </w:r>
            <w:r>
              <w:rPr>
                <w:rFonts w:hint="default" w:ascii="Times New Roman" w:hAnsi="Times New Roman" w:cs="Times New Roman"/>
                <w:color w:val="auto"/>
                <w:sz w:val="24"/>
                <w:szCs w:val="24"/>
                <w:lang w:eastAsia="zh-CN"/>
              </w:rPr>
              <w:t>其他废物</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废物代码为</w:t>
            </w:r>
            <w:r>
              <w:rPr>
                <w:rFonts w:hint="default" w:ascii="Times New Roman" w:hAnsi="Times New Roman" w:cs="Times New Roman"/>
                <w:color w:val="auto"/>
                <w:sz w:val="24"/>
                <w:szCs w:val="24"/>
              </w:rPr>
              <w:t>900-041-49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存放于</w:t>
            </w:r>
            <w:r>
              <w:rPr>
                <w:rFonts w:hint="default" w:ascii="Times New Roman" w:hAnsi="Times New Roman" w:cs="Times New Roman"/>
                <w:color w:val="auto"/>
                <w:sz w:val="24"/>
                <w:szCs w:val="24"/>
                <w:lang w:eastAsia="zh-CN"/>
              </w:rPr>
              <w:t>危险废物暂存间</w:t>
            </w:r>
            <w:r>
              <w:rPr>
                <w:rFonts w:hint="default" w:ascii="Times New Roman" w:hAnsi="Times New Roman" w:cs="Times New Roman"/>
                <w:color w:val="auto"/>
                <w:sz w:val="24"/>
                <w:szCs w:val="24"/>
              </w:rPr>
              <w:t>，委托具有危险废物处理资质单位处置。</w:t>
            </w:r>
          </w:p>
          <w:p>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⑦</w:t>
            </w:r>
            <w:r>
              <w:rPr>
                <w:rFonts w:hint="default" w:ascii="Times New Roman" w:hAnsi="Times New Roman" w:cs="Times New Roman"/>
                <w:color w:val="auto"/>
                <w:sz w:val="24"/>
                <w:szCs w:val="24"/>
                <w:lang w:eastAsia="zh-CN"/>
              </w:rPr>
              <w:t>废</w:t>
            </w:r>
            <w:r>
              <w:rPr>
                <w:rFonts w:hint="eastAsia" w:ascii="Times New Roman" w:hAnsi="Times New Roman" w:cs="Times New Roman"/>
                <w:color w:val="auto"/>
                <w:sz w:val="24"/>
                <w:szCs w:val="24"/>
                <w:lang w:eastAsia="zh-CN"/>
              </w:rPr>
              <w:t>清洗剂</w:t>
            </w:r>
            <w:r>
              <w:rPr>
                <w:rFonts w:hint="default" w:ascii="Times New Roman" w:hAnsi="Times New Roman" w:cs="Times New Roman"/>
                <w:color w:val="auto"/>
                <w:sz w:val="24"/>
                <w:szCs w:val="24"/>
                <w:lang w:eastAsia="zh-CN"/>
              </w:rPr>
              <w:t>桶</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企业生产过程中会使用</w:t>
            </w:r>
            <w:r>
              <w:rPr>
                <w:rFonts w:hint="eastAsia" w:ascii="Times New Roman" w:hAnsi="Times New Roman" w:cs="Times New Roman"/>
                <w:color w:val="auto"/>
                <w:sz w:val="24"/>
                <w:szCs w:val="24"/>
                <w:lang w:eastAsia="zh-CN"/>
              </w:rPr>
              <w:t>清洗剂</w:t>
            </w:r>
            <w:r>
              <w:rPr>
                <w:rFonts w:hint="default" w:ascii="Times New Roman" w:hAnsi="Times New Roman" w:cs="Times New Roman"/>
                <w:color w:val="auto"/>
                <w:sz w:val="24"/>
                <w:szCs w:val="24"/>
                <w:lang w:eastAsia="zh-CN"/>
              </w:rPr>
              <w:t>，生产过程中会产生废</w:t>
            </w:r>
            <w:r>
              <w:rPr>
                <w:rFonts w:hint="eastAsia" w:ascii="Times New Roman" w:hAnsi="Times New Roman" w:cs="Times New Roman"/>
                <w:color w:val="auto"/>
                <w:sz w:val="24"/>
                <w:szCs w:val="24"/>
                <w:lang w:eastAsia="zh-CN"/>
              </w:rPr>
              <w:t>清洗剂</w:t>
            </w:r>
            <w:r>
              <w:rPr>
                <w:rFonts w:hint="default" w:ascii="Times New Roman" w:hAnsi="Times New Roman" w:cs="Times New Roman"/>
                <w:color w:val="auto"/>
                <w:sz w:val="24"/>
                <w:szCs w:val="24"/>
                <w:lang w:eastAsia="zh-CN"/>
              </w:rPr>
              <w:t>桶，预计废</w:t>
            </w:r>
            <w:r>
              <w:rPr>
                <w:rFonts w:hint="eastAsia" w:ascii="Times New Roman" w:hAnsi="Times New Roman" w:cs="Times New Roman"/>
                <w:color w:val="auto"/>
                <w:sz w:val="24"/>
                <w:szCs w:val="24"/>
                <w:lang w:eastAsia="zh-CN"/>
              </w:rPr>
              <w:t>清洗剂</w:t>
            </w:r>
            <w:r>
              <w:rPr>
                <w:rFonts w:hint="default" w:ascii="Times New Roman" w:hAnsi="Times New Roman" w:cs="Times New Roman"/>
                <w:color w:val="auto"/>
                <w:sz w:val="24"/>
                <w:szCs w:val="24"/>
                <w:lang w:eastAsia="zh-CN"/>
              </w:rPr>
              <w:t>桶产生量为</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val="en-US" w:eastAsia="zh-CN"/>
              </w:rPr>
              <w:t>只/年，</w:t>
            </w:r>
            <w:r>
              <w:rPr>
                <w:rFonts w:hint="eastAsia" w:ascii="Times New Roman" w:hAnsi="Times New Roman" w:cs="Times New Roman"/>
                <w:color w:val="auto"/>
                <w:sz w:val="24"/>
                <w:szCs w:val="24"/>
                <w:lang w:val="en-US" w:eastAsia="zh-CN"/>
              </w:rPr>
              <w:t>铁</w:t>
            </w:r>
            <w:r>
              <w:rPr>
                <w:rFonts w:hint="default" w:ascii="Times New Roman" w:hAnsi="Times New Roman" w:cs="Times New Roman"/>
                <w:color w:val="auto"/>
                <w:sz w:val="24"/>
                <w:szCs w:val="24"/>
                <w:lang w:val="en-US" w:eastAsia="zh-CN"/>
              </w:rPr>
              <w:t>桶按</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val="en-US" w:eastAsia="zh-CN"/>
              </w:rPr>
              <w:t>kg/只计，则</w:t>
            </w:r>
            <w:r>
              <w:rPr>
                <w:rFonts w:hint="default" w:ascii="Times New Roman" w:hAnsi="Times New Roman" w:cs="Times New Roman"/>
                <w:color w:val="auto"/>
                <w:sz w:val="24"/>
                <w:szCs w:val="24"/>
                <w:lang w:eastAsia="zh-CN"/>
              </w:rPr>
              <w:t>废</w:t>
            </w:r>
            <w:r>
              <w:rPr>
                <w:rFonts w:hint="eastAsia" w:ascii="Times New Roman" w:hAnsi="Times New Roman" w:cs="Times New Roman"/>
                <w:color w:val="auto"/>
                <w:sz w:val="24"/>
                <w:szCs w:val="24"/>
                <w:lang w:eastAsia="zh-CN"/>
              </w:rPr>
              <w:t>清洗剂</w:t>
            </w:r>
            <w:r>
              <w:rPr>
                <w:rFonts w:hint="default" w:ascii="Times New Roman" w:hAnsi="Times New Roman" w:cs="Times New Roman"/>
                <w:color w:val="auto"/>
                <w:sz w:val="24"/>
                <w:szCs w:val="24"/>
                <w:lang w:eastAsia="zh-CN"/>
              </w:rPr>
              <w:t>桶产生</w:t>
            </w:r>
            <w:r>
              <w:rPr>
                <w:rFonts w:hint="default" w:ascii="Times New Roman" w:hAnsi="Times New Roman" w:cs="Times New Roman"/>
                <w:color w:val="auto"/>
                <w:sz w:val="24"/>
                <w:szCs w:val="24"/>
              </w:rPr>
              <w:t>总量为</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。对照</w:t>
            </w:r>
            <w:r>
              <w:rPr>
                <w:rFonts w:hint="default" w:ascii="Times New Roman" w:hAnsi="Times New Roman" w:cs="Times New Roman"/>
                <w:color w:val="auto"/>
                <w:sz w:val="24"/>
                <w:szCs w:val="24"/>
              </w:rPr>
              <w:t>《国家危险废物名录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2021年版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部令第</w:t>
            </w:r>
            <w:r>
              <w:rPr>
                <w:rFonts w:hint="default" w:ascii="Times New Roman" w:hAnsi="Times New Roman" w:cs="Times New Roman"/>
                <w:color w:val="auto"/>
                <w:sz w:val="24"/>
                <w:szCs w:val="24"/>
                <w:lang w:val="en-US" w:eastAsia="zh-CN"/>
              </w:rPr>
              <w:t>15号，2021年01月01日实施</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w:t>
            </w:r>
            <w:r>
              <w:rPr>
                <w:rFonts w:hint="eastAsia" w:ascii="Times New Roman" w:hAnsi="Times New Roman" w:cs="Times New Roman"/>
                <w:color w:val="auto"/>
                <w:sz w:val="24"/>
                <w:szCs w:val="24"/>
                <w:lang w:eastAsia="zh-CN"/>
              </w:rPr>
              <w:t>清洗剂</w:t>
            </w:r>
            <w:r>
              <w:rPr>
                <w:rFonts w:hint="default" w:ascii="Times New Roman" w:hAnsi="Times New Roman" w:cs="Times New Roman"/>
                <w:color w:val="auto"/>
                <w:sz w:val="24"/>
                <w:szCs w:val="24"/>
                <w:lang w:eastAsia="zh-CN"/>
              </w:rPr>
              <w:t>桶</w:t>
            </w:r>
            <w:r>
              <w:rPr>
                <w:rFonts w:hint="default" w:ascii="Times New Roman" w:hAnsi="Times New Roman" w:cs="Times New Roman"/>
                <w:color w:val="auto"/>
                <w:sz w:val="24"/>
                <w:szCs w:val="24"/>
              </w:rPr>
              <w:t>属于危险废物，废物</w:t>
            </w:r>
            <w:r>
              <w:rPr>
                <w:rFonts w:hint="default" w:ascii="Times New Roman" w:hAnsi="Times New Roman" w:cs="Times New Roman"/>
                <w:color w:val="auto"/>
                <w:sz w:val="24"/>
                <w:szCs w:val="24"/>
                <w:lang w:eastAsia="zh-CN"/>
              </w:rPr>
              <w:t>类别为</w:t>
            </w:r>
            <w:r>
              <w:rPr>
                <w:rFonts w:hint="default" w:ascii="Times New Roman" w:hAnsi="Times New Roman" w:cs="Times New Roman"/>
                <w:color w:val="auto"/>
                <w:sz w:val="24"/>
                <w:szCs w:val="24"/>
              </w:rPr>
              <w:t>HW49</w:t>
            </w:r>
            <w:r>
              <w:rPr>
                <w:rFonts w:hint="default" w:ascii="Times New Roman" w:hAnsi="Times New Roman" w:cs="Times New Roman"/>
                <w:color w:val="auto"/>
                <w:sz w:val="24"/>
                <w:szCs w:val="24"/>
                <w:lang w:eastAsia="zh-CN"/>
              </w:rPr>
              <w:t>其他废物</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废物代码为</w:t>
            </w:r>
            <w:r>
              <w:rPr>
                <w:rFonts w:hint="default" w:ascii="Times New Roman" w:hAnsi="Times New Roman" w:cs="Times New Roman"/>
                <w:color w:val="auto"/>
                <w:sz w:val="24"/>
                <w:szCs w:val="24"/>
              </w:rPr>
              <w:t>900-041-49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存放于</w:t>
            </w:r>
            <w:r>
              <w:rPr>
                <w:rFonts w:hint="default" w:ascii="Times New Roman" w:hAnsi="Times New Roman" w:cs="Times New Roman"/>
                <w:color w:val="auto"/>
                <w:sz w:val="24"/>
                <w:szCs w:val="24"/>
                <w:lang w:eastAsia="zh-CN"/>
              </w:rPr>
              <w:t>危险废物暂存间</w:t>
            </w:r>
            <w:r>
              <w:rPr>
                <w:rFonts w:hint="default" w:ascii="Times New Roman" w:hAnsi="Times New Roman" w:cs="Times New Roman"/>
                <w:color w:val="auto"/>
                <w:sz w:val="24"/>
                <w:szCs w:val="24"/>
              </w:rPr>
              <w:t>，委托具有危险废物处理资质单位处置。</w:t>
            </w:r>
          </w:p>
          <w:p>
            <w:pPr>
              <w:pStyle w:val="47"/>
              <w:ind w:firstLine="480"/>
              <w:rPr>
                <w:rFonts w:hint="default" w:ascii="Times New Roman" w:hAnsi="Times New Roman" w:cs="Times New Roman"/>
                <w:b w:val="0"/>
                <w:bCs/>
                <w:color w:val="auto"/>
              </w:rPr>
            </w:pPr>
            <w:r>
              <w:rPr>
                <w:rFonts w:hint="eastAsia" w:ascii="Times New Roman" w:hAnsi="Times New Roman" w:eastAsia="宋体" w:cs="Times New Roman"/>
                <w:b w:val="0"/>
                <w:bCs/>
                <w:color w:val="auto"/>
                <w:sz w:val="24"/>
                <w:szCs w:val="24"/>
                <w:lang w:eastAsia="zh-CN"/>
              </w:rPr>
              <w:t>⑧</w:t>
            </w:r>
            <w:r>
              <w:rPr>
                <w:rFonts w:hint="default" w:ascii="Times New Roman" w:hAnsi="Times New Roman" w:cs="Times New Roman"/>
                <w:b w:val="0"/>
                <w:bCs/>
                <w:color w:val="auto"/>
              </w:rPr>
              <w:t>废弃含油抹布、劳保用品</w:t>
            </w:r>
          </w:p>
          <w:p>
            <w:pPr>
              <w:pStyle w:val="47"/>
              <w:ind w:firstLine="480"/>
              <w:rPr>
                <w:rFonts w:hint="default" w:ascii="Times New Roman" w:hAnsi="Times New Roman" w:cs="Times New Roman"/>
                <w:color w:val="auto"/>
                <w:sz w:val="24"/>
                <w:szCs w:val="24"/>
              </w:rPr>
            </w:pPr>
            <w:r>
              <w:rPr>
                <w:rFonts w:hint="default" w:ascii="Times New Roman" w:hAnsi="Times New Roman" w:cs="Times New Roman"/>
                <w:color w:val="auto"/>
              </w:rPr>
              <w:t>在维修设备等过程中会产生一定量的废弃含油抹布、劳保用品，根据估算，项目含油抹布、劳保用品产生总量约为0.</w:t>
            </w:r>
            <w:r>
              <w:rPr>
                <w:rFonts w:hint="eastAsia" w:ascii="Times New Roman" w:hAnsi="Times New Roman" w:cs="Times New Roman"/>
                <w:color w:val="auto"/>
                <w:lang w:val="en-US" w:eastAsia="zh-CN"/>
              </w:rPr>
              <w:t>02</w:t>
            </w:r>
            <w:r>
              <w:rPr>
                <w:rFonts w:hint="default" w:ascii="Times New Roman" w:hAnsi="Times New Roman" w:cs="Times New Roman"/>
                <w:color w:val="auto"/>
              </w:rPr>
              <w:t>t/a。</w:t>
            </w:r>
            <w:r>
              <w:rPr>
                <w:rFonts w:hint="default" w:ascii="Times New Roman" w:hAnsi="Times New Roman" w:cs="Times New Roman"/>
                <w:color w:val="auto"/>
                <w:sz w:val="24"/>
                <w:szCs w:val="24"/>
                <w:lang w:eastAsia="zh-CN"/>
              </w:rPr>
              <w:t>对照</w:t>
            </w:r>
            <w:r>
              <w:rPr>
                <w:rFonts w:hint="default" w:ascii="Times New Roman" w:hAnsi="Times New Roman" w:cs="Times New Roman"/>
                <w:color w:val="auto"/>
                <w:sz w:val="24"/>
                <w:szCs w:val="24"/>
              </w:rPr>
              <w:t>《国家危险废物名录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2021年版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部令第</w:t>
            </w:r>
            <w:r>
              <w:rPr>
                <w:rFonts w:hint="default" w:ascii="Times New Roman" w:hAnsi="Times New Roman" w:cs="Times New Roman"/>
                <w:color w:val="auto"/>
                <w:sz w:val="24"/>
                <w:szCs w:val="24"/>
                <w:lang w:val="en-US" w:eastAsia="zh-CN"/>
              </w:rPr>
              <w:t>15号，2021年01月01日实施</w:t>
            </w:r>
            <w:r>
              <w:rPr>
                <w:rFonts w:hint="default" w:ascii="Times New Roman" w:hAnsi="Times New Roman" w:cs="Times New Roman"/>
                <w:color w:val="auto"/>
                <w:sz w:val="24"/>
                <w:szCs w:val="24"/>
              </w:rPr>
              <w:t>），</w:t>
            </w:r>
            <w:r>
              <w:rPr>
                <w:rFonts w:hint="default" w:ascii="Times New Roman" w:hAnsi="Times New Roman" w:cs="Times New Roman"/>
                <w:b w:val="0"/>
                <w:bCs/>
                <w:color w:val="auto"/>
              </w:rPr>
              <w:t>废弃含油抹布、劳保用品</w:t>
            </w:r>
            <w:r>
              <w:rPr>
                <w:rFonts w:hint="default" w:ascii="Times New Roman" w:hAnsi="Times New Roman" w:cs="Times New Roman"/>
                <w:color w:val="auto"/>
                <w:sz w:val="24"/>
                <w:szCs w:val="24"/>
              </w:rPr>
              <w:t>属于危险废物，废物</w:t>
            </w:r>
            <w:r>
              <w:rPr>
                <w:rFonts w:hint="default" w:ascii="Times New Roman" w:hAnsi="Times New Roman" w:cs="Times New Roman"/>
                <w:color w:val="auto"/>
                <w:sz w:val="24"/>
                <w:szCs w:val="24"/>
                <w:lang w:eastAsia="zh-CN"/>
              </w:rPr>
              <w:t>类别为</w:t>
            </w:r>
            <w:r>
              <w:rPr>
                <w:rFonts w:hint="default" w:ascii="Times New Roman" w:hAnsi="Times New Roman" w:cs="Times New Roman"/>
                <w:color w:val="auto"/>
                <w:sz w:val="24"/>
                <w:szCs w:val="24"/>
              </w:rPr>
              <w:t>HW49</w:t>
            </w:r>
            <w:r>
              <w:rPr>
                <w:rFonts w:hint="default" w:ascii="Times New Roman" w:hAnsi="Times New Roman" w:cs="Times New Roman"/>
                <w:color w:val="auto"/>
                <w:sz w:val="24"/>
                <w:szCs w:val="24"/>
                <w:lang w:eastAsia="zh-CN"/>
              </w:rPr>
              <w:t>其他废物</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废物代码为</w:t>
            </w:r>
            <w:r>
              <w:rPr>
                <w:rFonts w:hint="default" w:ascii="Times New Roman" w:hAnsi="Times New Roman" w:cs="Times New Roman"/>
                <w:color w:val="auto"/>
                <w:sz w:val="24"/>
                <w:szCs w:val="24"/>
              </w:rPr>
              <w:t>900-041-49，</w:t>
            </w:r>
            <w:r>
              <w:rPr>
                <w:rFonts w:hint="eastAsia" w:ascii="Times New Roman" w:hAnsi="Times New Roman" w:cs="Times New Roman"/>
                <w:color w:val="auto"/>
                <w:sz w:val="24"/>
                <w:szCs w:val="24"/>
                <w:lang w:eastAsia="zh-CN"/>
              </w:rPr>
              <w:t>集中收集交由环卫部门统一清运处置</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AU" w:eastAsia="zh-CN"/>
              </w:rPr>
              <w:t>根据《建设项目危险废物环境影响评价指南》（公告</w:t>
            </w:r>
            <w:r>
              <w:rPr>
                <w:rFonts w:hint="default" w:ascii="Times New Roman" w:hAnsi="Times New Roman" w:cs="Times New Roman"/>
                <w:color w:val="auto"/>
                <w:sz w:val="24"/>
                <w:szCs w:val="24"/>
                <w:lang w:val="en-US" w:eastAsia="zh-CN"/>
              </w:rPr>
              <w:t>2017第43号，2017年10月01日实施，环境保护部</w:t>
            </w:r>
            <w:r>
              <w:rPr>
                <w:rFonts w:hint="default" w:ascii="Times New Roman" w:hAnsi="Times New Roman" w:cs="Times New Roman"/>
                <w:color w:val="auto"/>
                <w:sz w:val="24"/>
                <w:szCs w:val="24"/>
                <w:lang w:val="en-AU" w:eastAsia="zh-CN"/>
              </w:rPr>
              <w:t>）</w:t>
            </w:r>
            <w:r>
              <w:rPr>
                <w:rFonts w:hint="eastAsia" w:ascii="Times New Roman" w:hAnsi="Times New Roman" w:cs="Times New Roman"/>
                <w:color w:val="auto"/>
                <w:sz w:val="24"/>
                <w:szCs w:val="24"/>
                <w:lang w:val="en-AU" w:eastAsia="zh-CN"/>
              </w:rPr>
              <w:t>、《排污许可证申请与核发技术规范</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AU" w:eastAsia="zh-CN"/>
              </w:rPr>
              <w:t>工业固体废物（试行）》（HJ1200-2021）等</w:t>
            </w:r>
            <w:r>
              <w:rPr>
                <w:rFonts w:hint="default" w:ascii="Times New Roman" w:hAnsi="Times New Roman" w:cs="Times New Roman"/>
                <w:color w:val="auto"/>
                <w:sz w:val="24"/>
                <w:szCs w:val="24"/>
                <w:lang w:val="en-AU" w:eastAsia="zh-CN"/>
              </w:rPr>
              <w:t>，本项目危险废物汇总表见表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34</w:t>
            </w:r>
            <w:r>
              <w:rPr>
                <w:rFonts w:hint="default" w:ascii="Times New Roman" w:hAnsi="Times New Roman" w:cs="Times New Roman"/>
                <w:color w:val="auto"/>
                <w:sz w:val="24"/>
                <w:szCs w:val="24"/>
                <w:lang w:val="en-US" w:eastAsia="zh-CN"/>
              </w:rPr>
              <w:t>。</w:t>
            </w:r>
          </w:p>
          <w:p>
            <w:pPr>
              <w:spacing w:line="24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表</w:t>
            </w:r>
            <w:r>
              <w:rPr>
                <w:rFonts w:hint="default" w:ascii="Times New Roman" w:hAnsi="Times New Roman"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34</w:t>
            </w:r>
            <w:r>
              <w:rPr>
                <w:rFonts w:hint="default" w:ascii="Times New Roman" w:hAnsi="Times New Roman" w:cs="Times New Roman"/>
                <w:b/>
                <w:bCs/>
                <w:color w:val="auto"/>
                <w:sz w:val="24"/>
                <w:szCs w:val="24"/>
                <w:lang w:val="en-US" w:eastAsia="zh-CN"/>
              </w:rPr>
              <w:t xml:space="preserve">  建设项目危险废物汇总表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441"/>
              <w:gridCol w:w="1044"/>
              <w:gridCol w:w="1280"/>
              <w:gridCol w:w="1046"/>
              <w:gridCol w:w="1045"/>
              <w:gridCol w:w="1045"/>
              <w:gridCol w:w="1044"/>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1441"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危险废物名称</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危险废物类别</w:t>
                  </w:r>
                </w:p>
              </w:tc>
              <w:tc>
                <w:tcPr>
                  <w:tcW w:w="1280"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危险废物代码</w:t>
                  </w:r>
                </w:p>
              </w:tc>
              <w:tc>
                <w:tcPr>
                  <w:tcW w:w="104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产生量（吨/年）</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产生工序及装置</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形态</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w:t>
                  </w:r>
                </w:p>
              </w:tc>
              <w:tc>
                <w:tcPr>
                  <w:tcW w:w="104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441"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废机油</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HW08</w:t>
                  </w:r>
                </w:p>
              </w:tc>
              <w:tc>
                <w:tcPr>
                  <w:tcW w:w="1280"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900-2</w:t>
                  </w:r>
                  <w:r>
                    <w:rPr>
                      <w:rFonts w:hint="eastAsia" w:ascii="Times New Roman" w:hAnsi="Times New Roman" w:cs="Times New Roman"/>
                      <w:color w:val="auto"/>
                      <w:sz w:val="21"/>
                      <w:szCs w:val="21"/>
                      <w:lang w:val="en-US" w:eastAsia="zh-CN"/>
                    </w:rPr>
                    <w:t>49</w:t>
                  </w:r>
                  <w:r>
                    <w:rPr>
                      <w:rFonts w:hint="default" w:ascii="Times New Roman" w:hAnsi="Times New Roman" w:cs="Times New Roman"/>
                      <w:color w:val="auto"/>
                      <w:sz w:val="21"/>
                      <w:szCs w:val="21"/>
                      <w:lang w:val="en-US" w:eastAsia="zh-CN"/>
                    </w:rPr>
                    <w:t>-08</w:t>
                  </w:r>
                </w:p>
              </w:tc>
              <w:tc>
                <w:tcPr>
                  <w:tcW w:w="104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0.15</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机械设备维修等</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液态</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w:t>
                  </w:r>
                </w:p>
              </w:tc>
              <w:tc>
                <w:tcPr>
                  <w:tcW w:w="1046" w:type="dxa"/>
                  <w:vMerge w:val="restart"/>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存放于</w:t>
                  </w:r>
                  <w:r>
                    <w:rPr>
                      <w:rFonts w:hint="default" w:ascii="Times New Roman" w:hAnsi="Times New Roman" w:cs="Times New Roman"/>
                      <w:color w:val="auto"/>
                      <w:sz w:val="21"/>
                      <w:szCs w:val="21"/>
                      <w:lang w:eastAsia="zh-CN"/>
                    </w:rPr>
                    <w:t>危险废物暂存间内</w:t>
                  </w:r>
                  <w:r>
                    <w:rPr>
                      <w:rFonts w:hint="default" w:ascii="Times New Roman" w:hAnsi="Times New Roman" w:cs="Times New Roman"/>
                      <w:color w:val="auto"/>
                      <w:sz w:val="21"/>
                      <w:szCs w:val="21"/>
                    </w:rPr>
                    <w:t>，委托具有危险废物处理资质单位处置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441"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废切削液</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HW09</w:t>
                  </w:r>
                </w:p>
              </w:tc>
              <w:tc>
                <w:tcPr>
                  <w:tcW w:w="1280"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900-006-09</w:t>
                  </w:r>
                </w:p>
              </w:tc>
              <w:tc>
                <w:tcPr>
                  <w:tcW w:w="104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0.11</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金属切削、磨加工</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液态</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w:t>
                  </w:r>
                </w:p>
              </w:tc>
              <w:tc>
                <w:tcPr>
                  <w:tcW w:w="1046" w:type="dxa"/>
                  <w:vMerge w:val="continue"/>
                  <w:noWrap w:val="0"/>
                  <w:vAlign w:val="center"/>
                </w:tcPr>
                <w:p>
                  <w:pPr>
                    <w:pStyle w:val="29"/>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441"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HW49</w:t>
                  </w:r>
                </w:p>
              </w:tc>
              <w:tc>
                <w:tcPr>
                  <w:tcW w:w="1280"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900-0</w:t>
                  </w:r>
                  <w:r>
                    <w:rPr>
                      <w:rFonts w:hint="default" w:ascii="Times New Roman" w:hAnsi="Times New Roman" w:cs="Times New Roman"/>
                      <w:color w:val="auto"/>
                      <w:sz w:val="21"/>
                      <w:szCs w:val="21"/>
                      <w:lang w:val="en-US" w:eastAsia="zh-CN"/>
                    </w:rPr>
                    <w:t>39</w:t>
                  </w:r>
                  <w:r>
                    <w:rPr>
                      <w:rFonts w:hint="default" w:ascii="Times New Roman" w:hAnsi="Times New Roman" w:cs="Times New Roman"/>
                      <w:color w:val="auto"/>
                      <w:sz w:val="21"/>
                      <w:szCs w:val="21"/>
                    </w:rPr>
                    <w:t>-49</w:t>
                  </w:r>
                </w:p>
              </w:tc>
              <w:tc>
                <w:tcPr>
                  <w:tcW w:w="104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4.2664</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有机废气吸附</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w:t>
                  </w:r>
                </w:p>
              </w:tc>
              <w:tc>
                <w:tcPr>
                  <w:tcW w:w="1046" w:type="dxa"/>
                  <w:vMerge w:val="continue"/>
                  <w:noWrap w:val="0"/>
                  <w:vAlign w:val="center"/>
                </w:tcPr>
                <w:p>
                  <w:pPr>
                    <w:pStyle w:val="29"/>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441"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废聚氨酯预聚体</w:t>
                  </w:r>
                  <w:r>
                    <w:rPr>
                      <w:rFonts w:hint="eastAsia" w:cs="Times New Roman"/>
                      <w:color w:val="auto"/>
                      <w:sz w:val="21"/>
                      <w:szCs w:val="21"/>
                      <w:lang w:val="en-US" w:eastAsia="zh-CN"/>
                    </w:rPr>
                    <w:t>桶</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HW49</w:t>
                  </w:r>
                </w:p>
              </w:tc>
              <w:tc>
                <w:tcPr>
                  <w:tcW w:w="1280"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900-041-49</w:t>
                  </w:r>
                </w:p>
              </w:tc>
              <w:tc>
                <w:tcPr>
                  <w:tcW w:w="104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8.0</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聚氨酯预聚体和固化剂盛装</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T/In</w:t>
                  </w:r>
                </w:p>
              </w:tc>
              <w:tc>
                <w:tcPr>
                  <w:tcW w:w="1046" w:type="dxa"/>
                  <w:vMerge w:val="continue"/>
                  <w:noWrap w:val="0"/>
                  <w:vAlign w:val="center"/>
                </w:tcPr>
                <w:p>
                  <w:pPr>
                    <w:pStyle w:val="29"/>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441"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废机油桶</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HW08</w:t>
                  </w:r>
                </w:p>
              </w:tc>
              <w:tc>
                <w:tcPr>
                  <w:tcW w:w="1280"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900-2</w:t>
                  </w:r>
                  <w:r>
                    <w:rPr>
                      <w:rFonts w:hint="eastAsia" w:ascii="Times New Roman" w:hAnsi="Times New Roman" w:cs="Times New Roman"/>
                      <w:color w:val="auto"/>
                      <w:sz w:val="21"/>
                      <w:szCs w:val="21"/>
                      <w:lang w:val="en-US" w:eastAsia="zh-CN"/>
                    </w:rPr>
                    <w:t>49</w:t>
                  </w:r>
                  <w:r>
                    <w:rPr>
                      <w:rFonts w:hint="default" w:ascii="Times New Roman" w:hAnsi="Times New Roman" w:cs="Times New Roman"/>
                      <w:color w:val="auto"/>
                      <w:sz w:val="21"/>
                      <w:szCs w:val="21"/>
                      <w:lang w:val="en-US" w:eastAsia="zh-CN"/>
                    </w:rPr>
                    <w:t>-08</w:t>
                  </w:r>
                </w:p>
              </w:tc>
              <w:tc>
                <w:tcPr>
                  <w:tcW w:w="104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机油盛装</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固液</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w:t>
                  </w:r>
                </w:p>
              </w:tc>
              <w:tc>
                <w:tcPr>
                  <w:tcW w:w="1046" w:type="dxa"/>
                  <w:vMerge w:val="continue"/>
                  <w:noWrap w:val="0"/>
                  <w:vAlign w:val="center"/>
                </w:tcPr>
                <w:p>
                  <w:pPr>
                    <w:pStyle w:val="29"/>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441"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废切削液桶</w:t>
                  </w:r>
                </w:p>
              </w:tc>
              <w:tc>
                <w:tcPr>
                  <w:tcW w:w="1044"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1280"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900-041-49</w:t>
                  </w:r>
                </w:p>
              </w:tc>
              <w:tc>
                <w:tcPr>
                  <w:tcW w:w="104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切削液盛装</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T/In</w:t>
                  </w:r>
                </w:p>
              </w:tc>
              <w:tc>
                <w:tcPr>
                  <w:tcW w:w="1046" w:type="dxa"/>
                  <w:vMerge w:val="continue"/>
                  <w:noWrap w:val="0"/>
                  <w:vAlign w:val="center"/>
                </w:tcPr>
                <w:p>
                  <w:pPr>
                    <w:pStyle w:val="29"/>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7"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w:t>
                  </w:r>
                </w:p>
              </w:tc>
              <w:tc>
                <w:tcPr>
                  <w:tcW w:w="1441" w:type="dxa"/>
                  <w:noWrap w:val="0"/>
                  <w:vAlign w:val="center"/>
                </w:tcPr>
                <w:p>
                  <w:pPr>
                    <w:pStyle w:val="29"/>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w:t>
                  </w:r>
                  <w:r>
                    <w:rPr>
                      <w:rFonts w:hint="eastAsia" w:ascii="Times New Roman" w:hAnsi="Times New Roman" w:cs="Times New Roman"/>
                      <w:color w:val="auto"/>
                      <w:sz w:val="21"/>
                      <w:szCs w:val="21"/>
                      <w:lang w:eastAsia="zh-CN"/>
                    </w:rPr>
                    <w:t>清洗剂</w:t>
                  </w:r>
                  <w:r>
                    <w:rPr>
                      <w:rFonts w:hint="default" w:ascii="Times New Roman" w:hAnsi="Times New Roman" w:cs="Times New Roman"/>
                      <w:color w:val="auto"/>
                      <w:sz w:val="21"/>
                      <w:szCs w:val="21"/>
                      <w:lang w:eastAsia="zh-CN"/>
                    </w:rPr>
                    <w:t>桶</w:t>
                  </w:r>
                </w:p>
              </w:tc>
              <w:tc>
                <w:tcPr>
                  <w:tcW w:w="1044"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1280"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900-041-49</w:t>
                  </w:r>
                </w:p>
              </w:tc>
              <w:tc>
                <w:tcPr>
                  <w:tcW w:w="104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cs="Times New Roman"/>
                      <w:color w:val="auto"/>
                      <w:sz w:val="21"/>
                      <w:szCs w:val="21"/>
                      <w:lang w:val="en-US" w:eastAsia="zh-CN"/>
                    </w:rPr>
                    <w:t>1</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清洗剂</w:t>
                  </w:r>
                  <w:r>
                    <w:rPr>
                      <w:rFonts w:hint="default" w:ascii="Times New Roman" w:hAnsi="Times New Roman" w:cs="Times New Roman"/>
                      <w:color w:val="auto"/>
                      <w:sz w:val="21"/>
                      <w:szCs w:val="21"/>
                      <w:lang w:val="en-US" w:eastAsia="zh-CN"/>
                    </w:rPr>
                    <w:t>盛装</w:t>
                  </w:r>
                </w:p>
              </w:tc>
              <w:tc>
                <w:tcPr>
                  <w:tcW w:w="104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104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T/In</w:t>
                  </w:r>
                </w:p>
              </w:tc>
              <w:tc>
                <w:tcPr>
                  <w:tcW w:w="1046" w:type="dxa"/>
                  <w:vMerge w:val="continue"/>
                  <w:noWrap w:val="0"/>
                  <w:vAlign w:val="center"/>
                </w:tcPr>
                <w:p>
                  <w:pPr>
                    <w:pStyle w:val="29"/>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7" w:type="dxa"/>
                  <w:noWrap w:val="0"/>
                  <w:vAlign w:val="center"/>
                </w:tcPr>
                <w:p>
                  <w:pPr>
                    <w:pStyle w:val="29"/>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1441" w:type="dxa"/>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废弃含油抹布、劳保用品</w:t>
                  </w:r>
                </w:p>
              </w:tc>
              <w:tc>
                <w:tcPr>
                  <w:tcW w:w="104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HW49</w:t>
                  </w:r>
                </w:p>
              </w:tc>
              <w:tc>
                <w:tcPr>
                  <w:tcW w:w="128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900-041-49</w:t>
                  </w:r>
                </w:p>
              </w:tc>
              <w:tc>
                <w:tcPr>
                  <w:tcW w:w="1046"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0.02</w:t>
                  </w:r>
                </w:p>
              </w:tc>
              <w:tc>
                <w:tcPr>
                  <w:tcW w:w="1045" w:type="dxa"/>
                  <w:noWrap w:val="0"/>
                  <w:vAlign w:val="center"/>
                </w:tcPr>
                <w:p>
                  <w:pPr>
                    <w:jc w:val="center"/>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机加工</w:t>
                  </w:r>
                </w:p>
              </w:tc>
              <w:tc>
                <w:tcPr>
                  <w:tcW w:w="1045"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固态</w:t>
                  </w:r>
                </w:p>
              </w:tc>
              <w:tc>
                <w:tcPr>
                  <w:tcW w:w="1044"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T/In</w:t>
                  </w:r>
                </w:p>
              </w:tc>
              <w:tc>
                <w:tcPr>
                  <w:tcW w:w="1046" w:type="dxa"/>
                  <w:vMerge w:val="continue"/>
                  <w:noWrap w:val="0"/>
                  <w:vAlign w:val="center"/>
                </w:tcPr>
                <w:p>
                  <w:pPr>
                    <w:pStyle w:val="29"/>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gridSpan w:val="9"/>
                  <w:noWrap w:val="0"/>
                  <w:vAlign w:val="center"/>
                </w:tcPr>
                <w:p>
                  <w:pPr>
                    <w:pStyle w:val="29"/>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*注：污染防治措施一栏中应列明各类危险废物的贮存、利用或处置的具体方式。对同一贮存区同时存放多种危险废物的，应明确分类、分区、包装存放的具体要求。</w:t>
                  </w:r>
                </w:p>
              </w:tc>
            </w:tr>
          </w:tbl>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AU" w:eastAsia="zh-CN"/>
              </w:rPr>
              <w:t>根据</w:t>
            </w:r>
            <w:r>
              <w:rPr>
                <w:rFonts w:hint="eastAsia" w:ascii="Times New Roman" w:hAnsi="Times New Roman" w:cs="Times New Roman"/>
                <w:color w:val="auto"/>
                <w:sz w:val="24"/>
                <w:szCs w:val="24"/>
                <w:lang w:val="en-AU" w:eastAsia="zh-CN"/>
              </w:rPr>
              <w:t>《排污许可证申请与核发技术规范</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AU" w:eastAsia="zh-CN"/>
              </w:rPr>
              <w:t>工业固体废物（试行）》（HJ1200-2021）</w:t>
            </w:r>
            <w:r>
              <w:rPr>
                <w:rFonts w:hint="default" w:ascii="Times New Roman" w:hAnsi="Times New Roman" w:cs="Times New Roman"/>
                <w:color w:val="auto"/>
                <w:sz w:val="24"/>
                <w:szCs w:val="24"/>
                <w:lang w:val="en-AU" w:eastAsia="zh-CN"/>
              </w:rPr>
              <w:t>，本项目</w:t>
            </w:r>
            <w:r>
              <w:rPr>
                <w:rFonts w:hint="eastAsia" w:ascii="Times New Roman" w:hAnsi="Times New Roman" w:cs="Times New Roman"/>
                <w:color w:val="auto"/>
                <w:sz w:val="24"/>
                <w:szCs w:val="24"/>
                <w:lang w:val="en-AU" w:eastAsia="zh-CN"/>
              </w:rPr>
              <w:t>一般工业固体废物</w:t>
            </w:r>
            <w:r>
              <w:rPr>
                <w:rFonts w:hint="default" w:ascii="Times New Roman" w:hAnsi="Times New Roman" w:cs="Times New Roman"/>
                <w:color w:val="auto"/>
                <w:sz w:val="24"/>
                <w:szCs w:val="24"/>
                <w:lang w:val="en-AU" w:eastAsia="zh-CN"/>
              </w:rPr>
              <w:t>汇总表见表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lang w:val="en-US" w:eastAsia="zh-CN"/>
              </w:rPr>
              <w:t>。</w:t>
            </w:r>
          </w:p>
          <w:p>
            <w:pPr>
              <w:spacing w:line="24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表</w:t>
            </w:r>
            <w:r>
              <w:rPr>
                <w:rFonts w:hint="default" w:ascii="Times New Roman" w:hAnsi="Times New Roman"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35</w:t>
            </w:r>
            <w:r>
              <w:rPr>
                <w:rFonts w:hint="default" w:ascii="Times New Roman" w:hAnsi="Times New Roman" w:cs="Times New Roman"/>
                <w:b/>
                <w:bCs/>
                <w:color w:val="auto"/>
                <w:sz w:val="24"/>
                <w:szCs w:val="24"/>
                <w:lang w:val="en-US" w:eastAsia="zh-CN"/>
              </w:rPr>
              <w:t xml:space="preserve">  建设项目</w:t>
            </w:r>
            <w:r>
              <w:rPr>
                <w:rFonts w:hint="eastAsia" w:ascii="Times New Roman" w:hAnsi="Times New Roman" w:cs="Times New Roman"/>
                <w:b/>
                <w:bCs/>
                <w:color w:val="auto"/>
                <w:sz w:val="24"/>
                <w:szCs w:val="24"/>
                <w:lang w:val="en-US" w:eastAsia="zh-CN"/>
              </w:rPr>
              <w:t>一般工业固体废物</w:t>
            </w:r>
            <w:r>
              <w:rPr>
                <w:rFonts w:hint="default" w:ascii="Times New Roman" w:hAnsi="Times New Roman" w:cs="Times New Roman"/>
                <w:b/>
                <w:bCs/>
                <w:color w:val="auto"/>
                <w:sz w:val="24"/>
                <w:szCs w:val="24"/>
                <w:lang w:val="en-US" w:eastAsia="zh-CN"/>
              </w:rPr>
              <w:t>汇总表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426"/>
              <w:gridCol w:w="1924"/>
              <w:gridCol w:w="1316"/>
              <w:gridCol w:w="1546"/>
              <w:gridCol w:w="826"/>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序号</w:t>
                  </w:r>
                </w:p>
              </w:tc>
              <w:tc>
                <w:tcPr>
                  <w:tcW w:w="1426"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名称</w:t>
                  </w:r>
                </w:p>
              </w:tc>
              <w:tc>
                <w:tcPr>
                  <w:tcW w:w="1924"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类别</w:t>
                  </w:r>
                </w:p>
              </w:tc>
              <w:tc>
                <w:tcPr>
                  <w:tcW w:w="1316"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产生量</w:t>
                  </w:r>
                </w:p>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（吨/年）</w:t>
                  </w:r>
                </w:p>
              </w:tc>
              <w:tc>
                <w:tcPr>
                  <w:tcW w:w="1546"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产生环节</w:t>
                  </w:r>
                </w:p>
              </w:tc>
              <w:tc>
                <w:tcPr>
                  <w:tcW w:w="826"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物理</w:t>
                  </w:r>
                </w:p>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性状</w:t>
                  </w:r>
                </w:p>
              </w:tc>
              <w:tc>
                <w:tcPr>
                  <w:tcW w:w="1888"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1426" w:type="dxa"/>
                  <w:noWrap w:val="0"/>
                  <w:vAlign w:val="center"/>
                </w:tcPr>
                <w:p>
                  <w:pPr>
                    <w:pStyle w:val="39"/>
                    <w:ind w:firstLine="0" w:firstLineChars="0"/>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lang w:eastAsia="zh-CN"/>
                    </w:rPr>
                    <w:t>下脚料</w:t>
                  </w:r>
                </w:p>
              </w:tc>
              <w:tc>
                <w:tcPr>
                  <w:tcW w:w="1924"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一般工业固体废物</w:t>
                  </w:r>
                </w:p>
              </w:tc>
              <w:tc>
                <w:tcPr>
                  <w:tcW w:w="1316" w:type="dxa"/>
                  <w:noWrap w:val="0"/>
                  <w:vAlign w:val="center"/>
                </w:tcPr>
                <w:p>
                  <w:pPr>
                    <w:pStyle w:val="29"/>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lang w:val="en-US" w:eastAsia="zh-CN"/>
                    </w:rPr>
                    <w:t>150</w:t>
                  </w:r>
                  <w:r>
                    <w:rPr>
                      <w:rFonts w:hint="eastAsia" w:cs="Times New Roman"/>
                      <w:color w:val="auto"/>
                      <w:sz w:val="21"/>
                      <w:szCs w:val="21"/>
                      <w:lang w:val="en-US" w:eastAsia="zh-CN"/>
                    </w:rPr>
                    <w:t>.4</w:t>
                  </w:r>
                </w:p>
              </w:tc>
              <w:tc>
                <w:tcPr>
                  <w:tcW w:w="1546"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激光切割、机加工、锯床等</w:t>
                  </w:r>
                </w:p>
              </w:tc>
              <w:tc>
                <w:tcPr>
                  <w:tcW w:w="826"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固态</w:t>
                  </w:r>
                </w:p>
              </w:tc>
              <w:tc>
                <w:tcPr>
                  <w:tcW w:w="1888" w:type="dxa"/>
                  <w:noWrap w:val="0"/>
                  <w:vAlign w:val="center"/>
                </w:tcPr>
                <w:p>
                  <w:pPr>
                    <w:pStyle w:val="39"/>
                    <w:ind w:firstLine="0" w:firstLineChars="0"/>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收集后出售给物资回收部门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1426" w:type="dxa"/>
                  <w:noWrap w:val="0"/>
                  <w:vAlign w:val="center"/>
                </w:tcPr>
                <w:p>
                  <w:pPr>
                    <w:pStyle w:val="39"/>
                    <w:ind w:firstLine="0" w:firstLineChars="0"/>
                    <w:rPr>
                      <w:rFonts w:hint="eastAsia" w:ascii="Times New Roman" w:hAnsi="Times New Roman" w:cs="Times New Roman"/>
                      <w:color w:val="auto"/>
                      <w:szCs w:val="21"/>
                      <w:lang w:val="en-US" w:eastAsia="zh-CN"/>
                    </w:rPr>
                  </w:pPr>
                  <w:r>
                    <w:rPr>
                      <w:rFonts w:hint="default" w:ascii="Times New Roman" w:hAnsi="Times New Roman" w:cs="Times New Roman"/>
                      <w:color w:val="auto"/>
                      <w:sz w:val="21"/>
                      <w:szCs w:val="21"/>
                      <w:lang w:eastAsia="zh-CN"/>
                    </w:rPr>
                    <w:t>焊渣</w:t>
                  </w:r>
                </w:p>
              </w:tc>
              <w:tc>
                <w:tcPr>
                  <w:tcW w:w="1924"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一般工业固体废物</w:t>
                  </w:r>
                </w:p>
              </w:tc>
              <w:tc>
                <w:tcPr>
                  <w:tcW w:w="1316" w:type="dxa"/>
                  <w:noWrap w:val="0"/>
                  <w:vAlign w:val="center"/>
                </w:tcPr>
                <w:p>
                  <w:pPr>
                    <w:pStyle w:val="29"/>
                    <w:jc w:val="center"/>
                    <w:rPr>
                      <w:rFonts w:hint="default" w:ascii="Times New Roman" w:hAnsi="Times New Roman" w:cs="Times New Roman"/>
                      <w:color w:val="auto"/>
                      <w:szCs w:val="21"/>
                      <w:lang w:val="en-US" w:eastAsia="zh-CN"/>
                    </w:rPr>
                  </w:pPr>
                  <w:r>
                    <w:rPr>
                      <w:rFonts w:hint="eastAsia" w:cs="Times New Roman"/>
                      <w:color w:val="auto"/>
                      <w:sz w:val="21"/>
                      <w:szCs w:val="21"/>
                      <w:lang w:val="en-US" w:eastAsia="zh-CN"/>
                    </w:rPr>
                    <w:t>2.6</w:t>
                  </w:r>
                </w:p>
              </w:tc>
              <w:tc>
                <w:tcPr>
                  <w:tcW w:w="1546"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焊接</w:t>
                  </w:r>
                </w:p>
              </w:tc>
              <w:tc>
                <w:tcPr>
                  <w:tcW w:w="826"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固态</w:t>
                  </w:r>
                </w:p>
              </w:tc>
              <w:tc>
                <w:tcPr>
                  <w:tcW w:w="1888" w:type="dxa"/>
                  <w:noWrap w:val="0"/>
                  <w:vAlign w:val="center"/>
                </w:tcPr>
                <w:p>
                  <w:pPr>
                    <w:pStyle w:val="39"/>
                    <w:ind w:firstLine="0" w:firstLineChars="0"/>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收集后出售给物资回收部门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p>
              </w:tc>
              <w:tc>
                <w:tcPr>
                  <w:tcW w:w="1426" w:type="dxa"/>
                  <w:noWrap w:val="0"/>
                  <w:vAlign w:val="center"/>
                </w:tcPr>
                <w:p>
                  <w:pPr>
                    <w:pStyle w:val="39"/>
                    <w:ind w:firstLine="0" w:firstLineChars="0"/>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除尘器收集的</w:t>
                  </w:r>
                  <w:r>
                    <w:rPr>
                      <w:rFonts w:hint="eastAsia" w:cs="Times New Roman"/>
                      <w:color w:val="auto"/>
                      <w:sz w:val="21"/>
                      <w:szCs w:val="21"/>
                      <w:lang w:val="en-US" w:eastAsia="zh-CN"/>
                    </w:rPr>
                    <w:t>颗粒物</w:t>
                  </w:r>
                  <w:r>
                    <w:rPr>
                      <w:rFonts w:hint="eastAsia" w:cs="Times New Roman"/>
                      <w:color w:val="auto"/>
                      <w:sz w:val="21"/>
                      <w:szCs w:val="21"/>
                      <w:lang w:eastAsia="zh-CN"/>
                    </w:rPr>
                    <w:t>（</w:t>
                  </w:r>
                  <w:r>
                    <w:rPr>
                      <w:rFonts w:hint="eastAsia" w:cs="Times New Roman"/>
                      <w:color w:val="auto"/>
                      <w:sz w:val="21"/>
                      <w:szCs w:val="21"/>
                      <w:lang w:val="en-US" w:eastAsia="zh-CN"/>
                    </w:rPr>
                    <w:t>激光切割、焊接及抛丸</w:t>
                  </w:r>
                  <w:r>
                    <w:rPr>
                      <w:rFonts w:hint="eastAsia" w:cs="Times New Roman"/>
                      <w:color w:val="auto"/>
                      <w:sz w:val="21"/>
                      <w:szCs w:val="21"/>
                      <w:lang w:eastAsia="zh-CN"/>
                    </w:rPr>
                    <w:t>）</w:t>
                  </w:r>
                </w:p>
              </w:tc>
              <w:tc>
                <w:tcPr>
                  <w:tcW w:w="1924"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31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8.99479</w:t>
                  </w:r>
                </w:p>
              </w:tc>
              <w:tc>
                <w:tcPr>
                  <w:tcW w:w="1546"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除尘器除尘</w:t>
                  </w:r>
                </w:p>
              </w:tc>
              <w:tc>
                <w:tcPr>
                  <w:tcW w:w="826"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固态</w:t>
                  </w:r>
                </w:p>
              </w:tc>
              <w:tc>
                <w:tcPr>
                  <w:tcW w:w="1888" w:type="dxa"/>
                  <w:noWrap w:val="0"/>
                  <w:vAlign w:val="center"/>
                </w:tcPr>
                <w:p>
                  <w:pPr>
                    <w:pStyle w:val="39"/>
                    <w:ind w:firstLine="0" w:firstLineChars="0"/>
                    <w:rPr>
                      <w:rFonts w:hint="eastAsia" w:ascii="Times New Roman" w:hAnsi="Times New Roman" w:cs="Times New Roman"/>
                      <w:color w:val="auto"/>
                      <w:szCs w:val="21"/>
                      <w:lang w:val="en-US" w:eastAsia="zh-CN"/>
                    </w:rPr>
                  </w:pPr>
                  <w:r>
                    <w:rPr>
                      <w:rFonts w:hint="default" w:ascii="Times New Roman" w:hAnsi="Times New Roman" w:cs="Times New Roman"/>
                      <w:color w:val="auto"/>
                      <w:sz w:val="21"/>
                      <w:szCs w:val="21"/>
                    </w:rPr>
                    <w:t>收集后出售给物资回收部门</w:t>
                  </w:r>
                  <w:r>
                    <w:rPr>
                      <w:rFonts w:hint="eastAsia" w:cs="Times New Roman"/>
                      <w:color w:val="auto"/>
                      <w:sz w:val="21"/>
                      <w:szCs w:val="21"/>
                      <w:lang w:eastAsia="zh-CN"/>
                    </w:rPr>
                    <w:t>或交由环卫部门清运处置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p>
              </w:tc>
              <w:tc>
                <w:tcPr>
                  <w:tcW w:w="1426"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除尘器收集的塑粉</w:t>
                  </w:r>
                </w:p>
                <w:p>
                  <w:pPr>
                    <w:pStyle w:val="39"/>
                    <w:ind w:firstLine="0" w:firstLineChars="0"/>
                    <w:rPr>
                      <w:rFonts w:hint="eastAsia" w:ascii="Times New Roman" w:hAnsi="Times New Roman" w:cs="Times New Roman"/>
                      <w:color w:val="auto"/>
                      <w:szCs w:val="21"/>
                      <w:lang w:val="en-US" w:eastAsia="zh-CN"/>
                    </w:rPr>
                  </w:pPr>
                  <w:r>
                    <w:rPr>
                      <w:rFonts w:hint="eastAsia" w:cs="Times New Roman"/>
                      <w:color w:val="auto"/>
                      <w:sz w:val="21"/>
                      <w:szCs w:val="21"/>
                      <w:lang w:eastAsia="zh-CN"/>
                    </w:rPr>
                    <w:t>（喷粉）</w:t>
                  </w:r>
                </w:p>
              </w:tc>
              <w:tc>
                <w:tcPr>
                  <w:tcW w:w="1924"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一般工业固体废物</w:t>
                  </w:r>
                </w:p>
              </w:tc>
              <w:tc>
                <w:tcPr>
                  <w:tcW w:w="1316" w:type="dxa"/>
                  <w:noWrap w:val="0"/>
                  <w:vAlign w:val="center"/>
                </w:tcPr>
                <w:p>
                  <w:pPr>
                    <w:pStyle w:val="29"/>
                    <w:jc w:val="center"/>
                    <w:rPr>
                      <w:rFonts w:hint="default" w:ascii="Times New Roman" w:hAnsi="Times New Roman" w:cs="Times New Roman"/>
                      <w:color w:val="auto"/>
                      <w:szCs w:val="21"/>
                      <w:lang w:val="en-US" w:eastAsia="zh-CN"/>
                    </w:rPr>
                  </w:pPr>
                  <w:r>
                    <w:rPr>
                      <w:rFonts w:hint="eastAsia" w:cs="Times New Roman"/>
                      <w:color w:val="auto"/>
                      <w:sz w:val="21"/>
                      <w:szCs w:val="21"/>
                      <w:lang w:val="en-US" w:eastAsia="zh-CN"/>
                    </w:rPr>
                    <w:t>6.5892</w:t>
                  </w:r>
                </w:p>
              </w:tc>
              <w:tc>
                <w:tcPr>
                  <w:tcW w:w="1546"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除尘器除尘</w:t>
                  </w:r>
                </w:p>
              </w:tc>
              <w:tc>
                <w:tcPr>
                  <w:tcW w:w="826"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固态</w:t>
                  </w:r>
                </w:p>
              </w:tc>
              <w:tc>
                <w:tcPr>
                  <w:tcW w:w="1888" w:type="dxa"/>
                  <w:noWrap w:val="0"/>
                  <w:vAlign w:val="center"/>
                </w:tcPr>
                <w:p>
                  <w:pPr>
                    <w:pStyle w:val="39"/>
                    <w:ind w:firstLine="0" w:firstLineChars="0"/>
                    <w:rPr>
                      <w:rFonts w:hint="eastAsia" w:ascii="Times New Roman" w:hAnsi="Times New Roman" w:cs="Times New Roman"/>
                      <w:color w:val="auto"/>
                      <w:szCs w:val="21"/>
                      <w:lang w:val="en-US" w:eastAsia="zh-CN"/>
                    </w:rPr>
                  </w:pPr>
                  <w:r>
                    <w:rPr>
                      <w:rFonts w:hint="default" w:ascii="Times New Roman" w:hAnsi="Times New Roman" w:cs="Times New Roman"/>
                      <w:color w:val="auto"/>
                      <w:sz w:val="21"/>
                      <w:szCs w:val="21"/>
                    </w:rPr>
                    <w:t>收集后</w:t>
                  </w:r>
                  <w:r>
                    <w:rPr>
                      <w:rFonts w:hint="default" w:ascii="Times New Roman" w:hAnsi="Times New Roman" w:cs="Times New Roman"/>
                      <w:color w:val="auto"/>
                      <w:sz w:val="21"/>
                      <w:szCs w:val="21"/>
                      <w:lang w:eastAsia="zh-CN"/>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noWrap w:val="0"/>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5</w:t>
                  </w:r>
                </w:p>
              </w:tc>
              <w:tc>
                <w:tcPr>
                  <w:tcW w:w="1426"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双桶布袋吸尘机</w:t>
                  </w:r>
                  <w:r>
                    <w:rPr>
                      <w:rFonts w:hint="default" w:ascii="Times New Roman" w:hAnsi="Times New Roman" w:cs="Times New Roman"/>
                      <w:color w:val="auto"/>
                      <w:sz w:val="21"/>
                      <w:szCs w:val="21"/>
                      <w:lang w:eastAsia="zh-CN"/>
                    </w:rPr>
                    <w:t>收集的</w:t>
                  </w:r>
                  <w:r>
                    <w:rPr>
                      <w:rFonts w:hint="eastAsia" w:ascii="Times New Roman" w:hAnsi="Times New Roman" w:cs="Times New Roman"/>
                      <w:color w:val="auto"/>
                      <w:sz w:val="21"/>
                      <w:szCs w:val="21"/>
                      <w:lang w:val="en-US" w:eastAsia="zh-CN"/>
                    </w:rPr>
                    <w:t>颗粒物</w:t>
                  </w:r>
                </w:p>
              </w:tc>
              <w:tc>
                <w:tcPr>
                  <w:tcW w:w="1924"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一般工业固体废物</w:t>
                  </w:r>
                </w:p>
              </w:tc>
              <w:tc>
                <w:tcPr>
                  <w:tcW w:w="131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w:t>
                  </w:r>
                  <w:r>
                    <w:rPr>
                      <w:rFonts w:hint="eastAsia" w:cs="Times New Roman"/>
                      <w:color w:val="auto"/>
                      <w:sz w:val="21"/>
                      <w:szCs w:val="21"/>
                      <w:lang w:val="en-US" w:eastAsia="zh-CN"/>
                    </w:rPr>
                    <w:t>784</w:t>
                  </w:r>
                </w:p>
              </w:tc>
              <w:tc>
                <w:tcPr>
                  <w:tcW w:w="1546"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除尘器除尘</w:t>
                  </w:r>
                </w:p>
              </w:tc>
              <w:tc>
                <w:tcPr>
                  <w:tcW w:w="826"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固态</w:t>
                  </w:r>
                </w:p>
              </w:tc>
              <w:tc>
                <w:tcPr>
                  <w:tcW w:w="1888" w:type="dxa"/>
                  <w:noWrap w:val="0"/>
                  <w:vAlign w:val="center"/>
                </w:tcPr>
                <w:p>
                  <w:pPr>
                    <w:pStyle w:val="39"/>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收集后交由环卫部门清运处置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noWrap w:val="0"/>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6</w:t>
                  </w:r>
                </w:p>
              </w:tc>
              <w:tc>
                <w:tcPr>
                  <w:tcW w:w="1426" w:type="dxa"/>
                  <w:noWrap w:val="0"/>
                  <w:vAlign w:val="center"/>
                </w:tcPr>
                <w:p>
                  <w:pPr>
                    <w:pStyle w:val="39"/>
                    <w:ind w:firstLine="0" w:firstLineChars="0"/>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lang w:eastAsia="zh-CN"/>
                    </w:rPr>
                    <w:t>废</w:t>
                  </w:r>
                  <w:r>
                    <w:rPr>
                      <w:rFonts w:hint="eastAsia" w:cs="Times New Roman"/>
                      <w:color w:val="auto"/>
                      <w:sz w:val="21"/>
                      <w:szCs w:val="21"/>
                      <w:lang w:val="en-US" w:eastAsia="zh-CN"/>
                    </w:rPr>
                    <w:t>抛丸渣</w:t>
                  </w:r>
                </w:p>
              </w:tc>
              <w:tc>
                <w:tcPr>
                  <w:tcW w:w="1924"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一般工业固体废物</w:t>
                  </w:r>
                </w:p>
              </w:tc>
              <w:tc>
                <w:tcPr>
                  <w:tcW w:w="1316" w:type="dxa"/>
                  <w:noWrap w:val="0"/>
                  <w:vAlign w:val="center"/>
                </w:tcPr>
                <w:p>
                  <w:pPr>
                    <w:pStyle w:val="29"/>
                    <w:jc w:val="center"/>
                    <w:rPr>
                      <w:rFonts w:hint="default" w:ascii="Times New Roman" w:hAnsi="Times New Roman" w:cs="Times New Roman"/>
                      <w:color w:val="auto"/>
                      <w:szCs w:val="21"/>
                      <w:lang w:val="en-US" w:eastAsia="zh-CN"/>
                    </w:rPr>
                  </w:pPr>
                  <w:r>
                    <w:rPr>
                      <w:rFonts w:hint="eastAsia" w:cs="Times New Roman"/>
                      <w:color w:val="auto"/>
                      <w:sz w:val="21"/>
                      <w:szCs w:val="21"/>
                      <w:lang w:val="en-US" w:eastAsia="zh-CN"/>
                    </w:rPr>
                    <w:t>0.5</w:t>
                  </w:r>
                </w:p>
              </w:tc>
              <w:tc>
                <w:tcPr>
                  <w:tcW w:w="1546"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抛丸</w:t>
                  </w:r>
                </w:p>
              </w:tc>
              <w:tc>
                <w:tcPr>
                  <w:tcW w:w="826"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固态</w:t>
                  </w:r>
                </w:p>
              </w:tc>
              <w:tc>
                <w:tcPr>
                  <w:tcW w:w="1888" w:type="dxa"/>
                  <w:noWrap w:val="0"/>
                  <w:vAlign w:val="center"/>
                </w:tcPr>
                <w:p>
                  <w:pPr>
                    <w:pStyle w:val="39"/>
                    <w:ind w:firstLine="0" w:firstLineChars="0"/>
                    <w:rPr>
                      <w:rFonts w:hint="eastAsia" w:ascii="Times New Roman" w:hAnsi="Times New Roman" w:cs="Times New Roman"/>
                      <w:color w:val="auto"/>
                      <w:szCs w:val="21"/>
                      <w:lang w:val="en-US" w:eastAsia="zh-CN"/>
                    </w:rPr>
                  </w:pPr>
                  <w:r>
                    <w:rPr>
                      <w:rFonts w:hint="default" w:ascii="Times New Roman" w:hAnsi="Times New Roman" w:cs="Times New Roman"/>
                      <w:color w:val="auto"/>
                      <w:sz w:val="21"/>
                      <w:szCs w:val="21"/>
                    </w:rPr>
                    <w:t>收集后出售给物资回收部门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noWrap w:val="0"/>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7</w:t>
                  </w:r>
                </w:p>
              </w:tc>
              <w:tc>
                <w:tcPr>
                  <w:tcW w:w="1426" w:type="dxa"/>
                  <w:noWrap w:val="0"/>
                  <w:vAlign w:val="center"/>
                </w:tcPr>
                <w:p>
                  <w:pPr>
                    <w:pStyle w:val="39"/>
                    <w:ind w:firstLine="0" w:firstLineChars="0"/>
                    <w:rPr>
                      <w:rFonts w:hint="eastAsia" w:ascii="Times New Roman" w:hAnsi="Times New Roman" w:cs="Times New Roman"/>
                      <w:color w:val="auto"/>
                      <w:szCs w:val="21"/>
                      <w:lang w:val="en-US" w:eastAsia="zh-CN"/>
                    </w:rPr>
                  </w:pPr>
                  <w:r>
                    <w:rPr>
                      <w:rFonts w:hint="default" w:ascii="Times New Roman" w:hAnsi="Times New Roman" w:cs="Times New Roman"/>
                      <w:color w:val="auto"/>
                      <w:sz w:val="21"/>
                      <w:szCs w:val="21"/>
                      <w:lang w:eastAsia="zh-CN"/>
                    </w:rPr>
                    <w:t>边角料</w:t>
                  </w:r>
                </w:p>
              </w:tc>
              <w:tc>
                <w:tcPr>
                  <w:tcW w:w="1924"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一般工业固体废物</w:t>
                  </w:r>
                </w:p>
              </w:tc>
              <w:tc>
                <w:tcPr>
                  <w:tcW w:w="1316" w:type="dxa"/>
                  <w:noWrap w:val="0"/>
                  <w:vAlign w:val="center"/>
                </w:tcPr>
                <w:p>
                  <w:pPr>
                    <w:pStyle w:val="29"/>
                    <w:jc w:val="center"/>
                    <w:rPr>
                      <w:rFonts w:hint="eastAsia" w:ascii="Times New Roman" w:hAnsi="Times New Roman" w:cs="Times New Roman"/>
                      <w:color w:val="auto"/>
                      <w:szCs w:val="21"/>
                      <w:lang w:val="en-US" w:eastAsia="zh-CN"/>
                    </w:rPr>
                  </w:pPr>
                  <w:r>
                    <w:rPr>
                      <w:rFonts w:hint="default" w:ascii="Times New Roman" w:hAnsi="Times New Roman" w:cs="Times New Roman"/>
                      <w:color w:val="auto"/>
                      <w:sz w:val="21"/>
                      <w:szCs w:val="21"/>
                      <w:lang w:val="en-US" w:eastAsia="zh-CN"/>
                    </w:rPr>
                    <w:t>0.2</w:t>
                  </w:r>
                </w:p>
              </w:tc>
              <w:tc>
                <w:tcPr>
                  <w:tcW w:w="1546"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修边及剪毛</w:t>
                  </w:r>
                </w:p>
              </w:tc>
              <w:tc>
                <w:tcPr>
                  <w:tcW w:w="826"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固态</w:t>
                  </w:r>
                </w:p>
              </w:tc>
              <w:tc>
                <w:tcPr>
                  <w:tcW w:w="1888" w:type="dxa"/>
                  <w:noWrap w:val="0"/>
                  <w:vAlign w:val="center"/>
                </w:tcPr>
                <w:p>
                  <w:pPr>
                    <w:pStyle w:val="39"/>
                    <w:ind w:firstLine="0" w:firstLineChars="0"/>
                    <w:rPr>
                      <w:rFonts w:hint="eastAsia" w:ascii="Times New Roman" w:hAnsi="Times New Roman" w:cs="Times New Roman"/>
                      <w:color w:val="auto"/>
                      <w:szCs w:val="21"/>
                      <w:lang w:val="en-US" w:eastAsia="zh-CN"/>
                    </w:rPr>
                  </w:pPr>
                  <w:r>
                    <w:rPr>
                      <w:rFonts w:hint="default" w:ascii="Times New Roman" w:hAnsi="Times New Roman" w:cs="Times New Roman"/>
                      <w:color w:val="auto"/>
                      <w:sz w:val="21"/>
                      <w:szCs w:val="21"/>
                    </w:rPr>
                    <w:t>收集后出售给物资回收部门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noWrap w:val="0"/>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8</w:t>
                  </w:r>
                </w:p>
              </w:tc>
              <w:tc>
                <w:tcPr>
                  <w:tcW w:w="1426"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废包装箱</w:t>
                  </w:r>
                </w:p>
              </w:tc>
              <w:tc>
                <w:tcPr>
                  <w:tcW w:w="1924"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一般工业固体废物</w:t>
                  </w:r>
                </w:p>
              </w:tc>
              <w:tc>
                <w:tcPr>
                  <w:tcW w:w="1316"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0.2</w:t>
                  </w:r>
                </w:p>
              </w:tc>
              <w:tc>
                <w:tcPr>
                  <w:tcW w:w="1546"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塑粉等包装</w:t>
                  </w:r>
                </w:p>
              </w:tc>
              <w:tc>
                <w:tcPr>
                  <w:tcW w:w="826"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固态</w:t>
                  </w:r>
                </w:p>
              </w:tc>
              <w:tc>
                <w:tcPr>
                  <w:tcW w:w="1888" w:type="dxa"/>
                  <w:noWrap w:val="0"/>
                  <w:vAlign w:val="center"/>
                </w:tcPr>
                <w:p>
                  <w:pPr>
                    <w:pStyle w:val="39"/>
                    <w:ind w:firstLine="0" w:firstLineChars="0"/>
                    <w:rPr>
                      <w:rFonts w:hint="eastAsia" w:ascii="Times New Roman" w:hAnsi="Times New Roman" w:cs="Times New Roman"/>
                      <w:color w:val="auto"/>
                      <w:szCs w:val="21"/>
                      <w:lang w:val="en-US" w:eastAsia="zh-CN"/>
                    </w:rPr>
                  </w:pPr>
                  <w:r>
                    <w:rPr>
                      <w:rFonts w:hint="default" w:ascii="Times New Roman" w:hAnsi="Times New Roman" w:cs="Times New Roman"/>
                      <w:color w:val="auto"/>
                      <w:sz w:val="21"/>
                      <w:szCs w:val="21"/>
                    </w:rPr>
                    <w:t>收集后出售给物资回收部门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9</w:t>
                  </w:r>
                </w:p>
              </w:tc>
              <w:tc>
                <w:tcPr>
                  <w:tcW w:w="1426"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废包装袋</w:t>
                  </w:r>
                </w:p>
              </w:tc>
              <w:tc>
                <w:tcPr>
                  <w:tcW w:w="1924"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一般工业固体废物</w:t>
                  </w:r>
                </w:p>
              </w:tc>
              <w:tc>
                <w:tcPr>
                  <w:tcW w:w="1316"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0.01</w:t>
                  </w:r>
                </w:p>
              </w:tc>
              <w:tc>
                <w:tcPr>
                  <w:tcW w:w="1546" w:type="dxa"/>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金属丸包装</w:t>
                  </w:r>
                </w:p>
              </w:tc>
              <w:tc>
                <w:tcPr>
                  <w:tcW w:w="826"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固态</w:t>
                  </w:r>
                </w:p>
              </w:tc>
              <w:tc>
                <w:tcPr>
                  <w:tcW w:w="1888" w:type="dxa"/>
                  <w:noWrap w:val="0"/>
                  <w:vAlign w:val="center"/>
                </w:tcPr>
                <w:p>
                  <w:pPr>
                    <w:pStyle w:val="39"/>
                    <w:ind w:firstLine="0" w:firstLineChars="0"/>
                    <w:rPr>
                      <w:rFonts w:hint="eastAsia" w:ascii="Times New Roman" w:hAnsi="Times New Roman" w:cs="Times New Roman"/>
                      <w:color w:val="auto"/>
                      <w:szCs w:val="21"/>
                      <w:lang w:val="en-US" w:eastAsia="zh-CN"/>
                    </w:rPr>
                  </w:pPr>
                  <w:r>
                    <w:rPr>
                      <w:rFonts w:hint="default" w:ascii="Times New Roman" w:hAnsi="Times New Roman" w:cs="Times New Roman"/>
                      <w:color w:val="auto"/>
                      <w:sz w:val="21"/>
                      <w:szCs w:val="21"/>
                    </w:rPr>
                    <w:t>收集后出售给物资回收部门</w:t>
                  </w:r>
                </w:p>
              </w:tc>
            </w:tr>
          </w:tbl>
          <w:p>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建设项目</w:t>
            </w:r>
            <w:r>
              <w:rPr>
                <w:rFonts w:hint="eastAsia" w:ascii="Times New Roman" w:hAnsi="Times New Roman" w:cs="Times New Roman"/>
                <w:color w:val="auto"/>
                <w:sz w:val="24"/>
                <w:szCs w:val="24"/>
                <w:lang w:eastAsia="zh-CN"/>
              </w:rPr>
              <w:t>工业</w:t>
            </w:r>
            <w:r>
              <w:rPr>
                <w:rFonts w:hint="default" w:ascii="Times New Roman" w:hAnsi="Times New Roman" w:cs="Times New Roman"/>
                <w:color w:val="auto"/>
                <w:sz w:val="24"/>
                <w:szCs w:val="24"/>
              </w:rPr>
              <w:t>固体废物产生及处置情况见表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36</w:t>
            </w:r>
            <w:r>
              <w:rPr>
                <w:rFonts w:hint="default" w:ascii="Times New Roman" w:hAnsi="Times New Roman" w:cs="Times New Roman"/>
                <w:color w:val="auto"/>
                <w:sz w:val="24"/>
                <w:szCs w:val="24"/>
              </w:rPr>
              <w:t>。</w:t>
            </w:r>
          </w:p>
          <w:p>
            <w:pPr>
              <w:spacing w:line="24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ascii="Times New Roman" w:hAnsi="Times New Roman" w:cs="Times New Roman"/>
                <w:b/>
                <w:bCs/>
                <w:color w:val="auto"/>
                <w:sz w:val="24"/>
                <w:szCs w:val="24"/>
                <w:lang w:val="en-US" w:eastAsia="zh-CN"/>
              </w:rPr>
              <w:t>36</w:t>
            </w:r>
            <w:r>
              <w:rPr>
                <w:rFonts w:hint="default" w:ascii="Times New Roman" w:hAnsi="Times New Roman" w:cs="Times New Roman"/>
                <w:b/>
                <w:bCs/>
                <w:color w:val="auto"/>
                <w:sz w:val="24"/>
                <w:szCs w:val="24"/>
                <w:lang w:val="en-US" w:eastAsia="zh-CN"/>
              </w:rPr>
              <w:t xml:space="preserve">  项目固体废物产生情况表  单位：t/a</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923"/>
              <w:gridCol w:w="1872"/>
              <w:gridCol w:w="1232"/>
              <w:gridCol w:w="1004"/>
              <w:gridCol w:w="2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186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名称</w:t>
                  </w:r>
                </w:p>
              </w:tc>
              <w:tc>
                <w:tcPr>
                  <w:tcW w:w="181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固废属性</w:t>
                  </w:r>
                </w:p>
              </w:tc>
              <w:tc>
                <w:tcPr>
                  <w:tcW w:w="119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代码</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产生量</w:t>
                  </w:r>
                </w:p>
              </w:tc>
              <w:tc>
                <w:tcPr>
                  <w:tcW w:w="2875"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处理处置情况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866" w:type="dxa"/>
                  <w:noWrap w:val="0"/>
                  <w:vAlign w:val="center"/>
                </w:tcPr>
                <w:p>
                  <w:pPr>
                    <w:pStyle w:val="39"/>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生活垃圾</w:t>
                  </w:r>
                </w:p>
              </w:tc>
              <w:tc>
                <w:tcPr>
                  <w:tcW w:w="181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19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7.5</w:t>
                  </w:r>
                </w:p>
              </w:tc>
              <w:tc>
                <w:tcPr>
                  <w:tcW w:w="2875" w:type="dxa"/>
                  <w:noWrap w:val="0"/>
                  <w:vAlign w:val="center"/>
                </w:tcPr>
                <w:p>
                  <w:pPr>
                    <w:pStyle w:val="39"/>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收集后交由环卫部门清运处置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866" w:type="dxa"/>
                  <w:noWrap w:val="0"/>
                  <w:vAlign w:val="center"/>
                </w:tcPr>
                <w:p>
                  <w:pPr>
                    <w:pStyle w:val="39"/>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下脚料</w:t>
                  </w:r>
                </w:p>
              </w:tc>
              <w:tc>
                <w:tcPr>
                  <w:tcW w:w="181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19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900-999-99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150</w:t>
                  </w:r>
                  <w:r>
                    <w:rPr>
                      <w:rFonts w:hint="eastAsia" w:cs="Times New Roman"/>
                      <w:color w:val="auto"/>
                      <w:sz w:val="21"/>
                      <w:szCs w:val="21"/>
                      <w:lang w:val="en-US" w:eastAsia="zh-CN"/>
                    </w:rPr>
                    <w:t>.4</w:t>
                  </w:r>
                </w:p>
              </w:tc>
              <w:tc>
                <w:tcPr>
                  <w:tcW w:w="2875" w:type="dxa"/>
                  <w:noWrap w:val="0"/>
                  <w:vAlign w:val="center"/>
                </w:tcPr>
                <w:p>
                  <w:pPr>
                    <w:pStyle w:val="39"/>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收集后出售给物资回收部门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866"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焊渣</w:t>
                  </w:r>
                </w:p>
              </w:tc>
              <w:tc>
                <w:tcPr>
                  <w:tcW w:w="181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19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900-999-99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2.6</w:t>
                  </w:r>
                </w:p>
              </w:tc>
              <w:tc>
                <w:tcPr>
                  <w:tcW w:w="2875" w:type="dxa"/>
                  <w:noWrap w:val="0"/>
                  <w:vAlign w:val="center"/>
                </w:tcPr>
                <w:p>
                  <w:pPr>
                    <w:pStyle w:val="39"/>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收集后出售给物资回收部门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866"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除尘器收集的</w:t>
                  </w:r>
                  <w:r>
                    <w:rPr>
                      <w:rFonts w:hint="eastAsia" w:cs="Times New Roman"/>
                      <w:color w:val="auto"/>
                      <w:sz w:val="21"/>
                      <w:szCs w:val="21"/>
                      <w:lang w:val="en-US" w:eastAsia="zh-CN"/>
                    </w:rPr>
                    <w:t>颗粒物</w:t>
                  </w:r>
                  <w:r>
                    <w:rPr>
                      <w:rFonts w:hint="eastAsia" w:cs="Times New Roman"/>
                      <w:color w:val="auto"/>
                      <w:sz w:val="21"/>
                      <w:szCs w:val="21"/>
                      <w:lang w:eastAsia="zh-CN"/>
                    </w:rPr>
                    <w:t>（</w:t>
                  </w:r>
                  <w:r>
                    <w:rPr>
                      <w:rFonts w:hint="eastAsia" w:cs="Times New Roman"/>
                      <w:color w:val="auto"/>
                      <w:sz w:val="21"/>
                      <w:szCs w:val="21"/>
                      <w:lang w:val="en-US" w:eastAsia="zh-CN"/>
                    </w:rPr>
                    <w:t>激光切割、焊接及抛丸</w:t>
                  </w:r>
                  <w:r>
                    <w:rPr>
                      <w:rFonts w:hint="eastAsia" w:cs="Times New Roman"/>
                      <w:color w:val="auto"/>
                      <w:sz w:val="21"/>
                      <w:szCs w:val="21"/>
                      <w:lang w:eastAsia="zh-CN"/>
                    </w:rPr>
                    <w:t>）</w:t>
                  </w:r>
                </w:p>
              </w:tc>
              <w:tc>
                <w:tcPr>
                  <w:tcW w:w="181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19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900-999-99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8.99479</w:t>
                  </w:r>
                </w:p>
              </w:tc>
              <w:tc>
                <w:tcPr>
                  <w:tcW w:w="2875" w:type="dxa"/>
                  <w:noWrap w:val="0"/>
                  <w:vAlign w:val="center"/>
                </w:tcPr>
                <w:p>
                  <w:pPr>
                    <w:pStyle w:val="39"/>
                    <w:ind w:firstLine="0" w:firstLineChars="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收集后出售给物资回收部门</w:t>
                  </w:r>
                  <w:r>
                    <w:rPr>
                      <w:rFonts w:hint="eastAsia" w:cs="Times New Roman"/>
                      <w:color w:val="auto"/>
                      <w:sz w:val="21"/>
                      <w:szCs w:val="21"/>
                      <w:lang w:eastAsia="zh-CN"/>
                    </w:rPr>
                    <w:t>或交由环卫部门清运处置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866"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除尘器收集的塑粉</w:t>
                  </w:r>
                  <w:r>
                    <w:rPr>
                      <w:rFonts w:hint="eastAsia" w:cs="Times New Roman"/>
                      <w:color w:val="auto"/>
                      <w:sz w:val="21"/>
                      <w:szCs w:val="21"/>
                      <w:lang w:eastAsia="zh-CN"/>
                    </w:rPr>
                    <w:t>（喷粉）</w:t>
                  </w:r>
                </w:p>
              </w:tc>
              <w:tc>
                <w:tcPr>
                  <w:tcW w:w="181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196"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900-999-99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6.5892</w:t>
                  </w:r>
                </w:p>
              </w:tc>
              <w:tc>
                <w:tcPr>
                  <w:tcW w:w="2875"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收集后</w:t>
                  </w:r>
                  <w:r>
                    <w:rPr>
                      <w:rFonts w:hint="default" w:ascii="Times New Roman" w:hAnsi="Times New Roman" w:cs="Times New Roman"/>
                      <w:color w:val="auto"/>
                      <w:sz w:val="21"/>
                      <w:szCs w:val="21"/>
                      <w:lang w:eastAsia="zh-CN"/>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866"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双桶布袋吸尘机</w:t>
                  </w:r>
                  <w:r>
                    <w:rPr>
                      <w:rFonts w:hint="default" w:ascii="Times New Roman" w:hAnsi="Times New Roman" w:cs="Times New Roman"/>
                      <w:color w:val="auto"/>
                      <w:sz w:val="21"/>
                      <w:szCs w:val="21"/>
                      <w:lang w:eastAsia="zh-CN"/>
                    </w:rPr>
                    <w:t>收集的</w:t>
                  </w:r>
                  <w:r>
                    <w:rPr>
                      <w:rFonts w:hint="eastAsia" w:ascii="Times New Roman" w:hAnsi="Times New Roman" w:cs="Times New Roman"/>
                      <w:color w:val="auto"/>
                      <w:sz w:val="21"/>
                      <w:szCs w:val="21"/>
                      <w:lang w:val="en-US" w:eastAsia="zh-CN"/>
                    </w:rPr>
                    <w:t>颗粒物</w:t>
                  </w:r>
                </w:p>
              </w:tc>
              <w:tc>
                <w:tcPr>
                  <w:tcW w:w="181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196"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900-999-99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0.00784</w:t>
                  </w:r>
                </w:p>
              </w:tc>
              <w:tc>
                <w:tcPr>
                  <w:tcW w:w="2875" w:type="dxa"/>
                  <w:noWrap w:val="0"/>
                  <w:vAlign w:val="center"/>
                </w:tcPr>
                <w:p>
                  <w:pPr>
                    <w:pStyle w:val="39"/>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收集后交由环卫部门清运处置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866"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w:t>
                  </w:r>
                  <w:r>
                    <w:rPr>
                      <w:rFonts w:hint="eastAsia" w:cs="Times New Roman"/>
                      <w:color w:val="auto"/>
                      <w:sz w:val="21"/>
                      <w:szCs w:val="21"/>
                      <w:lang w:val="en-US" w:eastAsia="zh-CN"/>
                    </w:rPr>
                    <w:t>抛丸渣</w:t>
                  </w:r>
                </w:p>
              </w:tc>
              <w:tc>
                <w:tcPr>
                  <w:tcW w:w="181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19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900-999-99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0.5</w:t>
                  </w:r>
                </w:p>
              </w:tc>
              <w:tc>
                <w:tcPr>
                  <w:tcW w:w="2875" w:type="dxa"/>
                  <w:noWrap w:val="0"/>
                  <w:vAlign w:val="center"/>
                </w:tcPr>
                <w:p>
                  <w:pPr>
                    <w:pStyle w:val="39"/>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收集后出售给物资回收部门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w:t>
                  </w:r>
                </w:p>
              </w:tc>
              <w:tc>
                <w:tcPr>
                  <w:tcW w:w="1866"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边角料</w:t>
                  </w:r>
                </w:p>
              </w:tc>
              <w:tc>
                <w:tcPr>
                  <w:tcW w:w="181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19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900-999-99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w:t>
                  </w:r>
                </w:p>
              </w:tc>
              <w:tc>
                <w:tcPr>
                  <w:tcW w:w="2875" w:type="dxa"/>
                  <w:noWrap w:val="0"/>
                  <w:vAlign w:val="center"/>
                </w:tcPr>
                <w:p>
                  <w:pPr>
                    <w:pStyle w:val="39"/>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收集后出售给物资回收部门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w:t>
                  </w:r>
                </w:p>
              </w:tc>
              <w:tc>
                <w:tcPr>
                  <w:tcW w:w="1866" w:type="dxa"/>
                  <w:noWrap w:val="0"/>
                  <w:vAlign w:val="center"/>
                </w:tcPr>
                <w:p>
                  <w:pPr>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Cs w:val="21"/>
                      <w:lang w:val="en-US" w:eastAsia="zh-CN"/>
                    </w:rPr>
                    <w:t>废包装箱</w:t>
                  </w:r>
                </w:p>
              </w:tc>
              <w:tc>
                <w:tcPr>
                  <w:tcW w:w="181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19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900-999-99</w:t>
                  </w:r>
                </w:p>
              </w:tc>
              <w:tc>
                <w:tcPr>
                  <w:tcW w:w="974"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Cs w:val="21"/>
                      <w:lang w:val="en-US" w:eastAsia="zh-CN"/>
                    </w:rPr>
                    <w:t>0.2</w:t>
                  </w:r>
                </w:p>
              </w:tc>
              <w:tc>
                <w:tcPr>
                  <w:tcW w:w="2875" w:type="dxa"/>
                  <w:noWrap w:val="0"/>
                  <w:vAlign w:val="center"/>
                </w:tcPr>
                <w:p>
                  <w:pPr>
                    <w:pStyle w:val="39"/>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收集后出售给物资回收部门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1866" w:type="dxa"/>
                  <w:noWrap w:val="0"/>
                  <w:vAlign w:val="center"/>
                </w:tcPr>
                <w:p>
                  <w:pPr>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Cs w:val="21"/>
                      <w:lang w:val="en-US" w:eastAsia="zh-CN"/>
                    </w:rPr>
                    <w:t>废包装袋</w:t>
                  </w:r>
                </w:p>
              </w:tc>
              <w:tc>
                <w:tcPr>
                  <w:tcW w:w="181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19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900-999-99</w:t>
                  </w:r>
                </w:p>
              </w:tc>
              <w:tc>
                <w:tcPr>
                  <w:tcW w:w="974"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Cs w:val="21"/>
                      <w:lang w:val="en-US" w:eastAsia="zh-CN"/>
                    </w:rPr>
                    <w:t>0.01</w:t>
                  </w:r>
                </w:p>
              </w:tc>
              <w:tc>
                <w:tcPr>
                  <w:tcW w:w="2875" w:type="dxa"/>
                  <w:noWrap w:val="0"/>
                  <w:vAlign w:val="center"/>
                </w:tcPr>
                <w:p>
                  <w:pPr>
                    <w:pStyle w:val="39"/>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收集后出售给物资回收部门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w:t>
                  </w:r>
                </w:p>
              </w:tc>
              <w:tc>
                <w:tcPr>
                  <w:tcW w:w="1866" w:type="dxa"/>
                  <w:noWrap w:val="0"/>
                  <w:vAlign w:val="center"/>
                </w:tcPr>
                <w:p>
                  <w:pPr>
                    <w:pStyle w:val="29"/>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废机油</w:t>
                  </w:r>
                </w:p>
              </w:tc>
              <w:tc>
                <w:tcPr>
                  <w:tcW w:w="181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119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900-2</w:t>
                  </w:r>
                  <w:r>
                    <w:rPr>
                      <w:rFonts w:hint="eastAsia" w:ascii="Times New Roman" w:hAnsi="Times New Roman" w:cs="Times New Roman"/>
                      <w:color w:val="auto"/>
                      <w:sz w:val="21"/>
                      <w:szCs w:val="21"/>
                      <w:lang w:val="en-US" w:eastAsia="zh-CN"/>
                    </w:rPr>
                    <w:t>49</w:t>
                  </w:r>
                  <w:r>
                    <w:rPr>
                      <w:rFonts w:hint="default" w:ascii="Times New Roman" w:hAnsi="Times New Roman" w:cs="Times New Roman"/>
                      <w:color w:val="auto"/>
                      <w:sz w:val="21"/>
                      <w:szCs w:val="21"/>
                      <w:lang w:val="en-US" w:eastAsia="zh-CN"/>
                    </w:rPr>
                    <w:t>-08</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0.15</w:t>
                  </w:r>
                </w:p>
              </w:tc>
              <w:tc>
                <w:tcPr>
                  <w:tcW w:w="2875"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委托具有危险废物处理资质单位处置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w:t>
                  </w:r>
                </w:p>
              </w:tc>
              <w:tc>
                <w:tcPr>
                  <w:tcW w:w="186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废切削液</w:t>
                  </w:r>
                </w:p>
              </w:tc>
              <w:tc>
                <w:tcPr>
                  <w:tcW w:w="181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119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900-006-09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0.11</w:t>
                  </w:r>
                </w:p>
              </w:tc>
              <w:tc>
                <w:tcPr>
                  <w:tcW w:w="2875" w:type="dxa"/>
                  <w:noWrap w:val="0"/>
                  <w:vAlign w:val="center"/>
                </w:tcPr>
                <w:p>
                  <w:pPr>
                    <w:pStyle w:val="39"/>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委托具有危险废物处理资质单位处置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13</w:t>
                  </w:r>
                </w:p>
              </w:tc>
              <w:tc>
                <w:tcPr>
                  <w:tcW w:w="1866" w:type="dxa"/>
                  <w:noWrap w:val="0"/>
                  <w:vAlign w:val="center"/>
                </w:tcPr>
                <w:p>
                  <w:pPr>
                    <w:pStyle w:val="29"/>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废活性炭</w:t>
                  </w:r>
                </w:p>
              </w:tc>
              <w:tc>
                <w:tcPr>
                  <w:tcW w:w="181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119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900-0</w:t>
                  </w:r>
                  <w:r>
                    <w:rPr>
                      <w:rFonts w:hint="default" w:ascii="Times New Roman" w:hAnsi="Times New Roman" w:cs="Times New Roman"/>
                      <w:color w:val="auto"/>
                      <w:sz w:val="21"/>
                      <w:szCs w:val="21"/>
                      <w:lang w:val="en-US" w:eastAsia="zh-CN"/>
                    </w:rPr>
                    <w:t>39</w:t>
                  </w:r>
                  <w:r>
                    <w:rPr>
                      <w:rFonts w:hint="default" w:ascii="Times New Roman" w:hAnsi="Times New Roman" w:cs="Times New Roman"/>
                      <w:color w:val="auto"/>
                      <w:sz w:val="21"/>
                      <w:szCs w:val="21"/>
                    </w:rPr>
                    <w:t>-49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4.2664</w:t>
                  </w:r>
                </w:p>
              </w:tc>
              <w:tc>
                <w:tcPr>
                  <w:tcW w:w="2875"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委托具有危险废物处理资质单位处置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14</w:t>
                  </w:r>
                </w:p>
              </w:tc>
              <w:tc>
                <w:tcPr>
                  <w:tcW w:w="1866" w:type="dxa"/>
                  <w:noWrap w:val="0"/>
                  <w:vAlign w:val="center"/>
                </w:tcPr>
                <w:p>
                  <w:pPr>
                    <w:pStyle w:val="29"/>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废聚氨酯预聚体</w:t>
                  </w:r>
                  <w:r>
                    <w:rPr>
                      <w:rFonts w:hint="eastAsia" w:cs="Times New Roman"/>
                      <w:color w:val="auto"/>
                      <w:sz w:val="21"/>
                      <w:szCs w:val="21"/>
                      <w:lang w:val="en-US" w:eastAsia="zh-CN"/>
                    </w:rPr>
                    <w:t>桶</w:t>
                  </w:r>
                </w:p>
              </w:tc>
              <w:tc>
                <w:tcPr>
                  <w:tcW w:w="181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119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900-041-49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8.0</w:t>
                  </w:r>
                </w:p>
              </w:tc>
              <w:tc>
                <w:tcPr>
                  <w:tcW w:w="2875" w:type="dxa"/>
                  <w:noWrap w:val="0"/>
                  <w:vAlign w:val="center"/>
                </w:tcPr>
                <w:p>
                  <w:pPr>
                    <w:pStyle w:val="39"/>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委托具有危险废物处理资质单位处置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186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废机油桶</w:t>
                  </w:r>
                </w:p>
              </w:tc>
              <w:tc>
                <w:tcPr>
                  <w:tcW w:w="181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119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900-2</w:t>
                  </w:r>
                  <w:r>
                    <w:rPr>
                      <w:rFonts w:hint="eastAsia" w:ascii="Times New Roman" w:hAnsi="Times New Roman" w:cs="Times New Roman"/>
                      <w:color w:val="auto"/>
                      <w:sz w:val="21"/>
                      <w:szCs w:val="21"/>
                      <w:lang w:val="en-US" w:eastAsia="zh-CN"/>
                    </w:rPr>
                    <w:t>49</w:t>
                  </w:r>
                  <w:r>
                    <w:rPr>
                      <w:rFonts w:hint="default" w:ascii="Times New Roman" w:hAnsi="Times New Roman" w:cs="Times New Roman"/>
                      <w:color w:val="auto"/>
                      <w:sz w:val="21"/>
                      <w:szCs w:val="21"/>
                      <w:lang w:val="en-US" w:eastAsia="zh-CN"/>
                    </w:rPr>
                    <w:t>-08</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2875" w:type="dxa"/>
                  <w:noWrap w:val="0"/>
                  <w:vAlign w:val="center"/>
                </w:tcPr>
                <w:p>
                  <w:pPr>
                    <w:pStyle w:val="39"/>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委托具有危险废物处理资质单位处置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16</w:t>
                  </w:r>
                </w:p>
              </w:tc>
              <w:tc>
                <w:tcPr>
                  <w:tcW w:w="186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废切削液桶</w:t>
                  </w:r>
                </w:p>
              </w:tc>
              <w:tc>
                <w:tcPr>
                  <w:tcW w:w="181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1196"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900-041-49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2875" w:type="dxa"/>
                  <w:noWrap w:val="0"/>
                  <w:vAlign w:val="center"/>
                </w:tcPr>
                <w:p>
                  <w:pPr>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委托具有危险废物处理资质单位处置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17</w:t>
                  </w:r>
                </w:p>
              </w:tc>
              <w:tc>
                <w:tcPr>
                  <w:tcW w:w="1866" w:type="dxa"/>
                  <w:noWrap w:val="0"/>
                  <w:vAlign w:val="center"/>
                </w:tcPr>
                <w:p>
                  <w:pPr>
                    <w:pStyle w:val="29"/>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w:t>
                  </w:r>
                  <w:r>
                    <w:rPr>
                      <w:rFonts w:hint="eastAsia" w:ascii="Times New Roman" w:hAnsi="Times New Roman" w:cs="Times New Roman"/>
                      <w:color w:val="auto"/>
                      <w:sz w:val="21"/>
                      <w:szCs w:val="21"/>
                      <w:lang w:eastAsia="zh-CN"/>
                    </w:rPr>
                    <w:t>清洗剂</w:t>
                  </w:r>
                  <w:r>
                    <w:rPr>
                      <w:rFonts w:hint="default" w:ascii="Times New Roman" w:hAnsi="Times New Roman" w:cs="Times New Roman"/>
                      <w:color w:val="auto"/>
                      <w:sz w:val="21"/>
                      <w:szCs w:val="21"/>
                      <w:lang w:eastAsia="zh-CN"/>
                    </w:rPr>
                    <w:t>桶</w:t>
                  </w:r>
                </w:p>
              </w:tc>
              <w:tc>
                <w:tcPr>
                  <w:tcW w:w="181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1196"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900-041-49</w:t>
                  </w:r>
                </w:p>
              </w:tc>
              <w:tc>
                <w:tcPr>
                  <w:tcW w:w="974"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cs="Times New Roman"/>
                      <w:color w:val="auto"/>
                      <w:sz w:val="21"/>
                      <w:szCs w:val="21"/>
                      <w:lang w:val="en-US" w:eastAsia="zh-CN"/>
                    </w:rPr>
                    <w:t>1</w:t>
                  </w:r>
                </w:p>
              </w:tc>
              <w:tc>
                <w:tcPr>
                  <w:tcW w:w="2875" w:type="dxa"/>
                  <w:noWrap w:val="0"/>
                  <w:vAlign w:val="center"/>
                </w:tcPr>
                <w:p>
                  <w:pPr>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委托具有危险废物处理资质单位处置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noWrap w:val="0"/>
                  <w:vAlign w:val="center"/>
                </w:tcPr>
                <w:p>
                  <w:pPr>
                    <w:pStyle w:val="29"/>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18</w:t>
                  </w:r>
                </w:p>
              </w:tc>
              <w:tc>
                <w:tcPr>
                  <w:tcW w:w="1866" w:type="dxa"/>
                  <w:noWrap w:val="0"/>
                  <w:vAlign w:val="center"/>
                </w:tcPr>
                <w:p>
                  <w:pPr>
                    <w:pStyle w:val="29"/>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废弃含油抹布、劳保用品</w:t>
                  </w:r>
                </w:p>
              </w:tc>
              <w:tc>
                <w:tcPr>
                  <w:tcW w:w="1817" w:type="dxa"/>
                  <w:noWrap w:val="0"/>
                  <w:vAlign w:val="center"/>
                </w:tcPr>
                <w:p>
                  <w:pPr>
                    <w:pStyle w:val="2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1196" w:type="dxa"/>
                  <w:noWrap w:val="0"/>
                  <w:vAlign w:val="center"/>
                </w:tcPr>
                <w:p>
                  <w:pPr>
                    <w:pStyle w:val="2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900-041-49</w:t>
                  </w:r>
                </w:p>
              </w:tc>
              <w:tc>
                <w:tcPr>
                  <w:tcW w:w="974"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0.02</w:t>
                  </w:r>
                </w:p>
              </w:tc>
              <w:tc>
                <w:tcPr>
                  <w:tcW w:w="2875" w:type="dxa"/>
                  <w:noWrap w:val="0"/>
                  <w:vAlign w:val="center"/>
                </w:tcPr>
                <w:p>
                  <w:pPr>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委托具有危险废物处理资质单位处置</w:t>
                  </w:r>
                </w:p>
              </w:tc>
            </w:tr>
          </w:tbl>
          <w:p>
            <w:pPr>
              <w:spacing w:line="360" w:lineRule="auto"/>
              <w:ind w:firstLine="480" w:firstLineChars="200"/>
              <w:rPr>
                <w:rFonts w:ascii="Times New Roman" w:hAnsi="Times New Roman" w:cs="Times New Roman"/>
                <w:bCs/>
                <w:color w:val="auto"/>
                <w:kern w:val="0"/>
                <w:sz w:val="24"/>
              </w:rPr>
            </w:pPr>
            <w:r>
              <w:rPr>
                <w:rFonts w:ascii="Times New Roman" w:hAnsi="Times New Roman" w:cs="Times New Roman"/>
                <w:bCs/>
                <w:color w:val="auto"/>
                <w:kern w:val="0"/>
                <w:sz w:val="24"/>
              </w:rPr>
              <w:t>4.4固体废物环境管理要求</w:t>
            </w:r>
          </w:p>
          <w:p>
            <w:pPr>
              <w:pStyle w:val="47"/>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对照</w:t>
            </w:r>
            <w:r>
              <w:rPr>
                <w:rFonts w:hint="default" w:ascii="Times New Roman" w:hAnsi="Times New Roman" w:cs="Times New Roman"/>
                <w:color w:val="auto"/>
                <w:sz w:val="24"/>
                <w:szCs w:val="24"/>
              </w:rPr>
              <w:t>《国家危险废物名录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2021年版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部令第</w:t>
            </w:r>
            <w:r>
              <w:rPr>
                <w:rFonts w:hint="default" w:ascii="Times New Roman" w:hAnsi="Times New Roman" w:cs="Times New Roman"/>
                <w:color w:val="auto"/>
                <w:sz w:val="24"/>
                <w:szCs w:val="24"/>
                <w:lang w:val="en-US" w:eastAsia="zh-CN"/>
              </w:rPr>
              <w:t>15号，2021年01月01日实施</w:t>
            </w:r>
            <w:r>
              <w:rPr>
                <w:rFonts w:hint="default" w:ascii="Times New Roman" w:hAnsi="Times New Roman" w:cs="Times New Roman"/>
                <w:color w:val="auto"/>
                <w:sz w:val="24"/>
                <w:szCs w:val="24"/>
              </w:rPr>
              <w:t>），废机油</w:t>
            </w:r>
            <w:r>
              <w:rPr>
                <w:rFonts w:hint="default" w:ascii="Times New Roman" w:hAnsi="Times New Roman" w:cs="Times New Roman"/>
                <w:color w:val="auto"/>
                <w:sz w:val="24"/>
                <w:szCs w:val="24"/>
                <w:lang w:eastAsia="zh-CN"/>
              </w:rPr>
              <w:t>等</w:t>
            </w:r>
            <w:r>
              <w:rPr>
                <w:rFonts w:hint="default" w:ascii="Times New Roman" w:hAnsi="Times New Roman" w:cs="Times New Roman"/>
                <w:color w:val="auto"/>
                <w:sz w:val="24"/>
                <w:szCs w:val="24"/>
              </w:rPr>
              <w:t>属于危险废物，以上危险废物收集后贮存于危险废物临时存放场所。贮存场严格按照《危险废物贮存污染控制标准》（GB18597-20</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中</w:t>
            </w:r>
            <w:r>
              <w:rPr>
                <w:rFonts w:hint="default" w:ascii="Times New Roman" w:hAnsi="Times New Roman" w:cs="Times New Roman"/>
                <w:color w:val="auto"/>
                <w:sz w:val="24"/>
                <w:szCs w:val="24"/>
              </w:rPr>
              <w:t>相关要求建设。</w:t>
            </w:r>
          </w:p>
          <w:p>
            <w:pPr>
              <w:spacing w:line="360" w:lineRule="auto"/>
              <w:ind w:firstLine="480"/>
              <w:rPr>
                <w:color w:val="auto"/>
                <w:sz w:val="24"/>
                <w:szCs w:val="24"/>
              </w:rPr>
            </w:pPr>
            <w:r>
              <w:rPr>
                <w:color w:val="auto"/>
                <w:sz w:val="24"/>
                <w:szCs w:val="24"/>
              </w:rPr>
              <w:t>拟建危废暂存间须严格按照</w:t>
            </w:r>
            <w:r>
              <w:rPr>
                <w:rFonts w:hint="default" w:ascii="Times New Roman" w:hAnsi="Times New Roman" w:cs="Times New Roman"/>
                <w:color w:val="auto"/>
                <w:sz w:val="24"/>
                <w:szCs w:val="24"/>
              </w:rPr>
              <w:t>《危险废物贮存污染控制标准》（GB18597-20</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w:t>
            </w:r>
            <w:r>
              <w:rPr>
                <w:color w:val="auto"/>
                <w:sz w:val="24"/>
                <w:szCs w:val="24"/>
              </w:rPr>
              <w:t>要求进行设计、建造和管理，库房密闭，防风、防雨和防晒，暂存库周围设置导流渠，地面作防腐防渗处理。</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本项目危险废物在贮存时必须做到：</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①贮存要求</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ⅰ</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危险废物须置于内衬塑料袋的封闭容器内，容器必须完好无损，容器及材质要满足相应的强度要求；</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ⅱ</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不同种类的危险废物分类存放；</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ⅲ</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应及时委托有资质公司回收处置，杜绝在危废暂存间内长期存放。</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②贮存设施的设计原则</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ⅰ</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地面与裙脚要用坚固、防渗的材料建造，建筑材料必须与危险废物相容。</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ⅱ</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设施内要有安全照明设施和观察窗口。</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ⅲ</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应设计堵截泄漏的裙脚，地面与裙脚所围建的容积不低于堵截最大容器的最大储量或总储量的五分之一。</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③危险废物的堆放</w:t>
            </w:r>
          </w:p>
          <w:p>
            <w:pPr>
              <w:spacing w:line="360" w:lineRule="auto"/>
              <w:ind w:firstLine="480"/>
              <w:rPr>
                <w:rFonts w:hint="default" w:ascii="Times New Roman" w:hAnsi="Times New Roman" w:cs="Times New Roman"/>
                <w:color w:val="auto"/>
                <w:sz w:val="24"/>
                <w:szCs w:val="24"/>
              </w:rPr>
            </w:pPr>
            <w:r>
              <w:rPr>
                <w:rFonts w:hint="eastAsia" w:ascii="宋体" w:hAnsi="宋体" w:eastAsia="宋体" w:cs="宋体"/>
                <w:color w:val="auto"/>
                <w:sz w:val="24"/>
                <w:szCs w:val="24"/>
              </w:rPr>
              <w:t>ⅰ</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基础</w:t>
            </w:r>
            <w:r>
              <w:rPr>
                <w:rFonts w:hint="default" w:ascii="Times New Roman" w:hAnsi="Times New Roman" w:cs="Times New Roman"/>
                <w:color w:val="auto"/>
                <w:sz w:val="24"/>
                <w:szCs w:val="24"/>
              </w:rPr>
              <w:t>必须防渗，防渗层为至少1米厚粘土层（渗透系数≤10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厘米/秒），或2毫米厚高密度聚乙烯，或至少2毫米厚的其它人工材料，渗透系数≤10</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厘米/秒。以上要求可采用水泥硬化地面来完成。</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ⅱ</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堆放危险废物的高度应根据地面承载能力确定。</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ⅲ</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衬里放在一个基础或底座上。</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ⅳ</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衬里要能够覆盖危险废物或其溶出物可能涉及到的范围。</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ⅴ</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衬里材料与堆放危险废物相容。</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ⅵ</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危险废物堆要防风、防雨、防晒。</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④贮存设施的运行与管理</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ⅰ</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危险废物贮存前应进行检验，确保同预定接收的危险废物一致，并登记注册。</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ⅱ</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每个堆间应留有搬运通道。</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ⅲ</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须作好危险废物情况的记录，记录上须注明危险废物的名称、来源、数量、特性和包装容器的类别、入库日期、存放库位、废物出库日期及接收单位名称。</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危险废物的记录和货单在危险废物回取后应继续保留三年。</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ⅳ</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必须定期对所贮存的危险废物包装容器及贮存设施进行检查，发现破损，应及时采取措施清理更换。</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⑤贮存设施的安全防护与监测</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安全防护：</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ⅰ</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危险废物贮存设施都必须按《 危险废物识别标志设置技术规范》（HJ1276-2022）的规定设置警示标志。</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ⅱ</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危险废物贮存设施周围应设置围墙或其它防护栅栏。</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ⅲ</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危险废物贮存设施应配备通讯设备、照明设施、安全防护服装及工具，并设有应急防护设施。</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ⅳ</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危险废物贮存设施内清理出来的泄漏物，一律按危险废物处理。</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按国家污染源管理要求对危险废物贮存设施进行监测。</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⑥管理</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ⅰ</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必须按照国家有关规定制定危险废物管理计划，并向所在地县级以上地方人民政府生态环境行政主管部门申报危险废物的种类、产生量、流向、贮存、处置等有关资料。</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ⅱ</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管理计划应当包括减少危险废物产生量和危害性的措施以及危险废物贮存、利用、处置措施。危险废物管理计划应当报产生危险废物的单位所在地生态环境保护行政主管部门备案。管理计划内容有重大改变的，应当及时申报。</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ⅲ</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禁止将危险废物提供或者委托给无经营许可证的单位从事收集、贮存、利用、处置的经营活动。</w:t>
            </w:r>
          </w:p>
          <w:p>
            <w:pPr>
              <w:spacing w:line="360" w:lineRule="auto"/>
              <w:ind w:firstLine="480"/>
              <w:rPr>
                <w:rFonts w:hint="default" w:ascii="Times New Roman" w:hAnsi="Times New Roman" w:cs="Times New Roman"/>
                <w:color w:val="auto"/>
                <w:sz w:val="24"/>
                <w:szCs w:val="24"/>
              </w:rPr>
            </w:pPr>
            <w:r>
              <w:rPr>
                <w:rFonts w:hint="eastAsia" w:ascii="宋体" w:hAnsi="宋体" w:eastAsia="宋体" w:cs="宋体"/>
                <w:color w:val="auto"/>
                <w:sz w:val="24"/>
                <w:szCs w:val="24"/>
              </w:rPr>
              <w:t>ⅳ</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必须按照国家有关规定填写危险</w:t>
            </w:r>
            <w:r>
              <w:rPr>
                <w:rFonts w:hint="default" w:ascii="Times New Roman" w:hAnsi="Times New Roman" w:cs="Times New Roman"/>
                <w:color w:val="auto"/>
                <w:sz w:val="24"/>
                <w:szCs w:val="24"/>
              </w:rPr>
              <w:t>废物转移联单，并向危险废物移出地设区的市级以上地方人民政府生态环境行政主管部门提出申请。移出地设区的市级以上生态环境行政主管部门应当经接受地设区的市级以上生态环境保护行政主管部门同意后，方可批准转移该危险废物。未经批准的，不得转移。</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转移危险废物途经移出地、接受地以外行政区域的，危险废物移出地设区的市级以上生态环境行政主管部门应当及时通知沿途经过的设区的市级以上生态环境行政主管部门。</w:t>
            </w:r>
          </w:p>
          <w:p>
            <w:pPr>
              <w:spacing w:line="360" w:lineRule="auto"/>
              <w:ind w:firstLine="480"/>
              <w:rPr>
                <w:rFonts w:hint="default" w:ascii="Times New Roman" w:hAnsi="Times New Roman" w:cs="Times New Roman"/>
                <w:color w:val="auto"/>
                <w:sz w:val="24"/>
                <w:szCs w:val="24"/>
              </w:rPr>
            </w:pPr>
            <w:r>
              <w:rPr>
                <w:rFonts w:hint="eastAsia" w:ascii="宋体" w:hAnsi="宋体" w:eastAsia="宋体" w:cs="宋体"/>
                <w:color w:val="auto"/>
                <w:sz w:val="24"/>
                <w:szCs w:val="24"/>
              </w:rPr>
              <w:t>ⅴ</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运输危险废物，必须采取防止污染环境的措施，并遵守国家有关危险货物运输管理的规定。禁止将危</w:t>
            </w:r>
            <w:r>
              <w:rPr>
                <w:rFonts w:hint="default" w:ascii="Times New Roman" w:hAnsi="Times New Roman" w:cs="Times New Roman"/>
                <w:color w:val="auto"/>
                <w:sz w:val="24"/>
                <w:szCs w:val="24"/>
              </w:rPr>
              <w:t>险废物与旅客在同一运输工具上载运。</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w:t>
            </w:r>
            <w:r>
              <w:rPr>
                <w:rFonts w:hint="eastAsia" w:ascii="Times New Roman" w:hAnsi="Times New Roman" w:cs="Times New Roman"/>
                <w:color w:val="auto"/>
                <w:sz w:val="24"/>
                <w:szCs w:val="24"/>
                <w:lang w:val="en-AU" w:eastAsia="zh-CN"/>
              </w:rPr>
              <w:t>《排污许可证申请与核发技术规范</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AU" w:eastAsia="zh-CN"/>
              </w:rPr>
              <w:t>工业固体废物（试行）》（HJ1200-2021）要求</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Ⅰ</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危险废物污染防控技术要求</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ⅰ</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委托贮存/利用/处置环节污染防控技术要求</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排污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w:t>
            </w:r>
          </w:p>
          <w:p>
            <w:pPr>
              <w:spacing w:line="360" w:lineRule="auto"/>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ⅱ</w:t>
            </w:r>
            <w:r>
              <w:rPr>
                <w:rFonts w:hint="eastAsia" w:ascii="宋体" w:hAnsi="宋体" w:eastAsia="宋体" w:cs="宋体"/>
                <w:color w:val="auto"/>
                <w:sz w:val="24"/>
                <w:szCs w:val="24"/>
                <w:lang w:val="en-US" w:eastAsia="zh-CN"/>
              </w:rPr>
              <w:t>.自行贮存设施污染防控技术要求</w:t>
            </w:r>
          </w:p>
          <w:p>
            <w:pPr>
              <w:spacing w:line="360" w:lineRule="auto"/>
              <w:ind w:firstLine="480" w:firstLineChars="200"/>
              <w:jc w:val="left"/>
              <w:rPr>
                <w:rFonts w:hint="default" w:ascii="Times New Roman" w:hAnsi="Times New Roman" w:cs="Times New Roman"/>
                <w:color w:val="auto"/>
                <w:sz w:val="24"/>
                <w:szCs w:val="24"/>
              </w:rPr>
            </w:pPr>
            <w:r>
              <w:rPr>
                <w:rFonts w:hint="eastAsia" w:ascii="宋体" w:hAnsi="宋体" w:eastAsia="宋体" w:cs="宋体"/>
                <w:color w:val="auto"/>
                <w:sz w:val="24"/>
                <w:szCs w:val="24"/>
              </w:rPr>
              <w:t>包装容器应达到相应的强度要求并完好无损，禁止混合贮存性质不相容而未经安全性处置的危险废物；危险废物容器和包装物以及危险废物贮存设施、场所应按规定设置危险废物识别标志；仓库式贮存设施应分开存放不相容危险废物，按危险废物的种类和特性进行分区贮存，采用防腐、防渗地面和裙脚，设置防止泄露物质扩散至外环境的拦截、导流、收集设施；贮存堆场要防风、防雨、防晒；从事收集、贮存、利用、处置危险废物经营活动的单位，贮存危险废物不得超过一年（</w:t>
            </w:r>
            <w:r>
              <w:rPr>
                <w:rFonts w:hint="default" w:ascii="Times New Roman" w:hAnsi="Times New Roman" w:cs="Times New Roman"/>
                <w:color w:val="auto"/>
                <w:sz w:val="24"/>
                <w:szCs w:val="24"/>
              </w:rPr>
              <w:t>报经颁发危险废物经营许可证的生态环境主管部门批准或法律法规另有规定的除外）等。</w:t>
            </w:r>
          </w:p>
          <w:p>
            <w:pPr>
              <w:spacing w:line="360" w:lineRule="auto"/>
              <w:ind w:firstLine="480" w:firstLineChars="200"/>
              <w:jc w:val="left"/>
              <w:rPr>
                <w:rFonts w:hint="eastAsia" w:eastAsiaTheme="minorEastAsia"/>
                <w:color w:val="auto"/>
                <w:lang w:eastAsia="zh-CN"/>
              </w:rPr>
            </w:pPr>
            <w:r>
              <w:rPr>
                <w:rFonts w:hint="default" w:ascii="Times New Roman" w:hAnsi="Times New Roman" w:cs="Times New Roman"/>
                <w:color w:val="auto"/>
                <w:sz w:val="24"/>
                <w:szCs w:val="24"/>
              </w:rPr>
              <w:t>排污单位生产运营期间危险废物自行贮存设施的环境管理和相关设施运行维护还应符合GB15562.2、GB18484、GB18597、GB30485、HJ2025和HJ2042等相关标准规范要求</w:t>
            </w:r>
            <w:r>
              <w:rPr>
                <w:rFonts w:hint="eastAsia" w:ascii="Times New Roman" w:hAnsi="Times New Roman" w:cs="Times New Roman"/>
                <w:color w:val="auto"/>
                <w:sz w:val="24"/>
                <w:szCs w:val="24"/>
                <w:lang w:eastAsia="zh-CN"/>
              </w:rPr>
              <w:t>。</w:t>
            </w:r>
          </w:p>
          <w:p>
            <w:pPr>
              <w:spacing w:line="360" w:lineRule="auto"/>
              <w:ind w:firstLine="480" w:firstLineChars="200"/>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ⅲ.</w:t>
            </w:r>
            <w:r>
              <w:rPr>
                <w:rFonts w:hint="default" w:ascii="Times New Roman" w:hAnsi="Times New Roman" w:cs="Times New Roman"/>
                <w:color w:val="auto"/>
                <w:sz w:val="24"/>
                <w:szCs w:val="24"/>
              </w:rPr>
              <w:t>危险废物环境管理台账记录要求</w:t>
            </w:r>
          </w:p>
          <w:p>
            <w:pPr>
              <w:spacing w:line="360" w:lineRule="auto"/>
              <w:ind w:firstLine="480" w:firstLineChars="200"/>
              <w:jc w:val="left"/>
              <w:rPr>
                <w:rFonts w:hint="eastAsia" w:ascii="宋体" w:hAnsi="宋体" w:eastAsia="宋体" w:cs="宋体"/>
                <w:color w:val="auto"/>
                <w:sz w:val="24"/>
                <w:szCs w:val="24"/>
              </w:rPr>
            </w:pPr>
            <w:r>
              <w:rPr>
                <w:rFonts w:hint="default" w:ascii="Times New Roman" w:hAnsi="Times New Roman" w:cs="Times New Roman"/>
                <w:color w:val="auto"/>
                <w:sz w:val="24"/>
                <w:szCs w:val="24"/>
              </w:rPr>
              <w:t>排污单位应建立环境管理台账，危险废物环境管理台账记录应符合《危险废物产生单位管理计划制定指南》等标准及管理文件的相关要求。待危险废物环境管理台账相关标准或管理</w:t>
            </w:r>
            <w:r>
              <w:rPr>
                <w:rFonts w:hint="eastAsia" w:ascii="宋体" w:hAnsi="宋体" w:eastAsia="宋体" w:cs="宋体"/>
                <w:color w:val="auto"/>
                <w:sz w:val="24"/>
                <w:szCs w:val="24"/>
              </w:rPr>
              <w:t>文件发布实施后，从其规定。</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Ⅱ</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一般工业固体废物污染防控技术要求</w:t>
            </w:r>
          </w:p>
          <w:p>
            <w:pPr>
              <w:spacing w:line="360" w:lineRule="auto"/>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ⅰ</w:t>
            </w:r>
            <w:r>
              <w:rPr>
                <w:rFonts w:hint="eastAsia" w:ascii="宋体" w:hAnsi="宋体" w:eastAsia="宋体" w:cs="宋体"/>
                <w:color w:val="auto"/>
                <w:sz w:val="24"/>
                <w:szCs w:val="24"/>
                <w:lang w:val="en-US" w:eastAsia="zh-CN"/>
              </w:rPr>
              <w:t>.委托贮存/利用/处置环节污染防控技术要求</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排污单位委托他人运输、利用、处置一般工业固体废物的，应落实《中华人民共和国固体废物污染环境防治法》等法律法规要求，对受托方的主体资格和技术能力进行核实，依法签订书面合同，在合同中约定污染防治要求等。</w:t>
            </w:r>
          </w:p>
          <w:p>
            <w:pPr>
              <w:spacing w:line="360" w:lineRule="auto"/>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ⅱ</w:t>
            </w:r>
            <w:r>
              <w:rPr>
                <w:rFonts w:hint="eastAsia" w:ascii="宋体" w:hAnsi="宋体" w:eastAsia="宋体" w:cs="宋体"/>
                <w:color w:val="auto"/>
                <w:sz w:val="24"/>
                <w:szCs w:val="24"/>
                <w:lang w:val="en-US" w:eastAsia="zh-CN"/>
              </w:rPr>
              <w:t>.自行贮存/利用/处置设施污染防控技术要求</w:t>
            </w:r>
          </w:p>
          <w:p>
            <w:pPr>
              <w:spacing w:line="360" w:lineRule="auto"/>
              <w:ind w:firstLine="480" w:firstLineChars="200"/>
              <w:jc w:val="left"/>
              <w:rPr>
                <w:rFonts w:hint="default" w:ascii="Times New Roman" w:hAnsi="Times New Roman" w:cs="Times New Roman"/>
                <w:color w:val="auto"/>
                <w:sz w:val="24"/>
                <w:szCs w:val="24"/>
              </w:rPr>
            </w:pPr>
            <w:r>
              <w:rPr>
                <w:rFonts w:hint="eastAsia" w:ascii="宋体" w:hAnsi="宋体" w:eastAsia="宋体" w:cs="宋体"/>
                <w:color w:val="auto"/>
                <w:sz w:val="24"/>
                <w:szCs w:val="24"/>
              </w:rPr>
              <w:t>采用库房、包装工具（罐、桶、包装袋等）贮存一般工业固体废物的，贮存过程应满足相应防渗漏、防雨淋、防扬尘等环境保护要求；危险废物和生活垃圾不得进入一般工业固体废物贮存场及填埋场；不相容的</w:t>
            </w:r>
            <w:r>
              <w:rPr>
                <w:rFonts w:hint="default" w:ascii="Times New Roman" w:hAnsi="Times New Roman" w:cs="Times New Roman"/>
                <w:color w:val="auto"/>
                <w:sz w:val="24"/>
                <w:szCs w:val="24"/>
              </w:rPr>
              <w:t>一般工业固体废物应设置不同的分区进行贮存和填埋作业；焚烧处置设施的炉渣与飞灰应分别收集、贮存和运输；贮存场、填埋场应设置清晰、完整的一般工业固体废物标志牌等。</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排污单位生产运营期间一般工业固体废物自行贮存/利用/处置设施的环境管理和相关设施运行维护要求还应符合GB15562.2、GB18599、GB30485和HJ2035等相关标准规范要求。</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ⅲ</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一般工业固体废物环境管理台账记录要求</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排污单位应建立环境管理台账制度，一般工业固体废物环境管理台账记录应符合生态环境部规定的一般工业固体废物环境管理台账相关标准及管理文件要求。</w:t>
            </w:r>
          </w:p>
          <w:p>
            <w:pPr>
              <w:spacing w:line="360" w:lineRule="auto"/>
              <w:ind w:firstLine="480" w:firstLineChars="200"/>
              <w:jc w:val="left"/>
              <w:rPr>
                <w:rFonts w:hint="default" w:ascii="Times New Roman" w:hAnsi="Times New Roman" w:cs="Times New Roman"/>
                <w:color w:val="auto"/>
                <w:sz w:val="24"/>
                <w:szCs w:val="24"/>
              </w:rPr>
            </w:pPr>
            <w:r>
              <w:rPr>
                <w:rFonts w:hint="eastAsia" w:ascii="宋体" w:hAnsi="宋体" w:eastAsia="宋体" w:cs="宋体"/>
                <w:color w:val="auto"/>
                <w:sz w:val="24"/>
                <w:szCs w:val="24"/>
              </w:rPr>
              <w:t>可见，在采取上述预防措施和办法后，本项目所产生的一般工业固体废物、危险废物和生活垃圾均得到了合理有效</w:t>
            </w:r>
            <w:r>
              <w:rPr>
                <w:rFonts w:hint="default" w:ascii="Times New Roman" w:hAnsi="Times New Roman" w:cs="Times New Roman"/>
                <w:color w:val="auto"/>
                <w:sz w:val="24"/>
                <w:szCs w:val="24"/>
              </w:rPr>
              <w:t>的处理和处置，其产生的固体废弃物不会对周围环境造成二次污染。</w:t>
            </w:r>
          </w:p>
          <w:p>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5、地下水、土壤</w:t>
            </w:r>
            <w:r>
              <w:rPr>
                <w:rFonts w:hint="eastAsia" w:cs="Times New Roman"/>
                <w:b/>
                <w:bCs/>
                <w:color w:val="auto"/>
                <w:sz w:val="24"/>
                <w:szCs w:val="24"/>
                <w:lang w:val="en-US" w:eastAsia="zh-CN"/>
              </w:rPr>
              <w:t>环境影响分析</w:t>
            </w:r>
          </w:p>
          <w:p>
            <w:pPr>
              <w:spacing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正常情况下，地下水、土壤污染主要是由于污染物迁移穿过包气带进入含水层造成。</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（1）污染途径</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污染物从污染源进入地下水所经过路径称为地下水污染途径，地下水污染途径是多种多样的。根据工程所处区域的地质情况，建设项目可能对下水造成污染的途径主要有：</w:t>
            </w:r>
            <w:r>
              <w:rPr>
                <w:rFonts w:hint="eastAsia" w:ascii="Times New Roman" w:hAnsi="Times New Roman" w:eastAsia="宋体"/>
                <w:color w:val="auto"/>
                <w:sz w:val="24"/>
                <w:szCs w:val="24"/>
                <w:lang w:eastAsia="zh-CN"/>
              </w:rPr>
              <w:t>危险废物暂存间、污水处理站</w:t>
            </w:r>
            <w:r>
              <w:rPr>
                <w:rFonts w:ascii="Times New Roman" w:hAnsi="Times New Roman" w:eastAsia="宋体"/>
                <w:color w:val="auto"/>
                <w:sz w:val="24"/>
                <w:szCs w:val="24"/>
              </w:rPr>
              <w:t>等污水</w:t>
            </w:r>
            <w:r>
              <w:rPr>
                <w:rFonts w:hint="eastAsia" w:ascii="Times New Roman" w:hAnsi="Times New Roman" w:eastAsia="宋体"/>
                <w:color w:val="auto"/>
                <w:sz w:val="24"/>
                <w:szCs w:val="24"/>
                <w:lang w:eastAsia="zh-CN"/>
              </w:rPr>
              <w:t>或废液</w:t>
            </w:r>
            <w:r>
              <w:rPr>
                <w:rFonts w:ascii="Times New Roman" w:hAnsi="Times New Roman" w:eastAsia="宋体"/>
                <w:color w:val="auto"/>
                <w:sz w:val="24"/>
                <w:szCs w:val="24"/>
              </w:rPr>
              <w:t>下渗对地下水造成的污染。</w:t>
            </w:r>
          </w:p>
          <w:p>
            <w:pPr>
              <w:autoSpaceDE w:val="0"/>
              <w:autoSpaceDN w:val="0"/>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（2）预防措施</w:t>
            </w:r>
          </w:p>
          <w:p>
            <w:pPr>
              <w:spacing w:line="360" w:lineRule="auto"/>
              <w:ind w:firstLine="480" w:firstLineChars="200"/>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①</w:t>
            </w:r>
            <w:r>
              <w:rPr>
                <w:rFonts w:hint="eastAsia" w:ascii="Times New Roman" w:hAnsi="Times New Roman" w:eastAsia="宋体"/>
                <w:color w:val="auto"/>
                <w:sz w:val="24"/>
                <w:szCs w:val="24"/>
                <w:lang w:eastAsia="zh-CN"/>
              </w:rPr>
              <w:t>源头控制</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为了保护地下水、土壤环境，采取措施从源头上控制污染，从设计、管理中防止和减少污染物料的跑、冒、滴、漏而采取的各种措施，主要措施如下：</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a.严格按照国家相关规范要求，建设规范的</w:t>
            </w:r>
            <w:r>
              <w:rPr>
                <w:rFonts w:hint="eastAsia" w:ascii="Times New Roman" w:hAnsi="Times New Roman" w:cs="Times New Roman"/>
                <w:color w:val="auto"/>
                <w:sz w:val="24"/>
                <w:szCs w:val="24"/>
                <w:lang w:eastAsia="zh-CN"/>
              </w:rPr>
              <w:t>危险废物暂存间</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b.新建</w:t>
            </w:r>
            <w:r>
              <w:rPr>
                <w:rFonts w:hint="eastAsia" w:ascii="Times New Roman" w:hAnsi="Times New Roman" w:eastAsia="宋体"/>
                <w:color w:val="auto"/>
                <w:sz w:val="24"/>
                <w:szCs w:val="24"/>
                <w:lang w:eastAsia="zh-CN"/>
              </w:rPr>
              <w:t>危险废物暂存间</w:t>
            </w:r>
            <w:r>
              <w:rPr>
                <w:rFonts w:hint="default" w:ascii="Times New Roman" w:hAnsi="Times New Roman" w:cs="Times New Roman"/>
                <w:color w:val="auto"/>
                <w:sz w:val="24"/>
                <w:szCs w:val="24"/>
                <w:lang w:eastAsia="zh-CN"/>
              </w:rPr>
              <w:t>按照国家相关规范要求，采取防泄漏措施。</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c.严格固体废物管理，不接触外界降水，使其不产生淋滤液，严防污染物泄漏到地下水中。</w:t>
            </w:r>
          </w:p>
          <w:p>
            <w:pPr>
              <w:spacing w:line="360" w:lineRule="auto"/>
              <w:ind w:firstLine="480" w:firstLineChars="200"/>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②</w:t>
            </w:r>
            <w:r>
              <w:rPr>
                <w:rFonts w:hint="eastAsia" w:ascii="Times New Roman" w:hAnsi="Times New Roman" w:eastAsia="宋体"/>
                <w:color w:val="auto"/>
                <w:sz w:val="24"/>
                <w:szCs w:val="24"/>
                <w:lang w:eastAsia="zh-CN"/>
              </w:rPr>
              <w:t>分区防渗</w:t>
            </w:r>
          </w:p>
          <w:p>
            <w:pPr>
              <w:pStyle w:val="29"/>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default"/>
                <w:color w:val="auto"/>
                <w:lang w:val="en-US" w:eastAsia="zh-CN"/>
              </w:rPr>
            </w:pPr>
            <w:r>
              <w:rPr>
                <w:rFonts w:hint="eastAsia"/>
                <w:color w:val="auto"/>
                <w:sz w:val="24"/>
                <w:szCs w:val="24"/>
                <w:lang w:val="en-US" w:eastAsia="zh-CN"/>
              </w:rPr>
              <w:t>a.重点防渗区</w:t>
            </w:r>
          </w:p>
          <w:p>
            <w:pPr>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olor w:val="auto"/>
                <w:sz w:val="24"/>
                <w:szCs w:val="24"/>
              </w:rPr>
              <w:t>加强重点污染区防治区的防渗漏措施，对污染防治区进行划分，</w:t>
            </w:r>
            <w:r>
              <w:rPr>
                <w:rFonts w:hint="eastAsia" w:ascii="Times New Roman" w:hAnsi="Times New Roman" w:eastAsia="宋体"/>
                <w:color w:val="auto"/>
                <w:sz w:val="24"/>
                <w:szCs w:val="24"/>
                <w:lang w:eastAsia="zh-CN"/>
              </w:rPr>
              <w:t>危险废物暂存间等</w:t>
            </w:r>
            <w:r>
              <w:rPr>
                <w:rFonts w:hint="eastAsia" w:ascii="Times New Roman" w:hAnsi="Times New Roman" w:eastAsia="宋体"/>
                <w:color w:val="auto"/>
                <w:sz w:val="24"/>
                <w:szCs w:val="24"/>
              </w:rPr>
              <w:t>均为</w:t>
            </w:r>
            <w:r>
              <w:rPr>
                <w:rFonts w:hint="default" w:ascii="Times New Roman" w:hAnsi="Times New Roman" w:eastAsia="宋体" w:cs="Times New Roman"/>
                <w:color w:val="auto"/>
                <w:sz w:val="24"/>
                <w:szCs w:val="24"/>
              </w:rPr>
              <w:t>重点污染防治区。重点防渗区防渗要求达到Mb≥6.0m，K≤1×10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cm/s的粘土层的防渗性能。</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点防渗区域建议地面防渗方案自上而下：①40mm厚细石砼；②水泥砂浆结合层一道；③100mm厚C15混凝土随打随抹光；④50mm厚级配砂石垫层；⑤3:7水泥土夯实。皂脚液暂存池基础与防火堤间区域采用复合或柔性防渗结构型式。柔性防渗材料与防火堤、隔坝及其他设施基础严密连接。</w:t>
            </w:r>
          </w:p>
          <w:p>
            <w:pPr>
              <w:tabs>
                <w:tab w:val="left" w:pos="369"/>
              </w:tabs>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olor w:val="auto"/>
                <w:sz w:val="24"/>
                <w:szCs w:val="24"/>
                <w:lang w:eastAsia="zh-CN"/>
              </w:rPr>
              <w:t>危险废物暂存间</w:t>
            </w:r>
            <w:r>
              <w:rPr>
                <w:rFonts w:hint="default" w:ascii="Times New Roman" w:hAnsi="Times New Roman" w:eastAsia="宋体" w:cs="Times New Roman"/>
                <w:color w:val="auto"/>
                <w:sz w:val="24"/>
                <w:szCs w:val="24"/>
              </w:rPr>
              <w:t>为地上建筑，其混凝土地坪以下设计采用单层防渗结构，建议其层次自上而下为600g/m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非织造土工布（膜上保护层）+2.0mm厚HDPE 膜+4800g/m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膨润土防水毯+1.5m 厚压实粘土层+地基土（见下图</w:t>
            </w:r>
            <w:r>
              <w:rPr>
                <w:rFonts w:hint="eastAsia" w:ascii="Times New Roman" w:hAnsi="Times New Roman" w:eastAsia="宋体" w:cs="Times New Roman"/>
                <w:color w:val="auto"/>
                <w:sz w:val="24"/>
                <w:szCs w:val="24"/>
                <w:lang w:val="en-US" w:eastAsia="zh-CN"/>
              </w:rPr>
              <w:t>4.13和图4.14</w:t>
            </w:r>
            <w:r>
              <w:rPr>
                <w:rFonts w:hint="default" w:ascii="Times New Roman" w:hAnsi="Times New Roman" w:eastAsia="宋体" w:cs="Times New Roman"/>
                <w:color w:val="auto"/>
                <w:sz w:val="24"/>
                <w:szCs w:val="24"/>
              </w:rPr>
              <w:t>）。其中非织造土工布采用热粘连接，搭接宽度200±25mm；HDPE膜采用热熔焊接，搭接宽度100±20mm；GCL采用自然搭接，搭接宽度200±50mm。</w:t>
            </w:r>
          </w:p>
          <w:p>
            <w:pPr>
              <w:tabs>
                <w:tab w:val="left" w:pos="3789"/>
              </w:tabs>
              <w:spacing w:line="360" w:lineRule="auto"/>
              <w:jc w:val="center"/>
              <w:rPr>
                <w:color w:val="auto"/>
              </w:rPr>
            </w:pPr>
            <w:r>
              <w:rPr>
                <w:color w:val="auto"/>
              </w:rPr>
              <w:drawing>
                <wp:inline distT="0" distB="0" distL="114300" distR="114300">
                  <wp:extent cx="3105150" cy="1590675"/>
                  <wp:effectExtent l="0" t="0" r="0" b="9525"/>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43"/>
                          <a:stretch>
                            <a:fillRect/>
                          </a:stretch>
                        </pic:blipFill>
                        <pic:spPr>
                          <a:xfrm>
                            <a:off x="0" y="0"/>
                            <a:ext cx="3105150" cy="1590675"/>
                          </a:xfrm>
                          <a:prstGeom prst="rect">
                            <a:avLst/>
                          </a:prstGeom>
                          <a:noFill/>
                          <a:ln>
                            <a:noFill/>
                          </a:ln>
                        </pic:spPr>
                      </pic:pic>
                    </a:graphicData>
                  </a:graphic>
                </wp:inline>
              </w:drawing>
            </w:r>
          </w:p>
          <w:p>
            <w:pPr>
              <w:pStyle w:val="29"/>
              <w:jc w:val="center"/>
              <w:rPr>
                <w:rFonts w:hint="eastAsia"/>
                <w:b/>
                <w:bCs/>
                <w:color w:val="auto"/>
                <w:lang w:val="en-US" w:eastAsia="zh-CN"/>
              </w:rPr>
            </w:pPr>
            <w:r>
              <w:rPr>
                <w:rFonts w:hint="eastAsia"/>
                <w:b/>
                <w:bCs/>
                <w:color w:val="auto"/>
                <w:lang w:eastAsia="zh-CN"/>
              </w:rPr>
              <w:t>图</w:t>
            </w:r>
            <w:r>
              <w:rPr>
                <w:rFonts w:hint="eastAsia"/>
                <w:b/>
                <w:bCs/>
                <w:color w:val="auto"/>
                <w:lang w:val="en-US" w:eastAsia="zh-CN"/>
              </w:rPr>
              <w:t>4.13  设计HDPE膜单层防渗结构示意图</w:t>
            </w:r>
          </w:p>
          <w:p>
            <w:pPr>
              <w:pStyle w:val="3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当地坪与建筑物基础相连时，需采取防渗措施，从混凝土基础往外为橡胶沥青自粘卷材+600g/m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非织造土工布+2.0mm厚HDPE膜+不锈钢扁钢压条+M8膨胀螺栓+1.0mm厚HDPE膜罩，螺栓高度在地坪以上150mm。</w:t>
            </w:r>
          </w:p>
          <w:p>
            <w:pPr>
              <w:pStyle w:val="32"/>
              <w:ind w:left="0" w:leftChars="0" w:firstLine="0" w:firstLineChars="0"/>
              <w:jc w:val="center"/>
              <w:rPr>
                <w:color w:val="auto"/>
              </w:rPr>
            </w:pPr>
            <w:r>
              <w:rPr>
                <w:color w:val="auto"/>
              </w:rPr>
              <w:drawing>
                <wp:inline distT="0" distB="0" distL="114300" distR="114300">
                  <wp:extent cx="3505200" cy="1467485"/>
                  <wp:effectExtent l="0" t="0" r="0" b="1841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44"/>
                          <a:stretch>
                            <a:fillRect/>
                          </a:stretch>
                        </pic:blipFill>
                        <pic:spPr>
                          <a:xfrm>
                            <a:off x="0" y="0"/>
                            <a:ext cx="3505200" cy="1467485"/>
                          </a:xfrm>
                          <a:prstGeom prst="rect">
                            <a:avLst/>
                          </a:prstGeom>
                          <a:noFill/>
                          <a:ln>
                            <a:noFill/>
                          </a:ln>
                        </pic:spPr>
                      </pic:pic>
                    </a:graphicData>
                  </a:graphic>
                </wp:inline>
              </w:drawing>
            </w:r>
          </w:p>
          <w:p>
            <w:pPr>
              <w:pStyle w:val="32"/>
              <w:tabs>
                <w:tab w:val="left" w:pos="5409"/>
              </w:tabs>
              <w:ind w:left="0" w:leftChars="0" w:firstLine="0" w:firstLineChars="0"/>
              <w:jc w:val="center"/>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eastAsia="zh-CN"/>
              </w:rPr>
              <w:t>图</w:t>
            </w:r>
            <w:r>
              <w:rPr>
                <w:rFonts w:hint="eastAsia" w:ascii="Times New Roman" w:hAnsi="Times New Roman" w:eastAsia="宋体"/>
                <w:b/>
                <w:bCs/>
                <w:color w:val="auto"/>
                <w:sz w:val="24"/>
                <w:szCs w:val="24"/>
                <w:lang w:val="en-US" w:eastAsia="zh-CN"/>
              </w:rPr>
              <w:t>4.14  HDPE膜与基础连接示意图</w:t>
            </w:r>
          </w:p>
          <w:p>
            <w:pPr>
              <w:pStyle w:val="29"/>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default"/>
                <w:color w:val="auto"/>
                <w:lang w:val="en-US" w:eastAsia="zh-CN"/>
              </w:rPr>
            </w:pPr>
            <w:r>
              <w:rPr>
                <w:rFonts w:hint="eastAsia"/>
                <w:color w:val="auto"/>
                <w:sz w:val="24"/>
                <w:szCs w:val="24"/>
                <w:lang w:val="en-US" w:eastAsia="zh-CN"/>
              </w:rPr>
              <w:t>b.一般防渗区</w:t>
            </w:r>
          </w:p>
          <w:p>
            <w:pPr>
              <w:pStyle w:val="32"/>
              <w:keepNext w:val="0"/>
              <w:keepLines w:val="0"/>
              <w:pageBreakBefore w:val="0"/>
              <w:widowControl w:val="0"/>
              <w:tabs>
                <w:tab w:val="left" w:pos="819"/>
              </w:tabs>
              <w:kinsoku/>
              <w:wordWrap/>
              <w:overflowPunct/>
              <w:topLinePunct w:val="0"/>
              <w:autoSpaceDE/>
              <w:autoSpaceDN/>
              <w:bidi w:val="0"/>
              <w:adjustRightInd w:val="0"/>
              <w:snapToGrid/>
              <w:ind w:left="0"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本项目重点污染防治区以外的地方为一般污染防治区，为一般</w:t>
            </w:r>
            <w:r>
              <w:rPr>
                <w:rFonts w:hint="eastAsia" w:ascii="Times New Roman" w:hAnsi="Times New Roman" w:eastAsia="宋体" w:cs="Times New Roman"/>
                <w:color w:val="auto"/>
                <w:sz w:val="24"/>
                <w:szCs w:val="24"/>
                <w:lang w:eastAsia="zh-CN"/>
              </w:rPr>
              <w:t>工业固体废物暂存房</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生产车间</w:t>
            </w:r>
            <w:r>
              <w:rPr>
                <w:rFonts w:hint="default" w:ascii="Times New Roman" w:hAnsi="Times New Roman" w:eastAsia="宋体" w:cs="Times New Roman"/>
                <w:color w:val="auto"/>
                <w:sz w:val="24"/>
                <w:szCs w:val="24"/>
                <w:lang w:eastAsia="zh-CN"/>
              </w:rPr>
              <w:t>等。对一般</w:t>
            </w:r>
            <w:r>
              <w:rPr>
                <w:rFonts w:hint="eastAsia" w:ascii="Times New Roman" w:hAnsi="Times New Roman" w:eastAsia="宋体" w:cs="Times New Roman"/>
                <w:color w:val="auto"/>
                <w:sz w:val="24"/>
                <w:szCs w:val="24"/>
                <w:lang w:eastAsia="zh-CN"/>
              </w:rPr>
              <w:t>工业固体废物暂存房</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生产车间</w:t>
            </w:r>
            <w:r>
              <w:rPr>
                <w:rFonts w:hint="default" w:ascii="Times New Roman" w:hAnsi="Times New Roman" w:eastAsia="宋体" w:cs="Times New Roman"/>
                <w:color w:val="auto"/>
                <w:sz w:val="24"/>
                <w:szCs w:val="24"/>
                <w:lang w:eastAsia="zh-CN"/>
              </w:rPr>
              <w:t>加强防渗，采用人工材料构筑防渗层，防渗层的厚度达到渗透系数1.0×10</w:t>
            </w:r>
            <w:r>
              <w:rPr>
                <w:rFonts w:hint="default" w:ascii="Times New Roman" w:hAnsi="Times New Roman" w:eastAsia="宋体" w:cs="Times New Roman"/>
                <w:color w:val="auto"/>
                <w:sz w:val="24"/>
                <w:szCs w:val="24"/>
                <w:vertAlign w:val="superscript"/>
                <w:lang w:eastAsia="zh-CN"/>
              </w:rPr>
              <w:t>-7</w:t>
            </w:r>
            <w:r>
              <w:rPr>
                <w:rFonts w:hint="default" w:ascii="Times New Roman" w:hAnsi="Times New Roman" w:eastAsia="宋体" w:cs="Times New Roman"/>
                <w:color w:val="auto"/>
                <w:sz w:val="24"/>
                <w:szCs w:val="24"/>
                <w:lang w:eastAsia="zh-CN"/>
              </w:rPr>
              <w:t>cm/s和厚度1.5m的粘土层的防渗性能。</w:t>
            </w:r>
          </w:p>
          <w:p>
            <w:pPr>
              <w:pStyle w:val="32"/>
              <w:keepNext w:val="0"/>
              <w:keepLines w:val="0"/>
              <w:pageBreakBefore w:val="0"/>
              <w:widowControl w:val="0"/>
              <w:tabs>
                <w:tab w:val="left" w:pos="819"/>
              </w:tabs>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污染区防渗措施</w:t>
            </w:r>
            <w:r>
              <w:rPr>
                <w:rFonts w:hint="eastAsia" w:ascii="宋体" w:hAnsi="宋体" w:eastAsia="宋体" w:cs="宋体"/>
                <w:color w:val="auto"/>
                <w:sz w:val="24"/>
                <w:szCs w:val="24"/>
              </w:rPr>
              <w:t>必须坚持“三同时”的原则。环境保护设施必须与主体工程同时设计、同时施工、同时投产使用，并经有关行政主管部门验收合格后，方可投入生产或者使用。由污染途径及对应措施分析可知，项目对</w:t>
            </w:r>
            <w:r>
              <w:rPr>
                <w:rFonts w:ascii="Times New Roman" w:hAnsi="Times New Roman" w:eastAsia="宋体"/>
                <w:color w:val="auto"/>
                <w:sz w:val="24"/>
                <w:szCs w:val="24"/>
              </w:rPr>
              <w:t>可能产生地下水影响的各项途径均进行有效预防，在确保各项防渗措施得以落实，并加强维护和厂区环境管理的前提下，可有效控制厂区内的废水污染物下渗现象，避免污染地下水，因此项目不会对区域地下水环境产生明显影响。</w:t>
            </w:r>
          </w:p>
          <w:p>
            <w:pPr>
              <w:pStyle w:val="44"/>
              <w:spacing w:line="360" w:lineRule="auto"/>
              <w:jc w:val="left"/>
              <w:rPr>
                <w:rFonts w:hint="default" w:ascii="Times New Roman" w:hAnsi="Times New Roman" w:eastAsia="宋体"/>
                <w:color w:val="auto"/>
                <w:sz w:val="24"/>
                <w:szCs w:val="24"/>
                <w:lang w:val="en-US" w:eastAsia="zh-CN"/>
              </w:rPr>
            </w:pPr>
            <w:r>
              <w:rPr>
                <w:rFonts w:ascii="Times New Roman" w:hAnsi="Times New Roman"/>
                <w:color w:val="auto"/>
                <w:sz w:val="24"/>
                <w:szCs w:val="24"/>
              </w:rPr>
              <w:t>根据以上分区情况，对项目厂区防渗分区情况进行统计。</w:t>
            </w:r>
            <w:r>
              <w:rPr>
                <w:rFonts w:hint="eastAsia" w:ascii="Times New Roman" w:hAnsi="Times New Roman"/>
                <w:color w:val="auto"/>
                <w:sz w:val="24"/>
                <w:szCs w:val="24"/>
                <w:lang w:eastAsia="zh-CN"/>
              </w:rPr>
              <w:t>地下水污染防身分区参照表见表</w:t>
            </w:r>
            <w:r>
              <w:rPr>
                <w:rFonts w:hint="eastAsia" w:ascii="Times New Roman" w:hAnsi="Times New Roman"/>
                <w:color w:val="auto"/>
                <w:sz w:val="24"/>
                <w:szCs w:val="24"/>
                <w:lang w:val="en-US" w:eastAsia="zh-CN"/>
              </w:rPr>
              <w:t>4.37。</w:t>
            </w:r>
          </w:p>
          <w:p>
            <w:pPr>
              <w:pStyle w:val="44"/>
              <w:tabs>
                <w:tab w:val="left" w:pos="2949"/>
                <w:tab w:val="center" w:pos="5077"/>
              </w:tabs>
              <w:spacing w:line="240" w:lineRule="auto"/>
              <w:ind w:firstLine="482"/>
              <w:jc w:val="left"/>
              <w:rPr>
                <w:rFonts w:ascii="Times New Roman" w:hAnsi="Times New Roman"/>
                <w:b/>
                <w:bCs/>
                <w:color w:val="auto"/>
                <w:sz w:val="24"/>
                <w:szCs w:val="24"/>
              </w:rPr>
            </w:pPr>
            <w:r>
              <w:rPr>
                <w:rFonts w:hint="eastAsia" w:ascii="Times New Roman" w:hAnsi="Times New Roman"/>
                <w:b/>
                <w:bCs/>
                <w:color w:val="auto"/>
                <w:sz w:val="24"/>
                <w:szCs w:val="24"/>
                <w:lang w:eastAsia="zh-CN"/>
              </w:rPr>
              <w:tab/>
            </w:r>
            <w:r>
              <w:rPr>
                <w:rFonts w:hint="eastAsia" w:ascii="Times New Roman" w:hAnsi="Times New Roman"/>
                <w:b/>
                <w:bCs/>
                <w:color w:val="auto"/>
                <w:sz w:val="24"/>
                <w:szCs w:val="24"/>
                <w:lang w:eastAsia="zh-CN"/>
              </w:rPr>
              <w:tab/>
            </w:r>
            <w:r>
              <w:rPr>
                <w:rFonts w:ascii="Times New Roman" w:hAnsi="Times New Roman"/>
                <w:b/>
                <w:bCs/>
                <w:color w:val="auto"/>
                <w:sz w:val="24"/>
                <w:szCs w:val="24"/>
              </w:rPr>
              <w:t>表</w:t>
            </w:r>
            <w:r>
              <w:rPr>
                <w:rFonts w:hint="eastAsia" w:ascii="Times New Roman" w:hAnsi="Times New Roman"/>
                <w:b/>
                <w:bCs/>
                <w:color w:val="auto"/>
                <w:sz w:val="24"/>
                <w:szCs w:val="24"/>
                <w:lang w:val="en-US" w:eastAsia="zh-CN"/>
              </w:rPr>
              <w:t>4.37</w:t>
            </w:r>
            <w:r>
              <w:rPr>
                <w:rFonts w:ascii="Times New Roman" w:hAnsi="Times New Roman"/>
                <w:b/>
                <w:bCs/>
                <w:color w:val="auto"/>
                <w:sz w:val="24"/>
                <w:szCs w:val="24"/>
              </w:rPr>
              <w:t xml:space="preserve">  地下水污染防渗分区参照表</w:t>
            </w:r>
          </w:p>
          <w:tbl>
            <w:tblPr>
              <w:tblStyle w:val="2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309"/>
              <w:gridCol w:w="1325"/>
              <w:gridCol w:w="1361"/>
              <w:gridCol w:w="1313"/>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场区内建构筑物</w:t>
                  </w:r>
                </w:p>
              </w:tc>
              <w:tc>
                <w:tcPr>
                  <w:tcW w:w="993"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包气带防污性能</w:t>
                  </w:r>
                </w:p>
              </w:tc>
              <w:tc>
                <w:tcPr>
                  <w:tcW w:w="1005"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污染控制难易程度</w:t>
                  </w:r>
                </w:p>
              </w:tc>
              <w:tc>
                <w:tcPr>
                  <w:tcW w:w="1032"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污染物类型</w:t>
                  </w:r>
                </w:p>
              </w:tc>
              <w:tc>
                <w:tcPr>
                  <w:tcW w:w="996"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防渗分区</w:t>
                  </w:r>
                </w:p>
              </w:tc>
              <w:tc>
                <w:tcPr>
                  <w:tcW w:w="2222"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eastAsia="zh-CN"/>
                    </w:rPr>
                    <w:t>危险废物暂存间、化粪池等</w:t>
                  </w:r>
                </w:p>
              </w:tc>
              <w:tc>
                <w:tcPr>
                  <w:tcW w:w="993"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中</w:t>
                  </w:r>
                </w:p>
              </w:tc>
              <w:tc>
                <w:tcPr>
                  <w:tcW w:w="1005"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难</w:t>
                  </w:r>
                </w:p>
              </w:tc>
              <w:tc>
                <w:tcPr>
                  <w:tcW w:w="1032"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其他类型</w:t>
                  </w:r>
                </w:p>
              </w:tc>
              <w:tc>
                <w:tcPr>
                  <w:tcW w:w="996"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重点防渗区</w:t>
                  </w:r>
                </w:p>
              </w:tc>
              <w:tc>
                <w:tcPr>
                  <w:tcW w:w="2222" w:type="dxa"/>
                  <w:vMerge w:val="restart"/>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等效黏土防渗层Mb≧6m，K≦1*10</w:t>
                  </w:r>
                  <w:r>
                    <w:rPr>
                      <w:rFonts w:ascii="Times New Roman" w:hAnsi="Times New Roman" w:eastAsia="宋体"/>
                      <w:color w:val="auto"/>
                      <w:szCs w:val="21"/>
                      <w:vertAlign w:val="superscript"/>
                    </w:rPr>
                    <w:t>-7</w:t>
                  </w:r>
                  <w:r>
                    <w:rPr>
                      <w:rFonts w:ascii="Times New Roman" w:hAnsi="Times New Roman" w:eastAsia="宋体"/>
                      <w:color w:val="auto"/>
                      <w:szCs w:val="21"/>
                    </w:rPr>
                    <w:t>cm/s，或参照《危险废物填埋污染控制标准》（GB18598-20</w:t>
                  </w:r>
                  <w:r>
                    <w:rPr>
                      <w:rFonts w:hint="eastAsia" w:ascii="Times New Roman" w:hAnsi="Times New Roman" w:eastAsia="宋体"/>
                      <w:color w:val="auto"/>
                      <w:szCs w:val="21"/>
                      <w:lang w:val="en-US" w:eastAsia="zh-CN"/>
                    </w:rPr>
                    <w:t>19</w:t>
                  </w:r>
                  <w:r>
                    <w:rPr>
                      <w:rFonts w:ascii="Times New Roman" w:hAnsi="Times New Roman" w:eastAsia="宋体"/>
                      <w:color w:val="auto"/>
                      <w:szCs w:val="21"/>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noWrap w:val="0"/>
                  <w:vAlign w:val="center"/>
                </w:tcPr>
                <w:p>
                  <w:pPr>
                    <w:adjustRightInd w:val="0"/>
                    <w:snapToGrid w:val="0"/>
                    <w:jc w:val="center"/>
                    <w:rPr>
                      <w:rFonts w:ascii="Times New Roman" w:hAnsi="Times New Roman" w:eastAsia="宋体"/>
                      <w:color w:val="auto"/>
                      <w:szCs w:val="21"/>
                    </w:rPr>
                  </w:pPr>
                </w:p>
              </w:tc>
              <w:tc>
                <w:tcPr>
                  <w:tcW w:w="993"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中</w:t>
                  </w:r>
                </w:p>
              </w:tc>
              <w:tc>
                <w:tcPr>
                  <w:tcW w:w="1005"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难</w:t>
                  </w:r>
                </w:p>
              </w:tc>
              <w:tc>
                <w:tcPr>
                  <w:tcW w:w="1032"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其他类型</w:t>
                  </w:r>
                </w:p>
              </w:tc>
              <w:tc>
                <w:tcPr>
                  <w:tcW w:w="996"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重点防渗区</w:t>
                  </w:r>
                </w:p>
              </w:tc>
              <w:tc>
                <w:tcPr>
                  <w:tcW w:w="2222" w:type="dxa"/>
                  <w:vMerge w:val="continue"/>
                  <w:noWrap w:val="0"/>
                  <w:vAlign w:val="center"/>
                </w:tcPr>
                <w:p>
                  <w:pPr>
                    <w:adjustRightInd w:val="0"/>
                    <w:snapToGrid w:val="0"/>
                    <w:jc w:val="center"/>
                    <w:rPr>
                      <w:rFonts w:ascii="Times New Roman" w:hAnsi="Times New Roman"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noWrap w:val="0"/>
                  <w:vAlign w:val="center"/>
                </w:tcPr>
                <w:p>
                  <w:pPr>
                    <w:adjustRightInd w:val="0"/>
                    <w:snapToGrid w:val="0"/>
                    <w:jc w:val="center"/>
                    <w:rPr>
                      <w:rFonts w:ascii="Times New Roman" w:hAnsi="Times New Roman" w:eastAsia="宋体"/>
                      <w:color w:val="auto"/>
                      <w:szCs w:val="21"/>
                    </w:rPr>
                  </w:pPr>
                </w:p>
              </w:tc>
              <w:tc>
                <w:tcPr>
                  <w:tcW w:w="993"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中</w:t>
                  </w:r>
                </w:p>
              </w:tc>
              <w:tc>
                <w:tcPr>
                  <w:tcW w:w="1005"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难</w:t>
                  </w:r>
                </w:p>
              </w:tc>
              <w:tc>
                <w:tcPr>
                  <w:tcW w:w="1032"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其他类型</w:t>
                  </w:r>
                </w:p>
              </w:tc>
              <w:tc>
                <w:tcPr>
                  <w:tcW w:w="996"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重点防渗区</w:t>
                  </w:r>
                </w:p>
              </w:tc>
              <w:tc>
                <w:tcPr>
                  <w:tcW w:w="2222" w:type="dxa"/>
                  <w:vMerge w:val="continue"/>
                  <w:noWrap w:val="0"/>
                  <w:vAlign w:val="center"/>
                </w:tcPr>
                <w:p>
                  <w:pPr>
                    <w:adjustRightInd w:val="0"/>
                    <w:snapToGrid w:val="0"/>
                    <w:jc w:val="center"/>
                    <w:rPr>
                      <w:rFonts w:ascii="Times New Roman" w:hAnsi="Times New Roman"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lang w:eastAsia="zh-CN"/>
                    </w:rPr>
                    <w:t>成品仓库</w:t>
                  </w:r>
                  <w:r>
                    <w:rPr>
                      <w:rFonts w:ascii="Times New Roman" w:hAnsi="Times New Roman" w:eastAsia="宋体"/>
                      <w:color w:val="auto"/>
                      <w:szCs w:val="21"/>
                    </w:rPr>
                    <w:t>等</w:t>
                  </w:r>
                </w:p>
              </w:tc>
              <w:tc>
                <w:tcPr>
                  <w:tcW w:w="993"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弱</w:t>
                  </w:r>
                </w:p>
              </w:tc>
              <w:tc>
                <w:tcPr>
                  <w:tcW w:w="1005"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易-难</w:t>
                  </w:r>
                </w:p>
              </w:tc>
              <w:tc>
                <w:tcPr>
                  <w:tcW w:w="1032"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其他类型</w:t>
                  </w:r>
                </w:p>
              </w:tc>
              <w:tc>
                <w:tcPr>
                  <w:tcW w:w="996" w:type="dxa"/>
                  <w:noWrap w:val="0"/>
                  <w:vAlign w:val="center"/>
                </w:tcPr>
                <w:p>
                  <w:pPr>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一般防渗区</w:t>
                  </w:r>
                </w:p>
              </w:tc>
              <w:tc>
                <w:tcPr>
                  <w:tcW w:w="2222" w:type="dxa"/>
                  <w:noWrap w:val="0"/>
                  <w:vAlign w:val="center"/>
                </w:tcPr>
                <w:p>
                  <w:pPr>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等效黏土防渗层Mb≧1.5m，K≦1*10</w:t>
                  </w:r>
                  <w:r>
                    <w:rPr>
                      <w:rFonts w:ascii="Times New Roman" w:hAnsi="Times New Roman" w:eastAsia="宋体"/>
                      <w:color w:val="auto"/>
                      <w:sz w:val="21"/>
                      <w:szCs w:val="21"/>
                      <w:vertAlign w:val="superscript"/>
                    </w:rPr>
                    <w:t>-7</w:t>
                  </w:r>
                  <w:r>
                    <w:rPr>
                      <w:rFonts w:ascii="Times New Roman" w:hAnsi="Times New Roman" w:eastAsia="宋体"/>
                      <w:color w:val="auto"/>
                      <w:sz w:val="21"/>
                      <w:szCs w:val="21"/>
                    </w:rPr>
                    <w:t>cm/s，或参照</w:t>
                  </w:r>
                  <w:r>
                    <w:rPr>
                      <w:rFonts w:hint="eastAsia" w:ascii="Times New Roman" w:hAnsi="Times New Roman" w:cs="Times New Roman"/>
                      <w:color w:val="auto"/>
                      <w:sz w:val="21"/>
                      <w:szCs w:val="21"/>
                      <w:lang w:val="en-US" w:eastAsia="zh-CN"/>
                    </w:rPr>
                    <w:t>《生活垃圾填埋场污染控制标准》（GB16889-2008）</w:t>
                  </w:r>
                  <w:r>
                    <w:rPr>
                      <w:rFonts w:ascii="Times New Roman" w:hAnsi="Times New Roman" w:eastAsia="宋体"/>
                      <w:color w:val="auto"/>
                      <w:sz w:val="21"/>
                      <w:szCs w:val="21"/>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办公</w:t>
                  </w:r>
                  <w:r>
                    <w:rPr>
                      <w:rFonts w:hint="eastAsia" w:ascii="Times New Roman" w:hAnsi="Times New Roman" w:eastAsia="宋体"/>
                      <w:color w:val="auto"/>
                      <w:szCs w:val="21"/>
                      <w:lang w:eastAsia="zh-CN"/>
                    </w:rPr>
                    <w:t>区</w:t>
                  </w:r>
                  <w:r>
                    <w:rPr>
                      <w:rFonts w:ascii="Times New Roman" w:hAnsi="Times New Roman" w:eastAsia="宋体"/>
                      <w:color w:val="auto"/>
                      <w:szCs w:val="21"/>
                    </w:rPr>
                    <w:t>等</w:t>
                  </w:r>
                </w:p>
              </w:tc>
              <w:tc>
                <w:tcPr>
                  <w:tcW w:w="993"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中-强</w:t>
                  </w:r>
                </w:p>
              </w:tc>
              <w:tc>
                <w:tcPr>
                  <w:tcW w:w="1005"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易</w:t>
                  </w:r>
                </w:p>
              </w:tc>
              <w:tc>
                <w:tcPr>
                  <w:tcW w:w="1032"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其他类型</w:t>
                  </w:r>
                </w:p>
              </w:tc>
              <w:tc>
                <w:tcPr>
                  <w:tcW w:w="996"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简单防渗区</w:t>
                  </w:r>
                </w:p>
              </w:tc>
              <w:tc>
                <w:tcPr>
                  <w:tcW w:w="2222" w:type="dxa"/>
                  <w:noWrap w:val="0"/>
                  <w:vAlign w:val="center"/>
                </w:tcPr>
                <w:p>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一般地面硬化</w:t>
                  </w:r>
                </w:p>
              </w:tc>
            </w:tr>
          </w:tbl>
          <w:p>
            <w:pPr>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由污染途径及对应措施分析可知，项目对可能产生地下水影响的各项途径均进行有效预防，在确保各项防渗措施得以落实，并加强维护和厂区环境管理的前提下，可有效控制厂区内的废水污染物下渗现象，避免污染地下水，因此项目不会对区域地下水环境产生明显影响。</w:t>
            </w:r>
          </w:p>
          <w:p>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eastAsia" w:cs="Times New Roman"/>
                <w:b w:val="0"/>
                <w:bCs w:val="0"/>
                <w:color w:val="auto"/>
                <w:sz w:val="24"/>
                <w:szCs w:val="24"/>
                <w:lang w:val="en-US" w:eastAsia="zh-CN"/>
              </w:rPr>
              <w:t>建设项目厂区分区防渗示意图见附图17。</w:t>
            </w:r>
          </w:p>
          <w:p>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6、环境风险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环境风险评价是对项目建设和运营期间发生的可预测突发事件（一般不包括人为破坏和自然灾害）或事故引起有毒有害、易燃易爆等物质泄露，或突发事件产生的新的有毒有害物质，所造成的人身安全和环境的影响进行评估，并提出防范、应急与缓解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6.1危险物质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按《建设项目环境风险评价技术导则》（HJ169-2018）附录B，对本项目建成后全厂涉及的原辅料、最终产品等主要物质进行危险性识别，确定全厂涉及的危险物质为：</w:t>
            </w:r>
            <w:r>
              <w:rPr>
                <w:rFonts w:hint="default" w:ascii="Times New Roman" w:hAnsi="Times New Roman" w:cs="Times New Roman"/>
                <w:color w:val="auto"/>
                <w:sz w:val="24"/>
                <w:szCs w:val="24"/>
              </w:rPr>
              <w:t>油类物质（</w:t>
            </w:r>
            <w:r>
              <w:rPr>
                <w:rFonts w:hint="eastAsia" w:ascii="Times New Roman" w:hAnsi="Times New Roman" w:cs="Times New Roman"/>
                <w:color w:val="auto"/>
                <w:sz w:val="24"/>
                <w:szCs w:val="24"/>
                <w:lang w:eastAsia="zh-CN"/>
              </w:rPr>
              <w:t>切削液、机油等</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、液化天然气、</w:t>
            </w:r>
            <w:r>
              <w:rPr>
                <w:rFonts w:hint="eastAsia" w:ascii="Times New Roman" w:hAnsi="Times New Roman" w:cs="Times New Roman"/>
                <w:color w:val="auto"/>
                <w:sz w:val="24"/>
                <w:szCs w:val="24"/>
                <w:lang w:val="en-US" w:eastAsia="zh-CN"/>
              </w:rPr>
              <w:t>聚氨酯预聚体、固化剂、清洗剂</w:t>
            </w:r>
            <w:r>
              <w:rPr>
                <w:rFonts w:hint="default" w:ascii="Times New Roman" w:hAnsi="Times New Roman" w:cs="Times New Roman"/>
                <w:color w:val="auto"/>
                <w:sz w:val="24"/>
                <w:szCs w:val="24"/>
                <w:lang w:eastAsia="zh-CN"/>
              </w:rPr>
              <w:t>等，</w:t>
            </w:r>
            <w:r>
              <w:rPr>
                <w:rFonts w:hint="default" w:ascii="Times New Roman" w:hAnsi="Times New Roman" w:cs="Times New Roman"/>
                <w:b w:val="0"/>
                <w:bCs w:val="0"/>
                <w:color w:val="auto"/>
                <w:sz w:val="24"/>
                <w:szCs w:val="24"/>
                <w:lang w:val="en-US" w:eastAsia="zh-CN"/>
              </w:rPr>
              <w:t>危险物质数量与临界量比值（Q）</w:t>
            </w:r>
            <w:r>
              <w:rPr>
                <w:rFonts w:hint="default" w:ascii="Times New Roman" w:hAnsi="Times New Roman" w:cs="Times New Roman"/>
                <w:b w:val="0"/>
                <w:bCs w:val="0"/>
                <w:color w:val="auto"/>
                <w:sz w:val="24"/>
                <w:szCs w:val="24"/>
                <w:lang w:eastAsia="zh-CN"/>
              </w:rPr>
              <w:t>计</w:t>
            </w:r>
            <w:r>
              <w:rPr>
                <w:rFonts w:hint="default" w:ascii="Times New Roman" w:hAnsi="Times New Roman" w:cs="Times New Roman"/>
                <w:color w:val="auto"/>
                <w:sz w:val="24"/>
                <w:szCs w:val="24"/>
                <w:lang w:eastAsia="zh-CN"/>
              </w:rPr>
              <w:t>算如下表</w:t>
            </w:r>
            <w:r>
              <w:rPr>
                <w:rFonts w:hint="eastAsia" w:ascii="Times New Roman" w:hAnsi="Times New Roman" w:cs="Times New Roman"/>
                <w:color w:val="auto"/>
                <w:sz w:val="24"/>
                <w:szCs w:val="24"/>
                <w:lang w:val="en-US" w:eastAsia="zh-CN"/>
              </w:rPr>
              <w:t>4.38</w:t>
            </w:r>
            <w:r>
              <w:rPr>
                <w:rFonts w:hint="default" w:ascii="Times New Roman" w:hAnsi="Times New Roman" w:cs="Times New Roman"/>
                <w:color w:val="auto"/>
                <w:sz w:val="24"/>
                <w:szCs w:val="24"/>
                <w:lang w:eastAsia="zh-CN"/>
              </w:rPr>
              <w:t>所示。</w:t>
            </w:r>
          </w:p>
          <w:p>
            <w:pPr>
              <w:pStyle w:val="29"/>
              <w:spacing w:line="240" w:lineRule="auto"/>
              <w:jc w:val="center"/>
              <w:rPr>
                <w:rFonts w:hint="default" w:ascii="Times New Roman" w:hAnsi="Times New Roman" w:cs="Times New Roman"/>
                <w:b/>
                <w:bCs/>
                <w:color w:val="auto"/>
                <w:szCs w:val="22"/>
                <w:lang w:val="en-US" w:eastAsia="zh-CN"/>
              </w:rPr>
            </w:pPr>
            <w:r>
              <w:rPr>
                <w:rFonts w:hint="default" w:ascii="Times New Roman" w:hAnsi="Times New Roman" w:cs="Times New Roman"/>
                <w:b/>
                <w:bCs/>
                <w:color w:val="auto"/>
                <w:szCs w:val="22"/>
                <w:lang w:val="en-US" w:eastAsia="zh-CN"/>
              </w:rPr>
              <w:t>表</w:t>
            </w:r>
            <w:r>
              <w:rPr>
                <w:rFonts w:hint="eastAsia" w:ascii="Times New Roman" w:hAnsi="Times New Roman" w:cs="Times New Roman"/>
                <w:b/>
                <w:bCs/>
                <w:color w:val="auto"/>
                <w:szCs w:val="22"/>
                <w:lang w:val="en-US" w:eastAsia="zh-CN"/>
              </w:rPr>
              <w:t>4</w:t>
            </w:r>
            <w:r>
              <w:rPr>
                <w:rFonts w:hint="eastAsia" w:cs="Times New Roman"/>
                <w:b/>
                <w:bCs/>
                <w:color w:val="auto"/>
                <w:szCs w:val="22"/>
                <w:lang w:val="en-US" w:eastAsia="zh-CN"/>
              </w:rPr>
              <w:t>.38</w:t>
            </w:r>
            <w:r>
              <w:rPr>
                <w:rFonts w:hint="eastAsia" w:ascii="Times New Roman" w:hAnsi="Times New Roman" w:cs="Times New Roman"/>
                <w:b/>
                <w:bCs/>
                <w:color w:val="auto"/>
                <w:szCs w:val="22"/>
                <w:lang w:val="en-US" w:eastAsia="zh-CN"/>
              </w:rPr>
              <w:t xml:space="preserve">  </w:t>
            </w:r>
            <w:r>
              <w:rPr>
                <w:rFonts w:hint="default" w:ascii="Times New Roman" w:hAnsi="Times New Roman" w:cs="Times New Roman"/>
                <w:b/>
                <w:bCs/>
                <w:color w:val="auto"/>
                <w:szCs w:val="22"/>
                <w:lang w:val="en-US" w:eastAsia="zh-CN"/>
              </w:rPr>
              <w:t>危险物质数量与临界量比值（Q）计算结果一览表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762"/>
              <w:gridCol w:w="1684"/>
              <w:gridCol w:w="2157"/>
              <w:gridCol w:w="1606"/>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序号</w:t>
                  </w:r>
                </w:p>
              </w:tc>
              <w:tc>
                <w:tcPr>
                  <w:tcW w:w="1783"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物质名称</w:t>
                  </w:r>
                </w:p>
              </w:tc>
              <w:tc>
                <w:tcPr>
                  <w:tcW w:w="1704"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CAS号</w:t>
                  </w:r>
                </w:p>
              </w:tc>
              <w:tc>
                <w:tcPr>
                  <w:tcW w:w="2183"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最大存在量q</w:t>
                  </w:r>
                  <w:r>
                    <w:rPr>
                      <w:rFonts w:hint="eastAsia" w:ascii="Times New Roman" w:hAnsi="Times New Roman" w:eastAsia="宋体"/>
                      <w:color w:val="auto"/>
                      <w:szCs w:val="21"/>
                      <w:vertAlign w:val="subscript"/>
                      <w:lang w:val="en-US" w:eastAsia="zh-CN"/>
                    </w:rPr>
                    <w:t>n</w:t>
                  </w:r>
                  <w:r>
                    <w:rPr>
                      <w:rFonts w:hint="eastAsia" w:ascii="Times New Roman" w:hAnsi="Times New Roman" w:eastAsia="宋体"/>
                      <w:color w:val="auto"/>
                      <w:szCs w:val="21"/>
                      <w:lang w:val="en-US" w:eastAsia="zh-CN"/>
                    </w:rPr>
                    <w:t>（t）</w:t>
                  </w:r>
                </w:p>
              </w:tc>
              <w:tc>
                <w:tcPr>
                  <w:tcW w:w="1625"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临界量Q</w:t>
                  </w:r>
                  <w:r>
                    <w:rPr>
                      <w:rFonts w:hint="eastAsia" w:ascii="Times New Roman" w:hAnsi="Times New Roman" w:eastAsia="宋体"/>
                      <w:color w:val="auto"/>
                      <w:szCs w:val="21"/>
                      <w:vertAlign w:val="subscript"/>
                      <w:lang w:val="en-US" w:eastAsia="zh-CN"/>
                    </w:rPr>
                    <w:t>n</w:t>
                  </w:r>
                  <w:r>
                    <w:rPr>
                      <w:rFonts w:hint="eastAsia" w:ascii="Times New Roman" w:hAnsi="Times New Roman" w:eastAsia="宋体"/>
                      <w:color w:val="auto"/>
                      <w:szCs w:val="21"/>
                      <w:lang w:val="en-US" w:eastAsia="zh-CN"/>
                    </w:rPr>
                    <w:t>（t）</w:t>
                  </w:r>
                </w:p>
              </w:tc>
              <w:tc>
                <w:tcPr>
                  <w:tcW w:w="1627"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q</w:t>
                  </w:r>
                  <w:r>
                    <w:rPr>
                      <w:rFonts w:hint="eastAsia" w:ascii="Times New Roman" w:hAnsi="Times New Roman" w:eastAsia="宋体"/>
                      <w:color w:val="auto"/>
                      <w:szCs w:val="21"/>
                      <w:vertAlign w:val="subscript"/>
                      <w:lang w:val="en-US" w:eastAsia="zh-CN"/>
                    </w:rPr>
                    <w:t>n</w:t>
                  </w:r>
                  <w:r>
                    <w:rPr>
                      <w:rFonts w:hint="eastAsia" w:ascii="Times New Roman" w:hAnsi="Times New Roman" w:eastAsia="宋体"/>
                      <w:color w:val="auto"/>
                      <w:szCs w:val="21"/>
                      <w:lang w:val="en-US" w:eastAsia="zh-CN"/>
                    </w:rPr>
                    <w:t>/Q</w:t>
                  </w:r>
                  <w:r>
                    <w:rPr>
                      <w:rFonts w:hint="eastAsia" w:ascii="Times New Roman" w:hAnsi="Times New Roman" w:eastAsia="宋体"/>
                      <w:color w:val="auto"/>
                      <w:szCs w:val="21"/>
                      <w:vertAlign w:val="subscript"/>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29"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w:t>
                  </w:r>
                </w:p>
              </w:tc>
              <w:tc>
                <w:tcPr>
                  <w:tcW w:w="1783"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甲烷</w:t>
                  </w:r>
                </w:p>
              </w:tc>
              <w:tc>
                <w:tcPr>
                  <w:tcW w:w="1704" w:type="dxa"/>
                  <w:noWrap w:val="0"/>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 xml:space="preserve">74-82-8 </w:t>
                  </w:r>
                </w:p>
              </w:tc>
              <w:tc>
                <w:tcPr>
                  <w:tcW w:w="2183"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0.4725</w:t>
                  </w:r>
                </w:p>
              </w:tc>
              <w:tc>
                <w:tcPr>
                  <w:tcW w:w="1625"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10</w:t>
                  </w:r>
                </w:p>
              </w:tc>
              <w:tc>
                <w:tcPr>
                  <w:tcW w:w="1627"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0.04725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w:t>
                  </w:r>
                </w:p>
              </w:tc>
              <w:tc>
                <w:tcPr>
                  <w:tcW w:w="1783"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default" w:ascii="Times New Roman" w:hAnsi="Times New Roman" w:eastAsia="宋体"/>
                      <w:color w:val="auto"/>
                      <w:szCs w:val="21"/>
                    </w:rPr>
                    <w:t>油类物质（矿物油类，如石油、汽油、柴油等；生物柴油等）</w:t>
                  </w:r>
                </w:p>
              </w:tc>
              <w:tc>
                <w:tcPr>
                  <w:tcW w:w="1704" w:type="dxa"/>
                  <w:noWrap w:val="0"/>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w:t>
                  </w:r>
                </w:p>
              </w:tc>
              <w:tc>
                <w:tcPr>
                  <w:tcW w:w="2183"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0.1</w:t>
                  </w:r>
                </w:p>
              </w:tc>
              <w:tc>
                <w:tcPr>
                  <w:tcW w:w="1625"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2500</w:t>
                  </w:r>
                </w:p>
              </w:tc>
              <w:tc>
                <w:tcPr>
                  <w:tcW w:w="1627"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noWrap w:val="0"/>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w:t>
                  </w:r>
                </w:p>
              </w:tc>
              <w:tc>
                <w:tcPr>
                  <w:tcW w:w="1783" w:type="dxa"/>
                  <w:noWrap w:val="0"/>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聚氨酯预聚体、固化剂、清洗剂</w:t>
                  </w:r>
                </w:p>
              </w:tc>
              <w:tc>
                <w:tcPr>
                  <w:tcW w:w="1704"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w:t>
                  </w:r>
                </w:p>
              </w:tc>
              <w:tc>
                <w:tcPr>
                  <w:tcW w:w="2183"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9.1</w:t>
                  </w:r>
                </w:p>
              </w:tc>
              <w:tc>
                <w:tcPr>
                  <w:tcW w:w="1625"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50</w:t>
                  </w:r>
                </w:p>
              </w:tc>
              <w:tc>
                <w:tcPr>
                  <w:tcW w:w="1627"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24" w:type="dxa"/>
                  <w:gridSpan w:val="5"/>
                  <w:noWrap w:val="0"/>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合计</w:t>
                  </w:r>
                </w:p>
              </w:tc>
              <w:tc>
                <w:tcPr>
                  <w:tcW w:w="1627" w:type="dxa"/>
                  <w:noWrap w:val="0"/>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0.22929</w:t>
                  </w:r>
                </w:p>
              </w:tc>
            </w:tr>
          </w:tbl>
          <w:p>
            <w:pPr>
              <w:pStyle w:val="3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auto"/>
                <w:sz w:val="24"/>
                <w:szCs w:val="24"/>
                <w:vertAlign w:val="baseline"/>
                <w:lang w:eastAsia="zh-CN"/>
              </w:rPr>
            </w:pPr>
            <w:r>
              <w:rPr>
                <w:rFonts w:hint="default" w:ascii="Times New Roman" w:hAnsi="Times New Roman" w:cs="Times New Roman" w:eastAsiaTheme="minorEastAsia"/>
                <w:color w:val="auto"/>
                <w:sz w:val="24"/>
                <w:szCs w:val="24"/>
                <w:vertAlign w:val="baseline"/>
                <w:lang w:eastAsia="zh-CN"/>
              </w:rPr>
              <w:t>经计算，Q＜1，项目环境风险潜势为Ⅰ，进行环境风险简单分析。根据《建设项目环境影响报告表编制技术指南（污染影响类）（试行）》可知，本项目有毒有害和易燃易爆危险物质存储量未超过临界量，无需开展环境风险专项评价，明确有毒有害和易燃易爆等危险物质和风险源分布情况及可能影响途径，并提出相应环境风险防范措施即可。</w:t>
            </w:r>
          </w:p>
          <w:p>
            <w:pPr>
              <w:pStyle w:val="3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6.</w:t>
            </w:r>
            <w:r>
              <w:rPr>
                <w:rFonts w:hint="eastAsia" w:ascii="Times New Roman" w:hAnsi="Times New Roman" w:cs="Times New Roman" w:eastAsiaTheme="minorEastAsia"/>
                <w:color w:val="auto"/>
                <w:sz w:val="24"/>
                <w:szCs w:val="24"/>
                <w:vertAlign w:val="baseline"/>
                <w:lang w:val="en-US" w:eastAsia="zh-CN"/>
              </w:rPr>
              <w:t>2风险源分布情况及可能影响途径</w:t>
            </w:r>
          </w:p>
          <w:p>
            <w:pPr>
              <w:pStyle w:val="3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auto"/>
                <w:sz w:val="24"/>
                <w:szCs w:val="24"/>
                <w:vertAlign w:val="baseline"/>
                <w:lang w:eastAsia="zh-CN"/>
              </w:rPr>
            </w:pPr>
            <w:r>
              <w:rPr>
                <w:rFonts w:hint="eastAsia" w:ascii="Times New Roman" w:hAnsi="Times New Roman" w:cs="Times New Roman" w:eastAsiaTheme="minorEastAsia"/>
                <w:color w:val="auto"/>
                <w:sz w:val="24"/>
                <w:szCs w:val="24"/>
                <w:vertAlign w:val="baseline"/>
                <w:lang w:eastAsia="zh-CN"/>
              </w:rPr>
              <w:t>本项目生产系统涉及物料的储存、使用等过程，且发生在车间不同区域，其中环境风险识别情况如</w:t>
            </w:r>
            <w:r>
              <w:rPr>
                <w:rFonts w:hint="default" w:ascii="Times New Roman" w:hAnsi="Times New Roman" w:cs="Times New Roman" w:eastAsiaTheme="minorEastAsia"/>
                <w:color w:val="auto"/>
                <w:sz w:val="24"/>
                <w:szCs w:val="24"/>
                <w:vertAlign w:val="baseline"/>
                <w:lang w:eastAsia="zh-CN"/>
              </w:rPr>
              <w:t>下表</w:t>
            </w:r>
            <w:r>
              <w:rPr>
                <w:rFonts w:hint="default" w:ascii="Times New Roman" w:hAnsi="Times New Roman" w:cs="Times New Roman" w:eastAsiaTheme="minorEastAsia"/>
                <w:color w:val="auto"/>
                <w:sz w:val="24"/>
                <w:szCs w:val="24"/>
                <w:vertAlign w:val="baseline"/>
                <w:lang w:val="en-US" w:eastAsia="zh-CN"/>
              </w:rPr>
              <w:t>4.</w:t>
            </w:r>
            <w:r>
              <w:rPr>
                <w:rFonts w:hint="eastAsia" w:ascii="Times New Roman" w:hAnsi="Times New Roman" w:cs="Times New Roman"/>
                <w:color w:val="auto"/>
                <w:sz w:val="24"/>
                <w:szCs w:val="24"/>
                <w:vertAlign w:val="baseline"/>
                <w:lang w:val="en-US" w:eastAsia="zh-CN"/>
              </w:rPr>
              <w:t>39</w:t>
            </w:r>
            <w:r>
              <w:rPr>
                <w:rFonts w:hint="default" w:ascii="Times New Roman" w:hAnsi="Times New Roman" w:cs="Times New Roman" w:eastAsiaTheme="minorEastAsia"/>
                <w:color w:val="auto"/>
                <w:sz w:val="24"/>
                <w:szCs w:val="24"/>
                <w:vertAlign w:val="baseline"/>
                <w:lang w:eastAsia="zh-CN"/>
              </w:rPr>
              <w:t>所示。</w:t>
            </w:r>
          </w:p>
          <w:p>
            <w:pPr>
              <w:pStyle w:val="3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vertAlign w:val="baseline"/>
                <w:lang w:eastAsia="zh-CN"/>
              </w:rPr>
              <w:t>表</w:t>
            </w:r>
            <w:r>
              <w:rPr>
                <w:rFonts w:hint="eastAsia" w:ascii="Times New Roman" w:hAnsi="Times New Roman" w:cs="Times New Roman" w:eastAsiaTheme="minorEastAsia"/>
                <w:b/>
                <w:bCs/>
                <w:color w:val="auto"/>
                <w:sz w:val="24"/>
                <w:szCs w:val="24"/>
                <w:vertAlign w:val="baseline"/>
                <w:lang w:val="en-US" w:eastAsia="zh-CN"/>
              </w:rPr>
              <w:t>4.</w:t>
            </w:r>
            <w:r>
              <w:rPr>
                <w:rFonts w:hint="eastAsia" w:ascii="Times New Roman" w:hAnsi="Times New Roman" w:cs="Times New Roman"/>
                <w:b/>
                <w:bCs/>
                <w:color w:val="auto"/>
                <w:sz w:val="24"/>
                <w:szCs w:val="24"/>
                <w:vertAlign w:val="baseline"/>
                <w:lang w:val="en-US" w:eastAsia="zh-CN"/>
              </w:rPr>
              <w:t>39</w:t>
            </w:r>
            <w:r>
              <w:rPr>
                <w:rFonts w:hint="eastAsia" w:ascii="Times New Roman" w:hAnsi="Times New Roman" w:cs="Times New Roman" w:eastAsiaTheme="minorEastAsia"/>
                <w:b/>
                <w:bCs/>
                <w:color w:val="auto"/>
                <w:sz w:val="24"/>
                <w:szCs w:val="24"/>
                <w:vertAlign w:val="baseline"/>
                <w:lang w:val="en-US" w:eastAsia="zh-CN"/>
              </w:rPr>
              <w:t xml:space="preserve">  风险源分布情况及可能影响途径一览表</w:t>
            </w:r>
          </w:p>
          <w:tbl>
            <w:tblPr>
              <w:tblStyle w:val="2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787"/>
              <w:gridCol w:w="1014"/>
              <w:gridCol w:w="1210"/>
              <w:gridCol w:w="983"/>
              <w:gridCol w:w="1105"/>
              <w:gridCol w:w="3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序号</w:t>
                  </w:r>
                </w:p>
              </w:tc>
              <w:tc>
                <w:tcPr>
                  <w:tcW w:w="78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生产工序</w:t>
                  </w:r>
                </w:p>
              </w:tc>
              <w:tc>
                <w:tcPr>
                  <w:tcW w:w="100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危险单元</w:t>
                  </w:r>
                </w:p>
              </w:tc>
              <w:tc>
                <w:tcPr>
                  <w:tcW w:w="120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涉及风险物质</w:t>
                  </w:r>
                </w:p>
              </w:tc>
              <w:tc>
                <w:tcPr>
                  <w:tcW w:w="97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环境风险类型</w:t>
                  </w:r>
                </w:p>
              </w:tc>
              <w:tc>
                <w:tcPr>
                  <w:tcW w:w="109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事故触发因素</w:t>
                  </w:r>
                </w:p>
              </w:tc>
              <w:tc>
                <w:tcPr>
                  <w:tcW w:w="382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可能的环境影响途</w:t>
                  </w:r>
                </w:p>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径及去向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780"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储存等</w:t>
                  </w:r>
                </w:p>
              </w:tc>
              <w:tc>
                <w:tcPr>
                  <w:tcW w:w="100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原材料仓库</w:t>
                  </w:r>
                </w:p>
              </w:tc>
              <w:tc>
                <w:tcPr>
                  <w:tcW w:w="120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切削液、机油、聚氨酯预聚体、固化剂、清洗剂等</w:t>
                  </w:r>
                </w:p>
              </w:tc>
              <w:tc>
                <w:tcPr>
                  <w:tcW w:w="97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泄漏、火灾</w:t>
                  </w:r>
                </w:p>
              </w:tc>
              <w:tc>
                <w:tcPr>
                  <w:tcW w:w="109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物料装</w:t>
                  </w:r>
                </w:p>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卸失误</w:t>
                  </w:r>
                </w:p>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操作、包</w:t>
                  </w:r>
                </w:p>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装破损</w:t>
                  </w:r>
                </w:p>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、遇明火等</w:t>
                  </w:r>
                </w:p>
              </w:tc>
              <w:tc>
                <w:tcPr>
                  <w:tcW w:w="3820"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液态物料在车间内泄漏，若没有及时收集会流入外环境中，污染周围的土壤、地下水、入雨水管网等；木材等遇明火燃烧发生火灾事故，燃烧废气污染周边大气环境，携带泄漏物料的消防废水可能进入雨水管网，对周边地表水体造成污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78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储存</w:t>
                  </w:r>
                </w:p>
              </w:tc>
              <w:tc>
                <w:tcPr>
                  <w:tcW w:w="100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危险废物暂存间</w:t>
                  </w:r>
                </w:p>
              </w:tc>
              <w:tc>
                <w:tcPr>
                  <w:tcW w:w="120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废包装桶、废活性炭、废机油等</w:t>
                  </w:r>
                </w:p>
              </w:tc>
              <w:tc>
                <w:tcPr>
                  <w:tcW w:w="97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泄漏、火灾</w:t>
                  </w:r>
                </w:p>
              </w:tc>
              <w:tc>
                <w:tcPr>
                  <w:tcW w:w="109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遇明火等</w:t>
                  </w:r>
                </w:p>
              </w:tc>
              <w:tc>
                <w:tcPr>
                  <w:tcW w:w="3820"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color w:val="auto"/>
                      <w:szCs w:val="21"/>
                      <w:lang w:val="en-US" w:eastAsia="zh-CN"/>
                    </w:rPr>
                  </w:pPr>
                  <w:r>
                    <w:rPr>
                      <w:rFonts w:hint="eastAsia" w:ascii="Times New Roman" w:hAnsi="Times New Roman" w:cs="Times New Roman"/>
                      <w:b w:val="0"/>
                      <w:bCs w:val="0"/>
                      <w:color w:val="auto"/>
                      <w:sz w:val="21"/>
                      <w:szCs w:val="21"/>
                      <w:vertAlign w:val="baseline"/>
                      <w:lang w:val="en-US" w:eastAsia="zh-CN"/>
                    </w:rPr>
                    <w:t>液态危险废物在转运过程中发生泄漏，未及时收集处理，可能会污染周围的土壤、地下水；废活性炭遇明火燃烧发生火灾事故，燃烧废气污染周边大气环境，携带泄漏物料的消防废水可能进入雨水管网，对周边地表水体造成污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p>
              </w:tc>
              <w:tc>
                <w:tcPr>
                  <w:tcW w:w="780"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固化</w:t>
                  </w:r>
                </w:p>
              </w:tc>
              <w:tc>
                <w:tcPr>
                  <w:tcW w:w="100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天然气燃烧机、储气瓶等</w:t>
                  </w:r>
                </w:p>
              </w:tc>
              <w:tc>
                <w:tcPr>
                  <w:tcW w:w="120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天然气</w:t>
                  </w:r>
                </w:p>
              </w:tc>
              <w:tc>
                <w:tcPr>
                  <w:tcW w:w="97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泄漏、火</w:t>
                  </w:r>
                </w:p>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灾、爆炸</w:t>
                  </w:r>
                </w:p>
              </w:tc>
              <w:tc>
                <w:tcPr>
                  <w:tcW w:w="109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储气瓶破碎等</w:t>
                  </w:r>
                </w:p>
              </w:tc>
              <w:tc>
                <w:tcPr>
                  <w:tcW w:w="3820"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储气瓶天然气泄漏后遇明火会发生火灾，若泄漏局部浓度较高，可能引发现场人员窒息，若高热可能引发管道破裂。</w:t>
                  </w:r>
                </w:p>
              </w:tc>
            </w:tr>
          </w:tbl>
          <w:p>
            <w:pPr>
              <w:pStyle w:val="3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6.3环境风险防范措施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人、物、环境和管理构成了现代工业企业生产中最基本的生产组织和生产单位，同时又是构成企业生产过程中诱发各种风险事故的危险因素。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风险事故发生规律表明：物的不安全状态+管理缺陷→风险事故隐患+人的不安全行为→风险事故。</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预防为主</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是安全生产的原则，加强预防工作，从管理着手，把风险事故的发生和影响降到最低程度，针对本项目的生产特点，特别要注意以下几点：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（1）严格按照工业安全生产规定，设置安全监控点，按中华全国总工会职业危害安全监控法执行</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（2）加强原料和涂料库管理</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（3）加强职工安全环保教育，增强操作工人的责任心，防止和减少因人为因素造成的事故，同时也要加强防火安全教育</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（4）应配备足够的消防设施，落实安全管理责任。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实践证明，许多环境污染事故平时只要提高警惕，加强管理和防范是可以避免的。因此项目首要的目的是加强事故防范措施的宣传教育，防止风险事故的发生。此外应根据环评及实际生产情况对安全事故隐患进行调查等级，对企业的安全措施常抓不懈，将本项目风险事故的发生概率控制在最小范围内。</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6.3.1总图布置和建筑风险防范措施</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项目总平面布置的各车间、仓库等建构筑防火间距符合《建筑设计防火规范》</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工业企业总平面设计规范》等相关规范标准的要求。厂区道路实行人、货流分开（划分人行区域和车辆行驶区域、不重叠），划出专用车辆行驶路线、限速标志等并严格执行。在厂区总平面布置中配套建设应急救援设施、救援通道、应急疏散避难所等防护设施。按《安全标志》规定在装置区设置有关的安全标志。</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6.3.2危险化学品贮运安全防范措施</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项目严格按照《危险化学品安全管理条例》</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《常用化学危险品贮存通则》等的要求进行危险品储运。具体措施主要包括：</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w:t>
            </w:r>
            <w:r>
              <w:rPr>
                <w:rFonts w:hint="eastAsia" w:ascii="Times New Roman" w:hAnsi="Times New Roman" w:cs="Times New Roman"/>
                <w:b w:val="0"/>
                <w:bCs w:val="0"/>
                <w:color w:val="auto"/>
                <w:sz w:val="24"/>
                <w:szCs w:val="24"/>
                <w:lang w:val="en-US" w:eastAsia="zh-CN"/>
              </w:rPr>
              <w:t>化学品仓</w:t>
            </w:r>
            <w:r>
              <w:rPr>
                <w:rFonts w:hint="default" w:ascii="Times New Roman" w:hAnsi="Times New Roman" w:cs="Times New Roman"/>
                <w:b w:val="0"/>
                <w:bCs w:val="0"/>
                <w:color w:val="auto"/>
                <w:sz w:val="24"/>
                <w:szCs w:val="24"/>
                <w:lang w:val="en-US" w:eastAsia="zh-CN"/>
              </w:rPr>
              <w:t>库设置醒目的警示标志，储存区域严禁吸烟和使用明火。</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配备专业技术人员负责管理。对化学品定期进行安全检查，确保危险品储存处于安全状态，发现品质变化、包装破损、渗漏等现象，应及时处理；对重复使用的危险化学品包装物、容器，在重复使用前应进行检查；对储罐加强管理，并定期按照常压储罐检验规程规定的周期进行检验。</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（3）根据储存物质的理化特性、储存要求及应急措施进行分类、分区隔离储存，并分别设置标志，隔离距离应符合《通则》及储罐规范要求。严禁将不相容物质混合存放。</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（4）危险品贮存场所应根据储存物料对储存环境的要求设置通风设施或其他控制环境温度等措施，并进行严格控制，确保贮存场所环境负荷危险品安全储存的要求。</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5）危险化学品的运输应按照《道路危险货物运输管理规定》等相关的运输标准进行。项目危险化学品的运输均委托具有危险化学品运输资质的公司，采用负荷规定的车辆装运，车辆应配备相应品种的消防器材，装运前需报有关部门批准。转运可燃物的车辆必须配备组或装置和防静电装置，禁止使用易产生火花机械设备和工具装卸，公路运输时要按规定的路线行驶，禁止在居民区和人口稠密区停留。</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6.3.3工艺技术、自动控制设计安全防范措施</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项目选购生产设备及储存设备应具有完备的检验手续，并符合国家、行业及地方线性的技术标准要求；各类设备均由具备相应资质的单位承担设计、制造，严格按照现行标准及规范执行。对可能超压的设备设置安全阀、爆破片等安全措施。</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项目配置控制系统对涂装反应温度、流量等操作参数进行监控，提高生产水平和安全可靠性。各生产装置设置形影的监测和控制仪表，一旦出现异常，可迅速报警，防止因温度等参数异常引发泄漏、爆炸、火灾事故。</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为减少由于设备带点、雷击、静电积聚等引起燃爆事故，电气和工艺设备、管道均按《爆炸和火灾危险环境电力装置设计规范》、《建筑物防雷设计规范》等相关的法规、标准要求设置接地系统或接地连线，以消除静电，在主要建构筑顶部等区域按规定设施防雷设施，以防雷击。</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（4）定期对生产装置、管道进行安全检查，检查内容包括各类生产、储存设备及各类仪表和附件的完好状态，排出安全隐患，确保安全运行。检修作业应符合安全检修作业规程。</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（5）</w:t>
            </w:r>
            <w:r>
              <w:rPr>
                <w:rFonts w:hint="eastAsia" w:ascii="Times New Roman" w:hAnsi="Times New Roman" w:cs="Times New Roman"/>
                <w:b w:val="0"/>
                <w:bCs w:val="0"/>
                <w:color w:val="auto"/>
                <w:sz w:val="24"/>
                <w:szCs w:val="24"/>
                <w:lang w:val="en-US" w:eastAsia="zh-CN"/>
              </w:rPr>
              <w:t>危险废物暂存间</w:t>
            </w:r>
            <w:r>
              <w:rPr>
                <w:rFonts w:hint="default" w:ascii="Times New Roman" w:hAnsi="Times New Roman" w:cs="Times New Roman"/>
                <w:b w:val="0"/>
                <w:bCs w:val="0"/>
                <w:color w:val="auto"/>
                <w:sz w:val="24"/>
                <w:szCs w:val="24"/>
                <w:lang w:val="en-US" w:eastAsia="zh-CN"/>
              </w:rPr>
              <w:t>地面采用防渗硬化处理。</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（6）厂区设置风向标，一旦发生事故，可知道现场人员疏散。</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7）消防器材按安全规定放置。消防器材设置在明显和便于取用的地点，周围不准堆放物品及杂物。消防器材有专人管理、负责、检查、修理、保养、更换和添置，保证完好存放。定期更换泡沫消防站的泡沫液。泡沫泵要按时维修，每月点试一次。</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6.3.4消防及火灾报警系统</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消防系统根据《消防给水及消火栓系统技术规范》</w:t>
            </w:r>
            <w:r>
              <w:rPr>
                <w:rFonts w:hint="eastAsia" w:ascii="宋体" w:hAnsi="宋体" w:eastAsia="宋体" w:cs="宋体"/>
                <w:b w:val="0"/>
                <w:bCs w:val="0"/>
                <w:color w:val="auto"/>
                <w:sz w:val="24"/>
                <w:szCs w:val="24"/>
                <w:lang w:val="en-US" w:eastAsia="zh-CN"/>
              </w:rPr>
              <w:t>等</w:t>
            </w:r>
            <w:r>
              <w:rPr>
                <w:rFonts w:hint="default" w:ascii="Times New Roman" w:hAnsi="Times New Roman" w:cs="Times New Roman"/>
                <w:b w:val="0"/>
                <w:bCs w:val="0"/>
                <w:color w:val="auto"/>
                <w:sz w:val="24"/>
                <w:szCs w:val="24"/>
                <w:lang w:val="en-US" w:eastAsia="zh-CN"/>
              </w:rPr>
              <w:t>规范的相关规定，各生产车间区内设有常规水消防系统。</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为保护厂区内人员和设备的安全，在本项目厂区内设置火灾自动报警系统。系统形式为控制中心报警系统，设备选用总线制智能型火灾自动报警设备。</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6.3.5生产安全管理及劳动保护</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（1）公司建立科学、严格的生产操作规程和安全管理体系，做到各单元、工段生产、安全都有专业人员专职负责。同时公司设专职巡检员，对厂区进行巡检，一旦发现异常情况可马上采取措施。</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（2）加强安全生产教育。安全生产教育包括特殊工种安全教育、日常安全教育以及外来人员安全教育等。让所有员工了解本厂各种原材料物理化学性质和毒理学性质、防护措施、环境影响等。</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加强生产安全卫生监督。按照国家部委有关劳动、安全、卫生的法规标准开展工作，特别是做好车间内有害物质浓度的监测，并及时向厂安全部门报告，协助安全部门分析有可能出现的异常情况，以便及时处理，确保将生产事故消灭在未发生之前。</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（4）为避免物料贮存中突发性燃爆事故的发生，生产车间及仓库严禁烟火，不准有明火，所有电气设备及装置，都采用防爆型。</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5）对在岗工人及邻近有关人员进行自我救护教育，一旦发生事故迅速进行自我救护，如佩戴防毒面具等。如有轻微中毒现象，立即转移到新鲜空气中；若物料接触皮肤，立即用肥皂和水清洗皮肤和被污染的衣物；眼睛接触，立即用大量水冲洗眼睛并就医；如急性中毒，呼吸障碍应给予人工呼吸和吸氧，并立即送往医院救治。</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（6）车间设置消防栓、消防器材、防毒面具、设立专职安全员，对各种安全器材定期检查。</w:t>
            </w:r>
          </w:p>
          <w:p>
            <w:pPr>
              <w:spacing w:line="360" w:lineRule="auto"/>
              <w:ind w:firstLine="482"/>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6.3.6</w:t>
            </w:r>
            <w:r>
              <w:rPr>
                <w:rFonts w:hint="eastAsia" w:ascii="Times New Roman" w:hAnsi="Times New Roman" w:cs="Times New Roman" w:eastAsiaTheme="minorEastAsia"/>
                <w:color w:val="auto"/>
                <w:sz w:val="24"/>
                <w:szCs w:val="24"/>
                <w:vertAlign w:val="baseline"/>
                <w:lang w:val="en-US" w:eastAsia="zh-CN"/>
              </w:rPr>
              <w:t>原料、危险废物存储、运输防范措施</w:t>
            </w:r>
          </w:p>
          <w:p>
            <w:pPr>
              <w:pStyle w:val="3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eastAsiaTheme="minorEastAsia"/>
                <w:color w:val="auto"/>
                <w:sz w:val="24"/>
                <w:szCs w:val="24"/>
                <w:vertAlign w:val="baseline"/>
                <w:lang w:val="en-US" w:eastAsia="zh-CN"/>
              </w:rPr>
              <w:t>（1）加强管理工作，设专人负责各类物料的安全贮存、厂区内输运以及使用，按照其物化性质、危险特性等特征采取相应的安全贮存方式</w:t>
            </w:r>
            <w:r>
              <w:rPr>
                <w:rFonts w:hint="eastAsia" w:ascii="Times New Roman" w:hAnsi="Times New Roman" w:cs="Times New Roman"/>
                <w:color w:val="auto"/>
                <w:sz w:val="24"/>
                <w:szCs w:val="24"/>
                <w:vertAlign w:val="baseline"/>
                <w:lang w:val="en-US" w:eastAsia="zh-CN"/>
              </w:rPr>
              <w:t>。</w:t>
            </w:r>
          </w:p>
          <w:p>
            <w:pPr>
              <w:pStyle w:val="3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eastAsiaTheme="minorEastAsia"/>
                <w:color w:val="auto"/>
                <w:sz w:val="24"/>
                <w:szCs w:val="24"/>
                <w:vertAlign w:val="baseline"/>
                <w:lang w:val="en-US" w:eastAsia="zh-CN"/>
              </w:rPr>
              <w:t>（2）制定严格的操作规程，涉及上述物品的操作人员进行必要的安全培训后方可进行生产</w:t>
            </w:r>
            <w:r>
              <w:rPr>
                <w:rFonts w:hint="eastAsia" w:ascii="Times New Roman" w:hAnsi="Times New Roman" w:cs="Times New Roman"/>
                <w:color w:val="auto"/>
                <w:sz w:val="24"/>
                <w:szCs w:val="24"/>
                <w:vertAlign w:val="baseline"/>
                <w:lang w:val="en-US"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eastAsiaTheme="minorEastAsia"/>
                <w:color w:val="auto"/>
                <w:sz w:val="24"/>
                <w:szCs w:val="24"/>
                <w:vertAlign w:val="baseline"/>
                <w:lang w:val="en-US" w:eastAsia="zh-CN"/>
              </w:rPr>
              <w:t>（3）各种原材料分别暂存于原料仓库，分类存放。各类危险品不得与禁忌物料混合贮存，同时应加强管理，非操作人员不得随意出入。运输危险品的车辆应有特殊标志，危险化学品装卸前后，必须对车辆和储存设备进行检查，一旦发现有破损现象，应及时进行维修，直至消除隐患为止。贮存危险化学品应有明显标志，入库时应严格检验物品质量、数量、包装等情况，入库后应采取适当的防护措施，定期检查，还应建立严格的入库管理制度</w:t>
            </w:r>
            <w:r>
              <w:rPr>
                <w:rFonts w:hint="eastAsia" w:ascii="Times New Roman" w:hAnsi="Times New Roman" w:cs="Times New Roman"/>
                <w:color w:val="auto"/>
                <w:sz w:val="24"/>
                <w:szCs w:val="24"/>
                <w:vertAlign w:val="baseline"/>
                <w:lang w:val="en-US"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color w:val="auto"/>
                <w:lang w:val="en-US" w:eastAsia="zh-CN"/>
              </w:rPr>
              <w:t>（</w:t>
            </w:r>
            <w:r>
              <w:rPr>
                <w:rFonts w:hint="default" w:ascii="Times New Roman" w:hAnsi="Times New Roman" w:cs="Times New Roman"/>
                <w:color w:val="auto"/>
                <w:sz w:val="24"/>
                <w:szCs w:val="24"/>
                <w:lang w:val="en-US" w:eastAsia="zh-CN"/>
              </w:rPr>
              <w:t>4）定期检验原料、危险废物容器的密封性能及强度，及时淘汰出现安全隐患、超期服务的容器</w:t>
            </w:r>
            <w:r>
              <w:rPr>
                <w:rFonts w:hint="eastAsia" w:ascii="Times New Roman" w:hAnsi="Times New Roman" w:cs="Times New Roman"/>
                <w:color w:val="auto"/>
                <w:sz w:val="24"/>
                <w:szCs w:val="24"/>
                <w:lang w:val="en-US"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（5）在厂区整体范围内针对上述物品的贮存、输运、使用制定安全条例，严禁靠近明火、腐蚀性化学物品。</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厂区内危废间有专人管理，门口贴有明显标识，地面具有防腐、防渗、防泄漏的性能，危险废物分类别存放，并放于托盘上，定期交由有资质的危险废物处置单位处置，大大降低危废液渗漏的污染土壤的环境风险。</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vertAlign w:val="baseline"/>
                <w:lang w:eastAsia="zh-CN"/>
              </w:rPr>
            </w:pPr>
            <w:r>
              <w:rPr>
                <w:rFonts w:hint="default" w:ascii="Times New Roman" w:hAnsi="Times New Roman" w:cs="Times New Roman"/>
                <w:color w:val="auto"/>
                <w:sz w:val="24"/>
                <w:szCs w:val="24"/>
                <w:vertAlign w:val="baseline"/>
                <w:lang w:val="en-US" w:eastAsia="zh-CN"/>
              </w:rPr>
              <w:t>6.3.</w:t>
            </w:r>
            <w:r>
              <w:rPr>
                <w:rFonts w:hint="eastAsia" w:ascii="Times New Roman" w:hAnsi="Times New Roman" w:cs="Times New Roman"/>
                <w:color w:val="auto"/>
                <w:sz w:val="24"/>
                <w:szCs w:val="24"/>
                <w:vertAlign w:val="baseline"/>
                <w:lang w:val="en-US" w:eastAsia="zh-CN"/>
              </w:rPr>
              <w:t>7</w:t>
            </w:r>
            <w:r>
              <w:rPr>
                <w:rFonts w:hint="default" w:ascii="Times New Roman" w:hAnsi="Times New Roman" w:cs="Times New Roman" w:eastAsiaTheme="minorEastAsia"/>
                <w:color w:val="auto"/>
                <w:sz w:val="24"/>
                <w:szCs w:val="24"/>
                <w:vertAlign w:val="baseline"/>
                <w:lang w:eastAsia="zh-CN"/>
              </w:rPr>
              <w:t>天然气泄漏防范措施</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vertAlign w:val="baseline"/>
                <w:lang w:eastAsia="zh-CN"/>
              </w:rPr>
            </w:pPr>
            <w:r>
              <w:rPr>
                <w:rFonts w:hint="eastAsia" w:ascii="Times New Roman" w:hAnsi="Times New Roman" w:cs="Times New Roman"/>
                <w:color w:val="auto"/>
                <w:sz w:val="24"/>
                <w:szCs w:val="24"/>
                <w:vertAlign w:val="baseline"/>
                <w:lang w:eastAsia="zh-CN"/>
              </w:rPr>
              <w:t>（</w:t>
            </w:r>
            <w:r>
              <w:rPr>
                <w:rFonts w:hint="eastAsia" w:ascii="Times New Roman" w:hAnsi="Times New Roman" w:cs="Times New Roman"/>
                <w:color w:val="auto"/>
                <w:sz w:val="24"/>
                <w:szCs w:val="24"/>
                <w:vertAlign w:val="baseline"/>
                <w:lang w:val="en-US" w:eastAsia="zh-CN"/>
              </w:rPr>
              <w:t>1</w:t>
            </w:r>
            <w:r>
              <w:rPr>
                <w:rFonts w:hint="eastAsia" w:ascii="Times New Roman" w:hAnsi="Times New Roman" w:cs="Times New Roman"/>
                <w:color w:val="auto"/>
                <w:sz w:val="24"/>
                <w:szCs w:val="24"/>
                <w:vertAlign w:val="baseline"/>
                <w:lang w:eastAsia="zh-CN"/>
              </w:rPr>
              <w:t>）储气瓶</w:t>
            </w:r>
            <w:r>
              <w:rPr>
                <w:rFonts w:hint="default" w:ascii="Times New Roman" w:hAnsi="Times New Roman" w:cs="Times New Roman" w:eastAsiaTheme="minorEastAsia"/>
                <w:color w:val="auto"/>
                <w:sz w:val="24"/>
                <w:szCs w:val="24"/>
                <w:vertAlign w:val="baseline"/>
                <w:lang w:eastAsia="zh-CN"/>
              </w:rPr>
              <w:t>置于阴凉、通风良好的车间内</w:t>
            </w:r>
            <w:r>
              <w:rPr>
                <w:rFonts w:hint="eastAsia" w:ascii="Times New Roman" w:hAnsi="Times New Roman" w:cs="Times New Roman"/>
                <w:color w:val="auto"/>
                <w:sz w:val="24"/>
                <w:szCs w:val="24"/>
                <w:vertAlign w:val="baseline"/>
                <w:lang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vertAlign w:val="baseline"/>
                <w:lang w:eastAsia="zh-CN"/>
              </w:rPr>
            </w:pPr>
            <w:r>
              <w:rPr>
                <w:rFonts w:hint="eastAsia" w:ascii="Times New Roman" w:hAnsi="Times New Roman" w:cs="Times New Roman"/>
                <w:color w:val="auto"/>
                <w:sz w:val="24"/>
                <w:szCs w:val="24"/>
                <w:vertAlign w:val="baseline"/>
                <w:lang w:eastAsia="zh-CN"/>
              </w:rPr>
              <w:t>（</w:t>
            </w:r>
            <w:r>
              <w:rPr>
                <w:rFonts w:hint="eastAsia" w:ascii="Times New Roman" w:hAnsi="Times New Roman" w:cs="Times New Roman"/>
                <w:color w:val="auto"/>
                <w:sz w:val="24"/>
                <w:szCs w:val="24"/>
                <w:vertAlign w:val="baseline"/>
                <w:lang w:val="en-US" w:eastAsia="zh-CN"/>
              </w:rPr>
              <w:t>2</w:t>
            </w:r>
            <w:r>
              <w:rPr>
                <w:rFonts w:hint="eastAsia" w:ascii="Times New Roman" w:hAnsi="Times New Roman" w:cs="Times New Roman"/>
                <w:color w:val="auto"/>
                <w:sz w:val="24"/>
                <w:szCs w:val="24"/>
                <w:vertAlign w:val="baseline"/>
                <w:lang w:eastAsia="zh-CN"/>
              </w:rPr>
              <w:t>）</w:t>
            </w:r>
            <w:r>
              <w:rPr>
                <w:rFonts w:hint="default" w:ascii="Times New Roman" w:hAnsi="Times New Roman" w:cs="Times New Roman" w:eastAsiaTheme="minorEastAsia"/>
                <w:color w:val="auto"/>
                <w:sz w:val="24"/>
                <w:szCs w:val="24"/>
                <w:vertAlign w:val="baseline"/>
                <w:lang w:eastAsia="zh-CN"/>
              </w:rPr>
              <w:t>外购合格</w:t>
            </w:r>
            <w:r>
              <w:rPr>
                <w:rFonts w:hint="eastAsia" w:ascii="Times New Roman" w:hAnsi="Times New Roman" w:cs="Times New Roman"/>
                <w:color w:val="auto"/>
                <w:sz w:val="24"/>
                <w:szCs w:val="24"/>
                <w:vertAlign w:val="baseline"/>
                <w:lang w:eastAsia="zh-CN"/>
              </w:rPr>
              <w:t>储气瓶。</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vertAlign w:val="baseline"/>
                <w:lang w:eastAsia="zh-CN"/>
              </w:rPr>
            </w:pPr>
            <w:r>
              <w:rPr>
                <w:rFonts w:hint="eastAsia" w:ascii="Times New Roman" w:hAnsi="Times New Roman" w:cs="Times New Roman"/>
                <w:color w:val="auto"/>
                <w:sz w:val="24"/>
                <w:szCs w:val="24"/>
                <w:vertAlign w:val="baseline"/>
                <w:lang w:eastAsia="zh-CN"/>
              </w:rPr>
              <w:t>（</w:t>
            </w:r>
            <w:r>
              <w:rPr>
                <w:rFonts w:hint="eastAsia" w:ascii="Times New Roman" w:hAnsi="Times New Roman" w:cs="Times New Roman"/>
                <w:color w:val="auto"/>
                <w:sz w:val="24"/>
                <w:szCs w:val="24"/>
                <w:vertAlign w:val="baseline"/>
                <w:lang w:val="en-US" w:eastAsia="zh-CN"/>
              </w:rPr>
              <w:t>3</w:t>
            </w:r>
            <w:r>
              <w:rPr>
                <w:rFonts w:hint="eastAsia" w:ascii="Times New Roman" w:hAnsi="Times New Roman" w:cs="Times New Roman"/>
                <w:color w:val="auto"/>
                <w:sz w:val="24"/>
                <w:szCs w:val="24"/>
                <w:vertAlign w:val="baseline"/>
                <w:lang w:eastAsia="zh-CN"/>
              </w:rPr>
              <w:t>）储气瓶</w:t>
            </w:r>
            <w:r>
              <w:rPr>
                <w:rFonts w:hint="default" w:ascii="Times New Roman" w:hAnsi="Times New Roman" w:cs="Times New Roman" w:eastAsiaTheme="minorEastAsia"/>
                <w:color w:val="auto"/>
                <w:sz w:val="24"/>
                <w:szCs w:val="24"/>
                <w:vertAlign w:val="baseline"/>
                <w:lang w:eastAsia="zh-CN"/>
              </w:rPr>
              <w:t>远离热源、火源，防止容器破裂</w:t>
            </w:r>
            <w:r>
              <w:rPr>
                <w:rFonts w:hint="eastAsia" w:ascii="Times New Roman" w:hAnsi="Times New Roman" w:cs="Times New Roman"/>
                <w:color w:val="auto"/>
                <w:sz w:val="24"/>
                <w:szCs w:val="24"/>
                <w:vertAlign w:val="baseline"/>
                <w:lang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vertAlign w:val="baseline"/>
                <w:lang w:eastAsia="zh-CN"/>
              </w:rPr>
            </w:pPr>
            <w:r>
              <w:rPr>
                <w:rFonts w:hint="eastAsia" w:ascii="Times New Roman" w:hAnsi="Times New Roman" w:cs="Times New Roman"/>
                <w:color w:val="auto"/>
                <w:sz w:val="24"/>
                <w:szCs w:val="24"/>
                <w:vertAlign w:val="baseline"/>
                <w:lang w:eastAsia="zh-CN"/>
              </w:rPr>
              <w:t>（</w:t>
            </w:r>
            <w:r>
              <w:rPr>
                <w:rFonts w:hint="eastAsia" w:ascii="Times New Roman" w:hAnsi="Times New Roman" w:cs="Times New Roman"/>
                <w:color w:val="auto"/>
                <w:sz w:val="24"/>
                <w:szCs w:val="24"/>
                <w:vertAlign w:val="baseline"/>
                <w:lang w:val="en-US" w:eastAsia="zh-CN"/>
              </w:rPr>
              <w:t>4</w:t>
            </w:r>
            <w:r>
              <w:rPr>
                <w:rFonts w:hint="eastAsia" w:ascii="Times New Roman" w:hAnsi="Times New Roman" w:cs="Times New Roman"/>
                <w:color w:val="auto"/>
                <w:sz w:val="24"/>
                <w:szCs w:val="24"/>
                <w:vertAlign w:val="baseline"/>
                <w:lang w:eastAsia="zh-CN"/>
              </w:rPr>
              <w:t>）</w:t>
            </w:r>
            <w:r>
              <w:rPr>
                <w:rFonts w:hint="default" w:ascii="Times New Roman" w:hAnsi="Times New Roman" w:cs="Times New Roman" w:eastAsiaTheme="minorEastAsia"/>
                <w:color w:val="auto"/>
                <w:sz w:val="24"/>
                <w:szCs w:val="24"/>
                <w:vertAlign w:val="baseline"/>
                <w:lang w:eastAsia="zh-CN"/>
              </w:rPr>
              <w:t>尽量减少</w:t>
            </w:r>
            <w:r>
              <w:rPr>
                <w:rFonts w:hint="eastAsia" w:ascii="Times New Roman" w:hAnsi="Times New Roman" w:cs="Times New Roman"/>
                <w:color w:val="auto"/>
                <w:sz w:val="24"/>
                <w:szCs w:val="24"/>
                <w:vertAlign w:val="baseline"/>
                <w:lang w:eastAsia="zh-CN"/>
              </w:rPr>
              <w:t>储气瓶</w:t>
            </w:r>
            <w:r>
              <w:rPr>
                <w:rFonts w:hint="default" w:ascii="Times New Roman" w:hAnsi="Times New Roman" w:cs="Times New Roman" w:eastAsiaTheme="minorEastAsia"/>
                <w:color w:val="auto"/>
                <w:sz w:val="24"/>
                <w:szCs w:val="24"/>
                <w:vertAlign w:val="baseline"/>
                <w:lang w:eastAsia="zh-CN"/>
              </w:rPr>
              <w:t>储存量，加强</w:t>
            </w:r>
            <w:r>
              <w:rPr>
                <w:rFonts w:hint="eastAsia" w:ascii="Times New Roman" w:hAnsi="Times New Roman" w:cs="Times New Roman"/>
                <w:color w:val="auto"/>
                <w:sz w:val="24"/>
                <w:szCs w:val="24"/>
                <w:vertAlign w:val="baseline"/>
                <w:lang w:eastAsia="zh-CN"/>
              </w:rPr>
              <w:t>储气瓶</w:t>
            </w:r>
            <w:r>
              <w:rPr>
                <w:rFonts w:hint="default" w:ascii="Times New Roman" w:hAnsi="Times New Roman" w:cs="Times New Roman" w:eastAsiaTheme="minorEastAsia"/>
                <w:color w:val="auto"/>
                <w:sz w:val="24"/>
                <w:szCs w:val="24"/>
                <w:vertAlign w:val="baseline"/>
                <w:lang w:eastAsia="zh-CN"/>
              </w:rPr>
              <w:t>在运输、搬运管理，</w:t>
            </w:r>
            <w:r>
              <w:rPr>
                <w:rFonts w:hint="eastAsia" w:ascii="Times New Roman" w:hAnsi="Times New Roman" w:cs="Times New Roman"/>
                <w:color w:val="auto"/>
                <w:sz w:val="24"/>
                <w:szCs w:val="24"/>
                <w:vertAlign w:val="baseline"/>
                <w:lang w:eastAsia="zh-CN"/>
              </w:rPr>
              <w:t>储气瓶</w:t>
            </w:r>
            <w:r>
              <w:rPr>
                <w:rFonts w:hint="default" w:ascii="Times New Roman" w:hAnsi="Times New Roman" w:cs="Times New Roman" w:eastAsiaTheme="minorEastAsia"/>
                <w:color w:val="auto"/>
                <w:sz w:val="24"/>
                <w:szCs w:val="24"/>
                <w:vertAlign w:val="baseline"/>
                <w:lang w:eastAsia="zh-CN"/>
              </w:rPr>
              <w:t>不能卧放</w:t>
            </w:r>
            <w:r>
              <w:rPr>
                <w:rFonts w:hint="eastAsia" w:ascii="Times New Roman" w:hAnsi="Times New Roman" w:cs="Times New Roman"/>
                <w:color w:val="auto"/>
                <w:sz w:val="24"/>
                <w:szCs w:val="24"/>
                <w:vertAlign w:val="baseline"/>
                <w:lang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vertAlign w:val="baseline"/>
                <w:lang w:eastAsia="zh-CN"/>
              </w:rPr>
            </w:pPr>
            <w:r>
              <w:rPr>
                <w:rFonts w:hint="eastAsia" w:ascii="Times New Roman" w:hAnsi="Times New Roman" w:cs="Times New Roman"/>
                <w:color w:val="auto"/>
                <w:sz w:val="24"/>
                <w:szCs w:val="24"/>
                <w:vertAlign w:val="baseline"/>
                <w:lang w:eastAsia="zh-CN"/>
              </w:rPr>
              <w:t>（</w:t>
            </w:r>
            <w:r>
              <w:rPr>
                <w:rFonts w:hint="eastAsia" w:ascii="Times New Roman" w:hAnsi="Times New Roman" w:cs="Times New Roman"/>
                <w:color w:val="auto"/>
                <w:sz w:val="24"/>
                <w:szCs w:val="24"/>
                <w:vertAlign w:val="baseline"/>
                <w:lang w:val="en-US" w:eastAsia="zh-CN"/>
              </w:rPr>
              <w:t>5</w:t>
            </w:r>
            <w:r>
              <w:rPr>
                <w:rFonts w:hint="eastAsia" w:ascii="Times New Roman" w:hAnsi="Times New Roman" w:cs="Times New Roman"/>
                <w:color w:val="auto"/>
                <w:sz w:val="24"/>
                <w:szCs w:val="24"/>
                <w:vertAlign w:val="baseline"/>
                <w:lang w:eastAsia="zh-CN"/>
              </w:rPr>
              <w:t>）</w:t>
            </w:r>
            <w:r>
              <w:rPr>
                <w:rFonts w:hint="default" w:ascii="Times New Roman" w:hAnsi="Times New Roman" w:cs="Times New Roman" w:eastAsiaTheme="minorEastAsia"/>
                <w:color w:val="auto"/>
                <w:sz w:val="24"/>
                <w:szCs w:val="24"/>
                <w:vertAlign w:val="baseline"/>
                <w:lang w:eastAsia="zh-CN"/>
              </w:rPr>
              <w:t>在车间内安装可燃气体警报器，并设置电磁阀联控装置。</w:t>
            </w:r>
          </w:p>
          <w:p>
            <w:pPr>
              <w:spacing w:line="360" w:lineRule="auto"/>
              <w:ind w:firstLine="482"/>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6.3.8</w:t>
            </w:r>
            <w:r>
              <w:rPr>
                <w:rFonts w:hint="default" w:ascii="Times New Roman" w:hAnsi="Times New Roman" w:cs="Times New Roman"/>
                <w:b w:val="0"/>
                <w:bCs w:val="0"/>
                <w:color w:val="auto"/>
                <w:sz w:val="24"/>
                <w:szCs w:val="24"/>
                <w:lang w:val="en-US" w:eastAsia="zh-CN"/>
              </w:rPr>
              <w:t>操作过程中的事故防范措施</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生产操作过程中，必须加强安全管理，提高风险事故防范措施。突发性污染事故，特别是有毒化学品的重大事故将对事故现场人员的生命和健康造成严重危害，还将造成直接经济或间接的经济损失。因此，做好突发性环境污染事故的预防，提高对突发性污染事故的应急处理和处置能力，对企业具有重要的意义。</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发突发性污染事故的因素很多，其中被认定为较重要的有以下几个：设计上存在缺陷；设备质量差，或因无判废标准（或因不执行判废标准）而过度、超时、超负荷运转；管理或指挥失误；违章操作。因此，对突发性污染事故的防治对策，除科学合理的厂址选择外，还应从以下几点严格控制和管理，加强事故防范措施和事故应急处理的技能，懂得紧急救援的知识</w:t>
            </w:r>
            <w:r>
              <w:rPr>
                <w:rFonts w:hint="eastAsia" w:ascii="宋体" w:hAnsi="宋体" w:eastAsia="宋体" w:cs="宋体"/>
                <w:b w:val="0"/>
                <w:bCs w:val="0"/>
                <w:color w:val="auto"/>
                <w:sz w:val="24"/>
                <w:szCs w:val="24"/>
                <w:lang w:val="en-US" w:eastAsia="zh-CN"/>
              </w:rPr>
              <w:t>。“预防为主，安全第一”是减少</w:t>
            </w:r>
            <w:r>
              <w:rPr>
                <w:rFonts w:hint="default" w:ascii="Times New Roman" w:hAnsi="Times New Roman" w:cs="Times New Roman"/>
                <w:b w:val="0"/>
                <w:bCs w:val="0"/>
                <w:color w:val="auto"/>
                <w:sz w:val="24"/>
                <w:szCs w:val="24"/>
                <w:lang w:val="en-US" w:eastAsia="zh-CN"/>
              </w:rPr>
              <w:t>事故发生、降低污染事故损害的主要保障。</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（1）严格把好工程设计、施工关</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工程设计包括工艺设计和总图设计。只有设计合理，才能从根本上改善劳动条件，消除事故重大隐患。严格注意施工质量和设备安排，工程调试的质量，严格竣工验收审查。</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在总图设计中应注意合理进行功能分区，并有一定的防护带和绿化带，严格符合安全规范的要求。</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针对本项目的特点，本评价建议在设计、施工、运营阶段应考虑下列风险防范措施，以避免事故的发生。</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①设计中严格执行国家、行业有关劳动安全卫生的法规和标准规范。</w:t>
            </w:r>
            <w:r>
              <w:rPr>
                <w:rFonts w:hint="eastAsia" w:ascii="Times New Roman" w:hAnsi="Times New Roman" w:cs="Times New Roman"/>
                <w:b w:val="0"/>
                <w:bCs w:val="0"/>
                <w:color w:val="auto"/>
                <w:sz w:val="24"/>
                <w:szCs w:val="24"/>
                <w:lang w:val="en-US" w:eastAsia="zh-CN"/>
              </w:rPr>
              <w:t>喷塑区</w:t>
            </w:r>
            <w:r>
              <w:rPr>
                <w:rFonts w:hint="default" w:ascii="Times New Roman" w:hAnsi="Times New Roman" w:cs="Times New Roman"/>
                <w:b w:val="0"/>
                <w:bCs w:val="0"/>
                <w:color w:val="auto"/>
                <w:sz w:val="24"/>
                <w:szCs w:val="24"/>
                <w:lang w:val="en-US" w:eastAsia="zh-CN"/>
              </w:rPr>
              <w:t>距明火操作场所距离应按《建筑防火设计规范》的规定设置。</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②</w:t>
            </w:r>
            <w:r>
              <w:rPr>
                <w:rFonts w:hint="eastAsia" w:ascii="Times New Roman" w:hAnsi="Times New Roman" w:cs="Times New Roman"/>
                <w:b w:val="0"/>
                <w:bCs w:val="0"/>
                <w:color w:val="auto"/>
                <w:sz w:val="24"/>
                <w:szCs w:val="24"/>
                <w:lang w:val="en-US" w:eastAsia="zh-CN"/>
              </w:rPr>
              <w:t>喷塑区</w:t>
            </w:r>
            <w:r>
              <w:rPr>
                <w:rFonts w:hint="default" w:ascii="Times New Roman" w:hAnsi="Times New Roman" w:cs="Times New Roman"/>
                <w:b w:val="0"/>
                <w:bCs w:val="0"/>
                <w:color w:val="auto"/>
                <w:sz w:val="24"/>
                <w:szCs w:val="24"/>
                <w:lang w:val="en-US" w:eastAsia="zh-CN"/>
              </w:rPr>
              <w:t>设备布置严格执行国家有关防火防爆的规范、规定，设备之间保证由足够的防火距离，并按要求设计消防通道。</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③按区域分类有关规范在涂装车间内划分防火分区。不同防火分区内安装的电器设备应符合相应的区域等级的规定。</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④对爆炸、火灾危害场所内可能产生静电危害的物体采取静电防范处理措施。</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⑤工作人员不得携带火柴、打火机等进入生产场所。</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（2）提高认识、完善制度、严格检查</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企业领导应该提高对突发性事故的警觉和认识，做到警钟长鸣。建议企业建立安全与环保科，并由企业领导直接领导，全权负责。主要负责检查和监督全厂的安全生产和环保设施的正常运转情况。对安全和环保应建立严格的防范措施，制定严格的管理规章制度，列出潜在危险的过程、设备等清单，严格执行设备检验和报废制度。</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）加强技术培训，提高职工安全意识</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职工的安全生产意识不足，一定程度上会增加事故发生的概率，因此企业对生产操作人员必须进行上岗前专业技术培训和安装生产培训，严格管理，提高职工的安全环保意识。</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4</w:t>
            </w:r>
            <w:r>
              <w:rPr>
                <w:rFonts w:hint="default" w:ascii="Times New Roman" w:hAnsi="Times New Roman" w:cs="Times New Roman"/>
                <w:b w:val="0"/>
                <w:bCs w:val="0"/>
                <w:color w:val="auto"/>
                <w:sz w:val="24"/>
                <w:szCs w:val="24"/>
                <w:lang w:val="en-US" w:eastAsia="zh-CN"/>
              </w:rPr>
              <w:t>）提高事故应急处理能力</w:t>
            </w:r>
          </w:p>
          <w:p>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企业对具有高危害设备设置保险措施，对危险车间可设置消防装置等必备设施，并辅以适当的通讯工具，定期进行安全环保宣传教育以及紧急事故模拟演习，提高事故应变能力。</w:t>
            </w:r>
          </w:p>
          <w:p>
            <w:pPr>
              <w:tabs>
                <w:tab w:val="left" w:pos="685"/>
              </w:tabs>
              <w:spacing w:line="360" w:lineRule="auto"/>
              <w:ind w:firstLine="482"/>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6.3.9</w:t>
            </w:r>
            <w:r>
              <w:rPr>
                <w:rFonts w:hint="default" w:ascii="Times New Roman" w:hAnsi="Times New Roman" w:cs="Times New Roman"/>
                <w:b w:val="0"/>
                <w:bCs w:val="0"/>
                <w:color w:val="auto"/>
                <w:sz w:val="24"/>
                <w:szCs w:val="24"/>
                <w:lang w:val="en-US" w:eastAsia="zh-CN"/>
              </w:rPr>
              <w:t>火灾、爆炸事故的应急处理</w:t>
            </w:r>
          </w:p>
          <w:p>
            <w:pPr>
              <w:tabs>
                <w:tab w:val="left" w:pos="685"/>
              </w:tabs>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当发生火灾及燃爆事故时，现场人员或其他人员应该立刻拨打火警电话119并立即通知有关人员停止作业，尽快切断所有电源，组织人员和其他易燃物品的疏散，并利用就近的消防器材将火苗扑灭，但不可用水救火。当火灾进入发展阶段、猛烈阶段，应由消防队来组织灭火，现场人员在确保安全的情况下不可逃离现场，应和消防人员配合，做好灭火工作。</w:t>
            </w:r>
          </w:p>
          <w:p>
            <w:pPr>
              <w:tabs>
                <w:tab w:val="left" w:pos="685"/>
              </w:tabs>
              <w:spacing w:line="360" w:lineRule="auto"/>
              <w:ind w:firstLine="482"/>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6.3.10</w:t>
            </w:r>
            <w:r>
              <w:rPr>
                <w:rFonts w:hint="default"/>
                <w:color w:val="auto"/>
                <w:sz w:val="24"/>
                <w:szCs w:val="24"/>
                <w:lang w:eastAsia="zh-CN"/>
              </w:rPr>
              <w:t>突发环境事件应急预案</w:t>
            </w:r>
            <w:r>
              <w:rPr>
                <w:rFonts w:hint="default" w:ascii="Times New Roman" w:hAnsi="Times New Roman" w:cs="Times New Roman"/>
                <w:b w:val="0"/>
                <w:bCs w:val="0"/>
                <w:color w:val="auto"/>
                <w:sz w:val="24"/>
                <w:szCs w:val="24"/>
                <w:lang w:val="en-US" w:eastAsia="zh-CN"/>
              </w:rPr>
              <w:t>编制要求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通过对污染事故的风险评价，建设单位和各有关部门应制定实施突发性事故应急预案，降低重大环境污染事故发生的概率，消除事故风险隐患。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突发环境事件应急管理办法》、《企业事业单位突发环境事件应急预案备案管理办法（试行）》、《关于进一步加强环境影响评价管理防范环境风险的通知》、《企业突发环境事件风险分级方法》等的规定和要求，建议建设单位尽快编制突发环境事件应急预案向企业所在地环境保护主管部门备案，同时注意编制的应急预案应与沿线各区域、各相关企业应急系统衔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6.4</w:t>
            </w:r>
            <w:r>
              <w:rPr>
                <w:rFonts w:hint="default" w:ascii="Times New Roman" w:hAnsi="Times New Roman" w:cs="Times New Roman"/>
                <w:color w:val="auto"/>
                <w:sz w:val="24"/>
                <w:szCs w:val="24"/>
                <w:lang w:val="en-US" w:eastAsia="zh-CN"/>
              </w:rPr>
              <w:t>环境风险分析结论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在各环境风险防范措施落实到位的情况下，将可大大降低建设项目的环境风险，最大程度减少对环境可能造成的危害。在企业落实本评价提出的各项风险防范措施后，项目对环境的风险影响可接受。</w:t>
            </w:r>
          </w:p>
          <w:p>
            <w:pPr>
              <w:pStyle w:val="32"/>
              <w:ind w:firstLine="482"/>
              <w:rPr>
                <w:rFonts w:ascii="Times New Roman" w:hAnsi="Times New Roman" w:cs="Times New Roman"/>
                <w:b/>
                <w:bCs/>
                <w:color w:val="auto"/>
              </w:rPr>
            </w:pPr>
            <w:r>
              <w:rPr>
                <w:rFonts w:hint="eastAsia" w:ascii="Times New Roman" w:hAnsi="Times New Roman" w:cs="Times New Roman"/>
                <w:b/>
                <w:bCs/>
                <w:color w:val="auto"/>
              </w:rPr>
              <w:t>7、生态</w:t>
            </w:r>
          </w:p>
          <w:p>
            <w:pPr>
              <w:pStyle w:val="32"/>
              <w:rPr>
                <w:color w:val="auto"/>
              </w:rPr>
            </w:pPr>
            <w:r>
              <w:rPr>
                <w:rFonts w:hint="eastAsia"/>
                <w:color w:val="auto"/>
              </w:rPr>
              <w:t>本项目在</w:t>
            </w:r>
            <w:r>
              <w:rPr>
                <w:rFonts w:hint="eastAsia" w:ascii="Times New Roman" w:hAnsi="Times New Roman" w:cs="Times New Roman"/>
                <w:color w:val="auto"/>
                <w:sz w:val="24"/>
                <w:szCs w:val="24"/>
                <w:vertAlign w:val="baseline"/>
                <w:lang w:val="en-US" w:eastAsia="zh-CN"/>
              </w:rPr>
              <w:t>安徽萧县经济开发区白土镇智能制造产业园</w:t>
            </w:r>
            <w:r>
              <w:rPr>
                <w:rFonts w:hint="eastAsia"/>
                <w:color w:val="auto"/>
              </w:rPr>
              <w:t>内进行项目建设，不涉及产业园区外建设项目新增用地，与本项目用地范围内无环境保护目标，不会对周边生态环境造成明显影响。</w:t>
            </w:r>
          </w:p>
          <w:p>
            <w:pPr>
              <w:pStyle w:val="32"/>
              <w:ind w:firstLine="482"/>
              <w:rPr>
                <w:rFonts w:ascii="Times New Roman" w:hAnsi="Times New Roman" w:cs="Times New Roman"/>
                <w:b/>
                <w:bCs/>
                <w:color w:val="auto"/>
              </w:rPr>
            </w:pPr>
            <w:r>
              <w:rPr>
                <w:rFonts w:hint="eastAsia" w:ascii="Times New Roman" w:hAnsi="Times New Roman" w:cs="Times New Roman"/>
                <w:b/>
                <w:bCs/>
                <w:color w:val="auto"/>
              </w:rPr>
              <w:t>8</w:t>
            </w:r>
            <w:r>
              <w:rPr>
                <w:rFonts w:ascii="Times New Roman" w:hAnsi="Times New Roman" w:cs="Times New Roman"/>
                <w:b/>
                <w:bCs/>
                <w:color w:val="auto"/>
              </w:rPr>
              <w:t>、电磁辐射</w:t>
            </w:r>
          </w:p>
          <w:p>
            <w:pPr>
              <w:pStyle w:val="32"/>
              <w:ind w:firstLine="482"/>
              <w:rPr>
                <w:rFonts w:hint="eastAsia"/>
                <w:color w:val="auto"/>
                <w:sz w:val="24"/>
                <w:szCs w:val="24"/>
                <w:vertAlign w:val="baseline"/>
                <w:lang w:eastAsia="zh-CN"/>
              </w:rPr>
            </w:pPr>
            <w:r>
              <w:rPr>
                <w:rFonts w:hint="eastAsia"/>
                <w:color w:val="auto"/>
              </w:rPr>
              <w:t>本项目不涉及电磁辐射。</w:t>
            </w:r>
          </w:p>
          <w:p>
            <w:pPr>
              <w:pStyle w:val="3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sz w:val="24"/>
                <w:szCs w:val="24"/>
                <w:vertAlign w:val="baseline"/>
                <w:lang w:eastAsia="zh-CN"/>
              </w:rPr>
            </w:pPr>
          </w:p>
          <w:p>
            <w:pPr>
              <w:pStyle w:val="3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sz w:val="24"/>
                <w:szCs w:val="24"/>
                <w:vertAlign w:val="baseline"/>
                <w:lang w:eastAsia="zh-CN"/>
              </w:rPr>
            </w:pPr>
          </w:p>
          <w:p>
            <w:pPr>
              <w:pStyle w:val="3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sz w:val="24"/>
                <w:szCs w:val="24"/>
                <w:vertAlign w:val="baseline"/>
                <w:lang w:eastAsia="zh-CN"/>
              </w:rPr>
            </w:pPr>
          </w:p>
          <w:p>
            <w:pPr>
              <w:pStyle w:val="3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sz w:val="24"/>
                <w:szCs w:val="24"/>
                <w:vertAlign w:val="baseline"/>
                <w:lang w:eastAsia="zh-CN"/>
              </w:rPr>
            </w:pPr>
          </w:p>
          <w:p>
            <w:pPr>
              <w:pStyle w:val="3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sz w:val="24"/>
                <w:szCs w:val="24"/>
                <w:vertAlign w:val="baseline"/>
                <w:lang w:eastAsia="zh-CN"/>
              </w:rPr>
            </w:pPr>
          </w:p>
        </w:tc>
      </w:tr>
    </w:tbl>
    <w:p>
      <w:pPr>
        <w:spacing w:line="240" w:lineRule="auto"/>
        <w:jc w:val="left"/>
        <w:rPr>
          <w:rFonts w:hint="eastAsia"/>
          <w:b/>
          <w:bCs/>
          <w:color w:val="auto"/>
          <w:sz w:val="28"/>
          <w:szCs w:val="28"/>
          <w:lang w:val="en-US" w:eastAsia="zh-CN"/>
        </w:rPr>
      </w:pPr>
      <w:r>
        <w:rPr>
          <w:rFonts w:hint="eastAsia"/>
          <w:b/>
          <w:bCs/>
          <w:color w:val="auto"/>
          <w:sz w:val="28"/>
          <w:szCs w:val="28"/>
          <w:lang w:val="en-US" w:eastAsia="zh-CN"/>
        </w:rPr>
        <w:t>五</w:t>
      </w:r>
      <w:r>
        <w:rPr>
          <w:rFonts w:hint="eastAsia"/>
          <w:b/>
          <w:bCs/>
          <w:color w:val="auto"/>
          <w:sz w:val="28"/>
          <w:szCs w:val="28"/>
          <w:lang w:eastAsia="zh-CN"/>
        </w:rPr>
        <w:t>、</w:t>
      </w:r>
      <w:r>
        <w:rPr>
          <w:rFonts w:hint="eastAsia"/>
          <w:b/>
          <w:bCs/>
          <w:color w:val="auto"/>
          <w:sz w:val="28"/>
          <w:szCs w:val="28"/>
          <w:lang w:val="en-US" w:eastAsia="zh-CN"/>
        </w:rPr>
        <w:t>环境保护措施监督检查清单</w:t>
      </w:r>
    </w:p>
    <w:tbl>
      <w:tblPr>
        <w:tblStyle w:val="25"/>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2040"/>
        <w:gridCol w:w="2039"/>
        <w:gridCol w:w="2042"/>
        <w:gridCol w:w="20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Align w:val="center"/>
          </w:tcPr>
          <w:p>
            <w:pPr>
              <w:adjustRightInd w:val="0"/>
              <w:snapToGrid w:val="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-17145</wp:posOffset>
                      </wp:positionV>
                      <wp:extent cx="1293495" cy="416560"/>
                      <wp:effectExtent l="1270" t="4445" r="19685" b="17145"/>
                      <wp:wrapNone/>
                      <wp:docPr id="2" name="直接连接符 2"/>
                      <wp:cNvGraphicFramePr/>
                      <a:graphic xmlns:a="http://schemas.openxmlformats.org/drawingml/2006/main">
                        <a:graphicData uri="http://schemas.microsoft.com/office/word/2010/wordprocessingShape">
                          <wps:wsp>
                            <wps:cNvCnPr/>
                            <wps:spPr>
                              <a:xfrm>
                                <a:off x="908685" y="1312545"/>
                                <a:ext cx="1293495" cy="416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pt;margin-top:-1.35pt;height:32.8pt;width:101.85pt;z-index:251659264;mso-width-relative:page;mso-height-relative:page;" filled="f" stroked="t" coordsize="21600,21600" o:gfxdata="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9wiW2AAAAAgBAAAPAAAAAAAAAAEAIAAAACIAAABkcnMvZG93bnJldi54bWxQ&#10;SwECFAAUAAAACACHTuJA/tduPPcBAADBAwAADgAAAAAAAAABACAAAAAnAQAAZHJzL2Uyb0RvYy54&#10;bWxQSwUGAAAAAAYABgBZAQAAkAUAAAAA&#10;">
                      <v:fill on="f" focussize="0,0"/>
                      <v:stroke weight="0.5pt" color="#000000 [3213]" miterlimit="8" joinstyle="miter"/>
                      <v:imagedata o:title=""/>
                      <o:lock v:ext="edit" aspectratio="f"/>
                    </v:line>
                  </w:pict>
                </mc:Fallback>
              </mc:AlternateContent>
            </w:r>
            <w:r>
              <w:rPr>
                <w:rFonts w:hint="eastAsia" w:ascii="Times New Roman" w:hAnsi="Times New Roman" w:eastAsia="宋体"/>
                <w:color w:val="auto"/>
                <w:sz w:val="24"/>
                <w:szCs w:val="24"/>
                <w:lang w:val="en-US" w:eastAsia="zh-CN"/>
              </w:rPr>
              <w:t xml:space="preserve">         </w:t>
            </w:r>
            <w:r>
              <w:rPr>
                <w:rFonts w:hint="eastAsia" w:ascii="Times New Roman" w:hAnsi="Times New Roman" w:eastAsia="宋体"/>
                <w:color w:val="auto"/>
                <w:sz w:val="24"/>
                <w:szCs w:val="24"/>
                <w:lang w:eastAsia="zh-CN"/>
              </w:rPr>
              <w:t>内容</w:t>
            </w:r>
          </w:p>
          <w:p>
            <w:pPr>
              <w:adjustRightInd w:val="0"/>
              <w:snapToGrid w:val="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类型</w:t>
            </w:r>
          </w:p>
        </w:tc>
        <w:tc>
          <w:tcPr>
            <w:tcW w:w="2040"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eastAsia="zh-CN"/>
              </w:rPr>
              <w:t>排放口（编号、名称）</w:t>
            </w:r>
            <w:r>
              <w:rPr>
                <w:rFonts w:hint="eastAsia" w:ascii="Times New Roman" w:hAnsi="Times New Roman" w:eastAsia="宋体"/>
                <w:color w:val="auto"/>
                <w:sz w:val="24"/>
                <w:szCs w:val="24"/>
                <w:lang w:val="en-US" w:eastAsia="zh-CN"/>
              </w:rPr>
              <w:t>/污染源</w:t>
            </w:r>
          </w:p>
        </w:tc>
        <w:tc>
          <w:tcPr>
            <w:tcW w:w="2039" w:type="dxa"/>
            <w:vAlign w:val="center"/>
          </w:tcPr>
          <w:p>
            <w:pPr>
              <w:adjustRightInd w:val="0"/>
              <w:snapToGrid w:val="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污染物名称</w:t>
            </w:r>
          </w:p>
        </w:tc>
        <w:tc>
          <w:tcPr>
            <w:tcW w:w="2042"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环境保护措施</w:t>
            </w:r>
          </w:p>
        </w:tc>
        <w:tc>
          <w:tcPr>
            <w:tcW w:w="2044" w:type="dxa"/>
            <w:vAlign w:val="center"/>
          </w:tcPr>
          <w:p>
            <w:pPr>
              <w:adjustRightInd w:val="0"/>
              <w:snapToGrid w:val="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Merge w:val="restart"/>
            <w:vAlign w:val="center"/>
          </w:tcPr>
          <w:p>
            <w:pPr>
              <w:adjustRightInd w:val="0"/>
              <w:snapToGrid w:val="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大气</w:t>
            </w:r>
            <w:r>
              <w:rPr>
                <w:rFonts w:hint="eastAsia" w:ascii="Times New Roman" w:hAnsi="Times New Roman" w:eastAsia="宋体"/>
                <w:color w:val="auto"/>
                <w:sz w:val="24"/>
                <w:szCs w:val="24"/>
                <w:lang w:val="en-US" w:eastAsia="zh-CN"/>
              </w:rPr>
              <w:t>环境</w:t>
            </w:r>
          </w:p>
        </w:tc>
        <w:tc>
          <w:tcPr>
            <w:tcW w:w="2040"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DA001/焊接</w:t>
            </w:r>
          </w:p>
        </w:tc>
        <w:tc>
          <w:tcPr>
            <w:tcW w:w="2039"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颗粒物</w:t>
            </w:r>
          </w:p>
        </w:tc>
        <w:tc>
          <w:tcPr>
            <w:tcW w:w="2042"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“集气系统+滤筒除尘器+15m高排气筒”</w:t>
            </w:r>
          </w:p>
        </w:tc>
        <w:tc>
          <w:tcPr>
            <w:tcW w:w="2044" w:type="dxa"/>
            <w:vAlign w:val="center"/>
          </w:tcPr>
          <w:p>
            <w:pPr>
              <w:adjustRightInd w:val="0"/>
              <w:snapToGrid w:val="0"/>
              <w:jc w:val="center"/>
              <w:rPr>
                <w:rFonts w:hint="default" w:ascii="Times New Roman" w:hAnsi="Times New Roman" w:eastAsia="宋体"/>
                <w:color w:val="auto"/>
                <w:sz w:val="24"/>
                <w:szCs w:val="24"/>
              </w:rPr>
            </w:pPr>
            <w:r>
              <w:rPr>
                <w:rFonts w:hint="default" w:ascii="Times New Roman" w:hAnsi="Times New Roman" w:eastAsia="宋体"/>
                <w:color w:val="auto"/>
                <w:sz w:val="24"/>
                <w:szCs w:val="24"/>
              </w:rPr>
              <w:t>《大气污染物综合排放标准》（GB16297-1996）表2中二级标准及无组织监控浓度限值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Merge w:val="continue"/>
            <w:vAlign w:val="center"/>
          </w:tcPr>
          <w:p>
            <w:pPr>
              <w:adjustRightInd w:val="0"/>
              <w:snapToGrid w:val="0"/>
              <w:jc w:val="center"/>
              <w:rPr>
                <w:rFonts w:hint="eastAsia" w:ascii="Times New Roman" w:hAnsi="Times New Roman" w:eastAsia="宋体"/>
                <w:color w:val="auto"/>
                <w:sz w:val="24"/>
                <w:szCs w:val="24"/>
                <w:lang w:eastAsia="zh-CN"/>
              </w:rPr>
            </w:pPr>
          </w:p>
        </w:tc>
        <w:tc>
          <w:tcPr>
            <w:tcW w:w="2040"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DA002/抛丸</w:t>
            </w:r>
          </w:p>
        </w:tc>
        <w:tc>
          <w:tcPr>
            <w:tcW w:w="2039"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颗粒物</w:t>
            </w:r>
          </w:p>
        </w:tc>
        <w:tc>
          <w:tcPr>
            <w:tcW w:w="2042"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“集气系统+</w:t>
            </w:r>
            <w:r>
              <w:rPr>
                <w:rFonts w:hint="eastAsia" w:ascii="Times New Roman" w:hAnsi="Times New Roman" w:cs="Times New Roman"/>
                <w:color w:val="auto"/>
                <w:sz w:val="24"/>
                <w:szCs w:val="24"/>
                <w:lang w:val="en-US" w:eastAsia="zh-CN"/>
              </w:rPr>
              <w:t>袋式除尘器</w:t>
            </w:r>
            <w:r>
              <w:rPr>
                <w:rFonts w:hint="eastAsia" w:ascii="Times New Roman" w:hAnsi="Times New Roman" w:eastAsia="宋体"/>
                <w:color w:val="auto"/>
                <w:sz w:val="24"/>
                <w:szCs w:val="24"/>
                <w:lang w:val="en-US" w:eastAsia="zh-CN"/>
              </w:rPr>
              <w:t>+15m高排气筒”</w:t>
            </w:r>
          </w:p>
        </w:tc>
        <w:tc>
          <w:tcPr>
            <w:tcW w:w="2044" w:type="dxa"/>
            <w:vAlign w:val="center"/>
          </w:tcPr>
          <w:p>
            <w:pPr>
              <w:adjustRightInd w:val="0"/>
              <w:snapToGrid w:val="0"/>
              <w:jc w:val="center"/>
              <w:rPr>
                <w:rFonts w:hint="eastAsia" w:ascii="Times New Roman" w:hAnsi="Times New Roman" w:eastAsia="宋体"/>
                <w:color w:val="auto"/>
                <w:sz w:val="24"/>
                <w:szCs w:val="24"/>
                <w:lang w:eastAsia="zh-CN"/>
              </w:rPr>
            </w:pPr>
            <w:r>
              <w:rPr>
                <w:rFonts w:hint="default" w:ascii="Times New Roman" w:hAnsi="Times New Roman" w:eastAsia="宋体"/>
                <w:color w:val="auto"/>
                <w:sz w:val="24"/>
                <w:szCs w:val="24"/>
              </w:rPr>
              <w:t>《大气污染物综合排放标准》（GB16297-1996）表2中二级标准及无组织监控浓度限值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Merge w:val="continue"/>
            <w:vAlign w:val="center"/>
          </w:tcPr>
          <w:p>
            <w:pPr>
              <w:adjustRightInd w:val="0"/>
              <w:snapToGrid w:val="0"/>
              <w:jc w:val="center"/>
              <w:rPr>
                <w:rFonts w:hint="eastAsia" w:ascii="Times New Roman" w:hAnsi="Times New Roman" w:eastAsia="宋体"/>
                <w:color w:val="auto"/>
                <w:sz w:val="24"/>
                <w:szCs w:val="24"/>
                <w:lang w:eastAsia="zh-CN"/>
              </w:rPr>
            </w:pPr>
          </w:p>
        </w:tc>
        <w:tc>
          <w:tcPr>
            <w:tcW w:w="2040"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DA003/小构件及大构件喷粉柜（线）</w:t>
            </w:r>
          </w:p>
        </w:tc>
        <w:tc>
          <w:tcPr>
            <w:tcW w:w="2039"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颗粒物</w:t>
            </w:r>
          </w:p>
        </w:tc>
        <w:tc>
          <w:tcPr>
            <w:tcW w:w="2042"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w:t>
            </w:r>
            <w:r>
              <w:rPr>
                <w:rFonts w:hint="default" w:ascii="Times New Roman" w:hAnsi="Times New Roman" w:eastAsia="宋体" w:cs="Times New Roman"/>
                <w:color w:val="auto"/>
                <w:sz w:val="24"/>
                <w:szCs w:val="24"/>
                <w:lang w:val="en-US" w:eastAsia="zh-CN"/>
              </w:rPr>
              <w:t>集气系统+</w:t>
            </w:r>
            <w:r>
              <w:rPr>
                <w:rFonts w:hint="eastAsia" w:ascii="Times New Roman" w:hAnsi="Times New Roman" w:eastAsia="宋体" w:cs="Times New Roman"/>
                <w:color w:val="auto"/>
                <w:sz w:val="24"/>
                <w:szCs w:val="24"/>
                <w:lang w:val="en-GB" w:eastAsia="zh-CN"/>
              </w:rPr>
              <w:t>大旋风粉末回收系统</w:t>
            </w:r>
            <w:r>
              <w:rPr>
                <w:rFonts w:hint="eastAsia" w:ascii="Times New Roman" w:hAnsi="Times New Roman" w:eastAsia="宋体" w:cs="Times New Roman"/>
                <w:color w:val="auto"/>
                <w:sz w:val="24"/>
                <w:szCs w:val="24"/>
                <w:lang w:val="en-US" w:eastAsia="zh-CN"/>
              </w:rPr>
              <w:t>+袋式除尘器</w:t>
            </w:r>
            <w:r>
              <w:rPr>
                <w:rFonts w:hint="default" w:ascii="Times New Roman" w:hAnsi="Times New Roman" w:eastAsia="幼圆" w:cs="Times New Roman"/>
                <w:b w:val="0"/>
                <w:bCs w:val="0"/>
                <w:color w:val="auto"/>
                <w:sz w:val="24"/>
                <w:szCs w:val="24"/>
                <w:lang w:val="en-US" w:eastAsia="zh-CN"/>
              </w:rPr>
              <w:t>+15m高排气筒</w:t>
            </w:r>
            <w:r>
              <w:rPr>
                <w:rFonts w:hint="eastAsia" w:ascii="Times New Roman" w:hAnsi="Times New Roman" w:eastAsia="宋体"/>
                <w:color w:val="auto"/>
                <w:sz w:val="24"/>
                <w:szCs w:val="24"/>
                <w:lang w:val="en-US" w:eastAsia="zh-CN"/>
              </w:rPr>
              <w:t>”</w:t>
            </w:r>
          </w:p>
        </w:tc>
        <w:tc>
          <w:tcPr>
            <w:tcW w:w="2044" w:type="dxa"/>
            <w:vAlign w:val="center"/>
          </w:tcPr>
          <w:p>
            <w:pPr>
              <w:adjustRightInd w:val="0"/>
              <w:snapToGrid w:val="0"/>
              <w:jc w:val="center"/>
              <w:rPr>
                <w:rFonts w:hint="default" w:ascii="Times New Roman" w:hAnsi="Times New Roman" w:eastAsia="宋体"/>
                <w:color w:val="auto"/>
                <w:sz w:val="24"/>
                <w:szCs w:val="24"/>
              </w:rPr>
            </w:pPr>
            <w:r>
              <w:rPr>
                <w:rFonts w:hint="default" w:ascii="Times New Roman" w:hAnsi="Times New Roman" w:eastAsia="宋体"/>
                <w:color w:val="auto"/>
                <w:sz w:val="24"/>
                <w:szCs w:val="24"/>
              </w:rPr>
              <w:t>《大气污染物综合排放标准》（GB16297-1996）表2中二级标准及无组织监控浓度限值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Merge w:val="continue"/>
            <w:vAlign w:val="center"/>
          </w:tcPr>
          <w:p>
            <w:pPr>
              <w:adjustRightInd w:val="0"/>
              <w:snapToGrid w:val="0"/>
              <w:jc w:val="center"/>
              <w:rPr>
                <w:rFonts w:hint="eastAsia" w:ascii="Times New Roman" w:hAnsi="Times New Roman" w:eastAsia="宋体"/>
                <w:color w:val="auto"/>
                <w:sz w:val="24"/>
                <w:szCs w:val="24"/>
                <w:lang w:eastAsia="zh-CN"/>
              </w:rPr>
            </w:pPr>
          </w:p>
        </w:tc>
        <w:tc>
          <w:tcPr>
            <w:tcW w:w="2040"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DA004/固化</w:t>
            </w:r>
          </w:p>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（小构件烘箱、大构件固化炉）</w:t>
            </w:r>
          </w:p>
        </w:tc>
        <w:tc>
          <w:tcPr>
            <w:tcW w:w="2039"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非甲烷总烃</w:t>
            </w:r>
          </w:p>
        </w:tc>
        <w:tc>
          <w:tcPr>
            <w:tcW w:w="2042"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“集气系统+风冷+两级活性炭吸附箱+15m高排气筒”</w:t>
            </w:r>
          </w:p>
        </w:tc>
        <w:tc>
          <w:tcPr>
            <w:tcW w:w="2044" w:type="dxa"/>
            <w:vAlign w:val="center"/>
          </w:tcPr>
          <w:p>
            <w:pPr>
              <w:adjustRightInd w:val="0"/>
              <w:snapToGrid w:val="0"/>
              <w:jc w:val="center"/>
              <w:rPr>
                <w:rFonts w:hint="default" w:ascii="Times New Roman" w:hAnsi="Times New Roman" w:eastAsia="宋体"/>
                <w:color w:val="auto"/>
                <w:sz w:val="24"/>
                <w:szCs w:val="24"/>
                <w:lang w:eastAsia="zh-CN"/>
              </w:rPr>
            </w:pPr>
            <w:r>
              <w:rPr>
                <w:rFonts w:hint="default" w:ascii="Times New Roman" w:hAnsi="Times New Roman" w:eastAsia="宋体"/>
                <w:color w:val="auto"/>
                <w:sz w:val="24"/>
                <w:szCs w:val="24"/>
              </w:rPr>
              <w:t>《大气污染物综合排放标准》（GB16297-1996）表2中二级标准及无组织监控浓度限值</w:t>
            </w:r>
            <w:r>
              <w:rPr>
                <w:rFonts w:hint="eastAsia" w:ascii="Times New Roman" w:hAnsi="Times New Roman" w:eastAsia="宋体"/>
                <w:color w:val="auto"/>
                <w:sz w:val="24"/>
                <w:szCs w:val="24"/>
                <w:lang w:val="en-US" w:eastAsia="zh-CN"/>
              </w:rPr>
              <w:t>、</w:t>
            </w:r>
            <w:r>
              <w:rPr>
                <w:rFonts w:hint="default" w:ascii="Times New Roman" w:hAnsi="Times New Roman" w:eastAsia="宋体"/>
                <w:color w:val="auto"/>
                <w:sz w:val="24"/>
                <w:szCs w:val="24"/>
                <w:lang w:val="en-US" w:eastAsia="zh-CN"/>
              </w:rPr>
              <w:t>《挥发性有机物无组织排放控制标准》（GB37822-2019）附录A中</w:t>
            </w:r>
            <w:r>
              <w:rPr>
                <w:rFonts w:hint="eastAsia" w:ascii="Times New Roman" w:hAnsi="Times New Roman" w:eastAsia="宋体"/>
                <w:color w:val="auto"/>
                <w:sz w:val="24"/>
                <w:szCs w:val="24"/>
                <w:lang w:val="en-US" w:eastAsia="zh-CN"/>
              </w:rPr>
              <w:t>“表</w:t>
            </w:r>
            <w:r>
              <w:rPr>
                <w:rFonts w:hint="default" w:ascii="Times New Roman" w:hAnsi="Times New Roman" w:eastAsia="宋体"/>
                <w:color w:val="auto"/>
                <w:sz w:val="24"/>
                <w:szCs w:val="24"/>
                <w:lang w:val="en-US" w:eastAsia="zh-CN"/>
              </w:rPr>
              <w:t>A.1中限值-特别排放限</w:t>
            </w:r>
            <w:r>
              <w:rPr>
                <w:rFonts w:hint="eastAsia" w:ascii="Times New Roman" w:hAnsi="Times New Roman" w:eastAsia="宋体"/>
                <w:color w:val="auto"/>
                <w:sz w:val="24"/>
                <w:szCs w:val="24"/>
                <w:lang w:val="en-US" w:eastAsia="zh-CN"/>
              </w:rPr>
              <w:t>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Merge w:val="continue"/>
            <w:vAlign w:val="center"/>
          </w:tcPr>
          <w:p>
            <w:pPr>
              <w:adjustRightInd w:val="0"/>
              <w:snapToGrid w:val="0"/>
              <w:jc w:val="center"/>
              <w:rPr>
                <w:rFonts w:hint="eastAsia" w:ascii="Times New Roman" w:hAnsi="Times New Roman" w:eastAsia="宋体"/>
                <w:color w:val="auto"/>
                <w:sz w:val="24"/>
                <w:szCs w:val="24"/>
                <w:lang w:eastAsia="zh-CN"/>
              </w:rPr>
            </w:pPr>
          </w:p>
        </w:tc>
        <w:tc>
          <w:tcPr>
            <w:tcW w:w="2040"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DA004/天然气燃烧机</w:t>
            </w:r>
          </w:p>
        </w:tc>
        <w:tc>
          <w:tcPr>
            <w:tcW w:w="2039"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颗粒物、二氧化硫、氮氧化物</w:t>
            </w:r>
          </w:p>
        </w:tc>
        <w:tc>
          <w:tcPr>
            <w:tcW w:w="2042"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“集气系统+低氮燃烧+15m高排气筒”</w:t>
            </w:r>
          </w:p>
        </w:tc>
        <w:tc>
          <w:tcPr>
            <w:tcW w:w="2044" w:type="dxa"/>
            <w:vAlign w:val="center"/>
          </w:tcPr>
          <w:p>
            <w:pPr>
              <w:adjustRightInd w:val="0"/>
              <w:snapToGrid w:val="0"/>
              <w:jc w:val="center"/>
              <w:rPr>
                <w:rFonts w:hint="default" w:ascii="Times New Roman" w:hAnsi="Times New Roman" w:eastAsia="宋体"/>
                <w:color w:val="auto"/>
                <w:sz w:val="24"/>
                <w:szCs w:val="24"/>
              </w:rPr>
            </w:pPr>
            <w:r>
              <w:rPr>
                <w:rFonts w:hint="default" w:ascii="Times New Roman" w:hAnsi="Times New Roman" w:eastAsia="宋体" w:cs="Times New Roman"/>
                <w:color w:val="auto"/>
                <w:sz w:val="24"/>
                <w:szCs w:val="24"/>
                <w:lang w:val="en-US" w:eastAsia="zh-CN"/>
              </w:rPr>
              <w:t>《工业炉窑大气污染物综合治理方案》（环大气【2019】56号）</w:t>
            </w:r>
            <w:r>
              <w:rPr>
                <w:rFonts w:hint="eastAsia" w:ascii="Times New Roman" w:hAnsi="Times New Roman" w:eastAsia="宋体" w:cs="Times New Roman"/>
                <w:color w:val="auto"/>
                <w:sz w:val="24"/>
                <w:szCs w:val="24"/>
                <w:lang w:val="en-US" w:eastAsia="zh-CN"/>
              </w:rPr>
              <w:t>中[颗粒物：30mg/m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，氮氧化物：300mg/m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，二氧化硫：200mg/m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Merge w:val="continue"/>
            <w:vAlign w:val="center"/>
          </w:tcPr>
          <w:p>
            <w:pPr>
              <w:adjustRightInd w:val="0"/>
              <w:snapToGrid w:val="0"/>
              <w:jc w:val="center"/>
              <w:rPr>
                <w:rFonts w:hint="eastAsia" w:ascii="Times New Roman" w:hAnsi="Times New Roman" w:eastAsia="宋体"/>
                <w:color w:val="auto"/>
                <w:sz w:val="24"/>
                <w:szCs w:val="24"/>
                <w:lang w:val="en-US" w:eastAsia="zh-CN"/>
              </w:rPr>
            </w:pPr>
          </w:p>
        </w:tc>
        <w:tc>
          <w:tcPr>
            <w:tcW w:w="2040"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DA005/</w:t>
            </w:r>
            <w:r>
              <w:rPr>
                <w:rFonts w:hint="eastAsia"/>
                <w:color w:val="auto"/>
                <w:sz w:val="24"/>
                <w:szCs w:val="24"/>
                <w:vertAlign w:val="baseline"/>
                <w:lang w:val="en-US" w:eastAsia="zh-CN"/>
              </w:rPr>
              <w:t>预烘、浇注、脱模、</w:t>
            </w:r>
            <w:r>
              <w:rPr>
                <w:rFonts w:hint="eastAsia" w:ascii="Times New Roman" w:hAnsi="Times New Roman" w:cs="Times New Roman"/>
                <w:b w:val="0"/>
                <w:bCs w:val="0"/>
                <w:color w:val="auto"/>
                <w:sz w:val="24"/>
                <w:szCs w:val="24"/>
                <w:u w:val="none"/>
                <w:lang w:val="en-US" w:eastAsia="zh-CN"/>
              </w:rPr>
              <w:t>清洗、注塑及硫化</w:t>
            </w:r>
          </w:p>
        </w:tc>
        <w:tc>
          <w:tcPr>
            <w:tcW w:w="2039"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非甲烷总烃、二苯基甲烷二异氰酸酯（MDI）、二硫化碳（CS</w:t>
            </w:r>
            <w:r>
              <w:rPr>
                <w:rFonts w:hint="eastAsia" w:ascii="Times New Roman" w:hAnsi="Times New Roman" w:eastAsia="宋体"/>
                <w:color w:val="auto"/>
                <w:sz w:val="24"/>
                <w:szCs w:val="24"/>
                <w:vertAlign w:val="subscript"/>
                <w:lang w:val="en-US" w:eastAsia="zh-CN"/>
              </w:rPr>
              <w:t>2</w:t>
            </w:r>
            <w:r>
              <w:rPr>
                <w:rFonts w:hint="eastAsia" w:ascii="Times New Roman" w:hAnsi="Times New Roman" w:eastAsia="宋体"/>
                <w:color w:val="auto"/>
                <w:sz w:val="24"/>
                <w:szCs w:val="24"/>
                <w:lang w:val="en-US" w:eastAsia="zh-CN"/>
              </w:rPr>
              <w:t>）、臭气浓度</w:t>
            </w:r>
          </w:p>
        </w:tc>
        <w:tc>
          <w:tcPr>
            <w:tcW w:w="2042"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“集气系统+风冷+两级活性炭吸附箱+15m高排气筒”</w:t>
            </w:r>
          </w:p>
        </w:tc>
        <w:tc>
          <w:tcPr>
            <w:tcW w:w="2044" w:type="dxa"/>
            <w:vAlign w:val="center"/>
          </w:tcPr>
          <w:p>
            <w:pPr>
              <w:adjustRightInd w:val="0"/>
              <w:snapToGrid w:val="0"/>
              <w:jc w:val="center"/>
              <w:rPr>
                <w:rFonts w:hint="default" w:ascii="Times New Roman" w:hAnsi="Times New Roman" w:eastAsia="宋体"/>
                <w:color w:val="auto"/>
                <w:sz w:val="24"/>
                <w:szCs w:val="24"/>
              </w:rPr>
            </w:pPr>
            <w:r>
              <w:rPr>
                <w:rFonts w:ascii="Times New Roman" w:hAnsi="Times New Roman" w:eastAsia="宋体" w:cs="Times New Roman"/>
                <w:color w:val="auto"/>
                <w:sz w:val="24"/>
                <w:szCs w:val="24"/>
              </w:rPr>
              <w:t>《合成树脂工业污染物排放标准》（GB31572-2015）表5中大气污染物特别排放限值和表9企业边界大气污染物浓度限值</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cs="Times New Roman"/>
                <w:color w:val="auto"/>
                <w:sz w:val="24"/>
                <w:szCs w:val="24"/>
                <w:lang w:val="en-US" w:eastAsia="zh-CN"/>
              </w:rPr>
              <w:t>《橡胶制品工业污染物排放标准》（GB27632-2011）表5新建企业大气污染物排放限值、</w:t>
            </w:r>
            <w:r>
              <w:rPr>
                <w:rFonts w:hint="default" w:ascii="Times New Roman" w:hAnsi="Times New Roman" w:cs="Times New Roman"/>
                <w:color w:val="auto"/>
                <w:kern w:val="0"/>
                <w:sz w:val="24"/>
                <w:szCs w:val="24"/>
                <w:lang w:eastAsia="zh-CN"/>
              </w:rPr>
              <w:t>《恶臭污染物排放标准》</w:t>
            </w:r>
            <w:r>
              <w:rPr>
                <w:rFonts w:hint="default" w:ascii="Times New Roman" w:hAnsi="Times New Roman" w:eastAsia="宋体" w:cs="Times New Roman"/>
                <w:color w:val="auto"/>
                <w:sz w:val="24"/>
                <w:szCs w:val="24"/>
              </w:rPr>
              <w:t>（GB14554-93）</w:t>
            </w:r>
            <w:r>
              <w:rPr>
                <w:rFonts w:hint="default" w:ascii="Times New Roman" w:hAnsi="Times New Roman" w:cs="Times New Roman"/>
                <w:color w:val="auto"/>
                <w:kern w:val="0"/>
                <w:sz w:val="24"/>
                <w:szCs w:val="24"/>
                <w:lang w:eastAsia="zh-CN"/>
              </w:rPr>
              <w:t>中表</w:t>
            </w:r>
            <w:r>
              <w:rPr>
                <w:rFonts w:hint="default" w:ascii="Times New Roman" w:hAnsi="Times New Roman" w:cs="Times New Roman"/>
                <w:color w:val="auto"/>
                <w:kern w:val="0"/>
                <w:sz w:val="24"/>
                <w:szCs w:val="24"/>
                <w:lang w:val="en-US" w:eastAsia="zh-CN"/>
              </w:rPr>
              <w:t>1</w:t>
            </w:r>
            <w:r>
              <w:rPr>
                <w:rFonts w:hint="eastAsia" w:ascii="宋体" w:hAnsi="宋体" w:eastAsia="宋体" w:cs="宋体"/>
                <w:color w:val="auto"/>
                <w:kern w:val="0"/>
                <w:sz w:val="24"/>
                <w:szCs w:val="24"/>
                <w:lang w:val="en-US" w:eastAsia="zh-CN"/>
              </w:rPr>
              <w:t>中“二级新改扩建”标准</w:t>
            </w:r>
            <w:r>
              <w:rPr>
                <w:rFonts w:hint="default" w:ascii="Times New Roman" w:hAnsi="Times New Roman" w:eastAsia="宋体" w:cs="Times New Roman"/>
                <w:color w:val="auto"/>
                <w:kern w:val="0"/>
                <w:sz w:val="24"/>
                <w:szCs w:val="24"/>
                <w:lang w:val="en-US" w:eastAsia="zh-CN"/>
              </w:rPr>
              <w:t>限值和表2恶臭污染物排放标准值</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olor w:val="auto"/>
                <w:sz w:val="24"/>
                <w:szCs w:val="24"/>
                <w:lang w:val="en-US" w:eastAsia="zh-CN"/>
              </w:rPr>
              <w:t>《挥发性有机物无组织排放控制标准》（GB37822-2019）附录A中</w:t>
            </w:r>
            <w:r>
              <w:rPr>
                <w:rFonts w:hint="eastAsia" w:ascii="Times New Roman" w:hAnsi="Times New Roman" w:eastAsia="宋体"/>
                <w:color w:val="auto"/>
                <w:sz w:val="24"/>
                <w:szCs w:val="24"/>
                <w:lang w:val="en-US" w:eastAsia="zh-CN"/>
              </w:rPr>
              <w:t>“表</w:t>
            </w:r>
            <w:r>
              <w:rPr>
                <w:rFonts w:hint="default" w:ascii="Times New Roman" w:hAnsi="Times New Roman" w:eastAsia="宋体"/>
                <w:color w:val="auto"/>
                <w:sz w:val="24"/>
                <w:szCs w:val="24"/>
                <w:lang w:val="en-US" w:eastAsia="zh-CN"/>
              </w:rPr>
              <w:t>A.1中限值-特别排放限</w:t>
            </w:r>
            <w:r>
              <w:rPr>
                <w:rFonts w:hint="eastAsia" w:ascii="Times New Roman" w:hAnsi="Times New Roman" w:eastAsia="宋体"/>
                <w:color w:val="auto"/>
                <w:sz w:val="24"/>
                <w:szCs w:val="24"/>
                <w:lang w:val="en-US" w:eastAsia="zh-CN"/>
              </w:rPr>
              <w:t>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Merge w:val="continue"/>
            <w:vAlign w:val="center"/>
          </w:tcPr>
          <w:p>
            <w:pPr>
              <w:adjustRightInd w:val="0"/>
              <w:snapToGrid w:val="0"/>
              <w:jc w:val="center"/>
              <w:rPr>
                <w:rFonts w:hint="eastAsia" w:ascii="Times New Roman" w:hAnsi="Times New Roman" w:eastAsia="宋体"/>
                <w:color w:val="auto"/>
                <w:sz w:val="24"/>
                <w:szCs w:val="24"/>
                <w:lang w:val="en-US" w:eastAsia="zh-CN"/>
              </w:rPr>
            </w:pPr>
          </w:p>
        </w:tc>
        <w:tc>
          <w:tcPr>
            <w:tcW w:w="2040" w:type="dxa"/>
            <w:vAlign w:val="center"/>
          </w:tcPr>
          <w:p>
            <w:pPr>
              <w:pStyle w:val="39"/>
              <w:spacing w:line="240" w:lineRule="auto"/>
              <w:rPr>
                <w:rFonts w:hint="eastAsia" w:ascii="Times New Roman" w:hAnsi="Times New Roman" w:eastAsia="宋体"/>
                <w:color w:val="auto"/>
                <w:sz w:val="24"/>
                <w:szCs w:val="24"/>
                <w:lang w:val="en-US" w:eastAsia="zh-CN"/>
              </w:rPr>
            </w:pPr>
            <w:r>
              <w:rPr>
                <w:rFonts w:hint="eastAsia" w:ascii="Times New Roman" w:hAnsi="Times New Roman" w:cs="Times New Roman"/>
                <w:color w:val="auto"/>
                <w:sz w:val="24"/>
                <w:szCs w:val="24"/>
                <w:lang w:val="en-US" w:eastAsia="zh-CN"/>
              </w:rPr>
              <w:t>职工食堂</w:t>
            </w:r>
          </w:p>
        </w:tc>
        <w:tc>
          <w:tcPr>
            <w:tcW w:w="2039" w:type="dxa"/>
            <w:vAlign w:val="center"/>
          </w:tcPr>
          <w:p>
            <w:pPr>
              <w:pStyle w:val="39"/>
              <w:spacing w:line="240" w:lineRule="auto"/>
              <w:rPr>
                <w:rFonts w:hint="eastAsia" w:ascii="Times New Roman" w:hAnsi="Times New Roman" w:eastAsia="宋体"/>
                <w:color w:val="auto"/>
                <w:sz w:val="24"/>
                <w:szCs w:val="24"/>
                <w:lang w:val="en-US" w:eastAsia="zh-CN"/>
              </w:rPr>
            </w:pPr>
            <w:r>
              <w:rPr>
                <w:rFonts w:hint="eastAsia" w:ascii="Times New Roman" w:hAnsi="Times New Roman" w:cs="Times New Roman"/>
                <w:color w:val="auto"/>
                <w:sz w:val="24"/>
                <w:szCs w:val="24"/>
                <w:lang w:val="en-US" w:eastAsia="zh-CN"/>
              </w:rPr>
              <w:t>食堂油烟</w:t>
            </w:r>
          </w:p>
        </w:tc>
        <w:tc>
          <w:tcPr>
            <w:tcW w:w="2042" w:type="dxa"/>
            <w:vAlign w:val="center"/>
          </w:tcPr>
          <w:p>
            <w:pPr>
              <w:pStyle w:val="39"/>
              <w:spacing w:line="240" w:lineRule="auto"/>
              <w:rPr>
                <w:rFonts w:hint="eastAsia" w:ascii="Times New Roman" w:hAnsi="Times New Roman" w:eastAsia="宋体"/>
                <w:color w:val="auto"/>
                <w:sz w:val="24"/>
                <w:szCs w:val="24"/>
                <w:lang w:val="en-US" w:eastAsia="zh-CN"/>
              </w:rPr>
            </w:pPr>
            <w:r>
              <w:rPr>
                <w:rFonts w:hint="eastAsia" w:ascii="Times New Roman" w:hAnsi="Times New Roman" w:cs="Times New Roman"/>
                <w:color w:val="auto"/>
                <w:sz w:val="24"/>
                <w:szCs w:val="24"/>
                <w:lang w:val="en-US" w:eastAsia="zh-CN"/>
              </w:rPr>
              <w:t>油烟净化器+油烟专用排放管道</w:t>
            </w:r>
          </w:p>
        </w:tc>
        <w:tc>
          <w:tcPr>
            <w:tcW w:w="2044" w:type="dxa"/>
            <w:vAlign w:val="center"/>
          </w:tcPr>
          <w:p>
            <w:pPr>
              <w:pStyle w:val="39"/>
              <w:spacing w:line="240" w:lineRule="auto"/>
              <w:rPr>
                <w:rFonts w:hint="default" w:ascii="Times New Roman" w:hAnsi="Times New Roman" w:eastAsia="宋体"/>
                <w:color w:val="auto"/>
                <w:sz w:val="24"/>
                <w:szCs w:val="24"/>
              </w:rPr>
            </w:pPr>
            <w:r>
              <w:rPr>
                <w:rFonts w:hint="default" w:ascii="Times New Roman" w:hAnsi="Times New Roman" w:cs="Times New Roman"/>
                <w:color w:val="auto"/>
                <w:sz w:val="24"/>
                <w:szCs w:val="24"/>
                <w:lang w:val="en-US" w:eastAsia="zh-CN"/>
              </w:rPr>
              <w:t>《饮食业油烟排放标准（试行）》（GB1843-2001）中限值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Merge w:val="continue"/>
            <w:vAlign w:val="center"/>
          </w:tcPr>
          <w:p>
            <w:pPr>
              <w:adjustRightInd w:val="0"/>
              <w:snapToGrid w:val="0"/>
              <w:jc w:val="center"/>
              <w:rPr>
                <w:rFonts w:hint="eastAsia" w:ascii="Times New Roman" w:hAnsi="Times New Roman" w:eastAsia="宋体"/>
                <w:color w:val="auto"/>
                <w:sz w:val="24"/>
                <w:szCs w:val="24"/>
                <w:lang w:val="en-US" w:eastAsia="zh-CN"/>
              </w:rPr>
            </w:pPr>
          </w:p>
        </w:tc>
        <w:tc>
          <w:tcPr>
            <w:tcW w:w="2040"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激光切割</w:t>
            </w:r>
          </w:p>
        </w:tc>
        <w:tc>
          <w:tcPr>
            <w:tcW w:w="2039"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颗粒物</w:t>
            </w:r>
          </w:p>
        </w:tc>
        <w:tc>
          <w:tcPr>
            <w:tcW w:w="2042"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工业集尘器</w:t>
            </w:r>
          </w:p>
        </w:tc>
        <w:tc>
          <w:tcPr>
            <w:tcW w:w="2044" w:type="dxa"/>
            <w:vAlign w:val="center"/>
          </w:tcPr>
          <w:p>
            <w:pPr>
              <w:adjustRightInd w:val="0"/>
              <w:snapToGrid w:val="0"/>
              <w:jc w:val="center"/>
              <w:rPr>
                <w:rFonts w:hint="default" w:ascii="Times New Roman" w:hAnsi="Times New Roman" w:eastAsia="宋体"/>
                <w:color w:val="auto"/>
                <w:sz w:val="24"/>
                <w:szCs w:val="24"/>
              </w:rPr>
            </w:pPr>
            <w:r>
              <w:rPr>
                <w:rFonts w:hint="default" w:ascii="Times New Roman" w:hAnsi="Times New Roman" w:eastAsia="宋体"/>
                <w:color w:val="auto"/>
                <w:sz w:val="24"/>
                <w:szCs w:val="24"/>
              </w:rPr>
              <w:t>《大气污染物综合排放标准》（GB16297-1996）表2</w:t>
            </w:r>
            <w:r>
              <w:rPr>
                <w:rFonts w:hint="eastAsia" w:ascii="Times New Roman" w:hAnsi="Times New Roman" w:eastAsia="宋体"/>
                <w:color w:val="auto"/>
                <w:sz w:val="24"/>
                <w:szCs w:val="24"/>
                <w:lang w:eastAsia="zh-CN"/>
              </w:rPr>
              <w:t>中</w:t>
            </w:r>
            <w:r>
              <w:rPr>
                <w:rFonts w:hint="default" w:ascii="Times New Roman" w:hAnsi="Times New Roman" w:eastAsia="宋体"/>
                <w:color w:val="auto"/>
                <w:sz w:val="24"/>
                <w:szCs w:val="24"/>
              </w:rPr>
              <w:t>无组织监控浓度限值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Merge w:val="continue"/>
            <w:vAlign w:val="center"/>
          </w:tcPr>
          <w:p>
            <w:pPr>
              <w:adjustRightInd w:val="0"/>
              <w:snapToGrid w:val="0"/>
              <w:jc w:val="center"/>
              <w:rPr>
                <w:rFonts w:hint="eastAsia" w:ascii="Times New Roman" w:hAnsi="Times New Roman" w:eastAsia="宋体"/>
                <w:color w:val="auto"/>
                <w:sz w:val="24"/>
                <w:szCs w:val="24"/>
                <w:lang w:val="en-US" w:eastAsia="zh-CN"/>
              </w:rPr>
            </w:pPr>
          </w:p>
        </w:tc>
        <w:tc>
          <w:tcPr>
            <w:tcW w:w="2040"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木材下料</w:t>
            </w:r>
          </w:p>
        </w:tc>
        <w:tc>
          <w:tcPr>
            <w:tcW w:w="2039"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颗粒物</w:t>
            </w:r>
          </w:p>
        </w:tc>
        <w:tc>
          <w:tcPr>
            <w:tcW w:w="2042"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“密闭房间+双桶布袋吸尘机”</w:t>
            </w:r>
          </w:p>
        </w:tc>
        <w:tc>
          <w:tcPr>
            <w:tcW w:w="2044" w:type="dxa"/>
            <w:vAlign w:val="center"/>
          </w:tcPr>
          <w:p>
            <w:pPr>
              <w:adjustRightInd w:val="0"/>
              <w:snapToGrid w:val="0"/>
              <w:jc w:val="center"/>
              <w:rPr>
                <w:rFonts w:hint="default" w:ascii="Times New Roman" w:hAnsi="Times New Roman" w:eastAsia="宋体"/>
                <w:color w:val="auto"/>
                <w:sz w:val="24"/>
                <w:szCs w:val="24"/>
              </w:rPr>
            </w:pPr>
            <w:r>
              <w:rPr>
                <w:rFonts w:hint="default" w:ascii="Times New Roman" w:hAnsi="Times New Roman" w:eastAsia="宋体"/>
                <w:color w:val="auto"/>
                <w:sz w:val="24"/>
                <w:szCs w:val="24"/>
              </w:rPr>
              <w:t>《大气污染物综合排放标准》（GB16297-1996）表2中无组织监控浓度限值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地表水环境</w:t>
            </w:r>
          </w:p>
        </w:tc>
        <w:tc>
          <w:tcPr>
            <w:tcW w:w="2040"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职工生活</w:t>
            </w:r>
          </w:p>
        </w:tc>
        <w:tc>
          <w:tcPr>
            <w:tcW w:w="2039" w:type="dxa"/>
            <w:vAlign w:val="center"/>
          </w:tcPr>
          <w:p>
            <w:pPr>
              <w:adjustRightInd w:val="0"/>
              <w:snapToGrid w:val="0"/>
              <w:jc w:val="center"/>
              <w:rPr>
                <w:rFonts w:hint="eastAsia" w:ascii="Times New Roman" w:hAnsi="Times New Roman" w:eastAsia="宋体"/>
                <w:color w:val="auto"/>
                <w:sz w:val="24"/>
                <w:szCs w:val="24"/>
                <w:lang w:val="en-US" w:eastAsia="zh-CN"/>
              </w:rPr>
            </w:pPr>
            <w:r>
              <w:rPr>
                <w:rFonts w:hint="default" w:ascii="Times New Roman" w:hAnsi="Times New Roman" w:eastAsia="宋体"/>
                <w:color w:val="auto"/>
                <w:sz w:val="24"/>
                <w:szCs w:val="24"/>
              </w:rPr>
              <w:t>pH、COD、</w:t>
            </w:r>
            <w:r>
              <w:rPr>
                <w:rFonts w:hint="default" w:ascii="Times New Roman" w:hAnsi="Times New Roman" w:eastAsia="宋体"/>
                <w:color w:val="auto"/>
                <w:sz w:val="24"/>
                <w:szCs w:val="24"/>
                <w:lang w:val="en-US" w:eastAsia="zh-CN"/>
              </w:rPr>
              <w:t>NH</w:t>
            </w:r>
            <w:r>
              <w:rPr>
                <w:rFonts w:hint="default" w:ascii="Times New Roman" w:hAnsi="Times New Roman" w:eastAsia="宋体"/>
                <w:color w:val="auto"/>
                <w:sz w:val="24"/>
                <w:szCs w:val="24"/>
                <w:vertAlign w:val="subscript"/>
                <w:lang w:val="en-US" w:eastAsia="zh-CN"/>
              </w:rPr>
              <w:t>3</w:t>
            </w:r>
            <w:r>
              <w:rPr>
                <w:rFonts w:hint="default" w:ascii="Times New Roman" w:hAnsi="Times New Roman" w:eastAsia="宋体"/>
                <w:color w:val="auto"/>
                <w:sz w:val="24"/>
                <w:szCs w:val="24"/>
                <w:lang w:val="en-US" w:eastAsia="zh-CN"/>
              </w:rPr>
              <w:t>-N</w:t>
            </w:r>
            <w:r>
              <w:rPr>
                <w:rFonts w:hint="default" w:ascii="Times New Roman" w:hAnsi="Times New Roman" w:eastAsia="宋体"/>
                <w:color w:val="auto"/>
                <w:sz w:val="24"/>
                <w:szCs w:val="24"/>
                <w:lang w:eastAsia="zh-CN"/>
              </w:rPr>
              <w:t>、</w:t>
            </w:r>
            <w:r>
              <w:rPr>
                <w:rFonts w:hint="default" w:ascii="Times New Roman" w:hAnsi="Times New Roman" w:eastAsia="宋体"/>
                <w:color w:val="auto"/>
                <w:sz w:val="24"/>
                <w:szCs w:val="24"/>
              </w:rPr>
              <w:t>BOD</w:t>
            </w:r>
            <w:r>
              <w:rPr>
                <w:rFonts w:hint="default" w:ascii="Times New Roman" w:hAnsi="Times New Roman" w:eastAsia="宋体"/>
                <w:color w:val="auto"/>
                <w:sz w:val="24"/>
                <w:szCs w:val="24"/>
                <w:vertAlign w:val="subscript"/>
              </w:rPr>
              <w:t>5</w:t>
            </w:r>
            <w:r>
              <w:rPr>
                <w:rFonts w:hint="default" w:ascii="Times New Roman" w:hAnsi="Times New Roman" w:eastAsia="宋体"/>
                <w:color w:val="auto"/>
                <w:sz w:val="24"/>
                <w:szCs w:val="24"/>
              </w:rPr>
              <w:t>、SS</w:t>
            </w:r>
            <w:r>
              <w:rPr>
                <w:rFonts w:hint="eastAsia" w:ascii="Times New Roman" w:hAnsi="Times New Roman" w:eastAsia="宋体"/>
                <w:color w:val="auto"/>
                <w:sz w:val="24"/>
                <w:szCs w:val="24"/>
                <w:lang w:eastAsia="zh-CN"/>
              </w:rPr>
              <w:t>、动植物油</w:t>
            </w:r>
          </w:p>
        </w:tc>
        <w:tc>
          <w:tcPr>
            <w:tcW w:w="2042" w:type="dxa"/>
            <w:vAlign w:val="center"/>
          </w:tcPr>
          <w:p>
            <w:pPr>
              <w:adjustRightInd w:val="0"/>
              <w:snapToGrid w:val="0"/>
              <w:jc w:val="center"/>
              <w:rPr>
                <w:rFonts w:hint="default" w:ascii="Times New Roman" w:hAnsi="Times New Roman" w:eastAsia="宋体"/>
                <w:color w:val="auto"/>
                <w:sz w:val="24"/>
                <w:szCs w:val="24"/>
              </w:rPr>
            </w:pPr>
            <w:r>
              <w:rPr>
                <w:rFonts w:hint="eastAsia" w:ascii="Times New Roman" w:hAnsi="Times New Roman" w:eastAsia="宋体"/>
                <w:color w:val="auto"/>
                <w:sz w:val="24"/>
                <w:szCs w:val="24"/>
                <w:lang w:val="en-US" w:eastAsia="zh-CN"/>
              </w:rPr>
              <w:t>“隔油池+化粪池”</w:t>
            </w:r>
          </w:p>
        </w:tc>
        <w:tc>
          <w:tcPr>
            <w:tcW w:w="2044" w:type="dxa"/>
            <w:vAlign w:val="center"/>
          </w:tcPr>
          <w:p>
            <w:pPr>
              <w:adjustRightInd w:val="0"/>
              <w:snapToGrid w:val="0"/>
              <w:jc w:val="center"/>
              <w:rPr>
                <w:rFonts w:hint="default" w:ascii="Times New Roman" w:hAnsi="Times New Roman" w:eastAsia="宋体"/>
                <w:color w:val="auto"/>
                <w:sz w:val="24"/>
                <w:szCs w:val="24"/>
              </w:rPr>
            </w:pPr>
            <w:r>
              <w:rPr>
                <w:rFonts w:hint="default" w:ascii="Times New Roman" w:hAnsi="Times New Roman" w:eastAsia="宋体"/>
                <w:color w:val="auto"/>
                <w:sz w:val="24"/>
                <w:szCs w:val="24"/>
              </w:rPr>
              <w:t>《污水综合排放标准》（GB8978-1996）表4中三级标准及</w:t>
            </w:r>
            <w:r>
              <w:rPr>
                <w:rFonts w:hint="default" w:ascii="Times New Roman" w:hAnsi="Times New Roman" w:eastAsia="宋体"/>
                <w:color w:val="auto"/>
                <w:sz w:val="24"/>
                <w:szCs w:val="24"/>
                <w:lang w:val="en-US" w:eastAsia="zh-CN"/>
              </w:rPr>
              <w:t>萧县清源污水处理有限公司</w:t>
            </w:r>
            <w:r>
              <w:rPr>
                <w:rFonts w:hint="default" w:ascii="Times New Roman" w:hAnsi="Times New Roman" w:eastAsia="宋体"/>
                <w:color w:val="auto"/>
                <w:sz w:val="24"/>
                <w:szCs w:val="24"/>
              </w:rPr>
              <w:t>接管</w:t>
            </w:r>
            <w:r>
              <w:rPr>
                <w:rFonts w:hint="eastAsia" w:ascii="Times New Roman" w:hAnsi="Times New Roman" w:eastAsia="宋体"/>
                <w:color w:val="auto"/>
                <w:sz w:val="24"/>
                <w:szCs w:val="24"/>
                <w:lang w:eastAsia="zh-CN"/>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Align w:val="center"/>
          </w:tcPr>
          <w:p>
            <w:pPr>
              <w:adjustRightInd w:val="0"/>
              <w:snapToGrid w:val="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val="en-US" w:eastAsia="zh-CN"/>
              </w:rPr>
              <w:t>声环境</w:t>
            </w:r>
          </w:p>
        </w:tc>
        <w:tc>
          <w:tcPr>
            <w:tcW w:w="2040" w:type="dxa"/>
            <w:vAlign w:val="center"/>
          </w:tcPr>
          <w:p>
            <w:pPr>
              <w:adjustRightInd w:val="0"/>
              <w:snapToGrid w:val="0"/>
              <w:jc w:val="center"/>
              <w:rPr>
                <w:rFonts w:hint="eastAsia" w:ascii="Times New Roman" w:hAnsi="Times New Roman" w:eastAsia="宋体"/>
                <w:color w:val="auto"/>
                <w:sz w:val="24"/>
                <w:szCs w:val="24"/>
                <w:lang w:eastAsia="zh-CN"/>
              </w:rPr>
            </w:pPr>
            <w:r>
              <w:rPr>
                <w:rFonts w:hint="eastAsia" w:ascii="Times New Roman" w:hAnsi="Times New Roman" w:cs="Times New Roman"/>
                <w:color w:val="auto"/>
                <w:sz w:val="24"/>
                <w:szCs w:val="24"/>
                <w:lang w:eastAsia="zh-CN"/>
              </w:rPr>
              <w:t>激光</w:t>
            </w:r>
            <w:r>
              <w:rPr>
                <w:rFonts w:hint="eastAsia" w:ascii="Times New Roman" w:hAnsi="Times New Roman" w:cs="Times New Roman"/>
                <w:color w:val="auto"/>
                <w:sz w:val="24"/>
                <w:szCs w:val="24"/>
                <w:lang w:val="en-US" w:eastAsia="zh-CN"/>
              </w:rPr>
              <w:t>切割机</w:t>
            </w:r>
            <w:r>
              <w:rPr>
                <w:rFonts w:hint="eastAsia" w:ascii="Times New Roman" w:hAnsi="Times New Roman" w:cs="Times New Roman"/>
                <w:color w:val="auto"/>
                <w:sz w:val="24"/>
                <w:szCs w:val="24"/>
                <w:lang w:eastAsia="zh-CN"/>
              </w:rPr>
              <w:t>、精密铣床、车床、摇臂钻床、电焊机、</w:t>
            </w:r>
            <w:r>
              <w:rPr>
                <w:rFonts w:hint="eastAsia" w:ascii="Times New Roman" w:hAnsi="Times New Roman" w:cs="Times New Roman"/>
                <w:b w:val="0"/>
                <w:bCs w:val="0"/>
                <w:color w:val="auto"/>
                <w:sz w:val="24"/>
                <w:szCs w:val="24"/>
                <w:vertAlign w:val="baseline"/>
                <w:lang w:val="en-US" w:eastAsia="zh-CN"/>
              </w:rPr>
              <w:t>折弯机、平板硫化机、吊钩式抛丸清理机、锯床</w:t>
            </w:r>
            <w:r>
              <w:rPr>
                <w:rFonts w:hint="eastAsia" w:ascii="Times New Roman" w:hAnsi="Times New Roman" w:eastAsia="宋体" w:cs="Times New Roman"/>
                <w:color w:val="auto"/>
                <w:sz w:val="24"/>
                <w:szCs w:val="24"/>
                <w:lang w:val="en-US" w:eastAsia="zh-CN"/>
              </w:rPr>
              <w:t>、风机</w:t>
            </w:r>
            <w:r>
              <w:rPr>
                <w:rFonts w:hint="default" w:ascii="Times New Roman" w:hAnsi="Times New Roman" w:eastAsia="宋体"/>
                <w:color w:val="auto"/>
                <w:sz w:val="24"/>
                <w:szCs w:val="24"/>
                <w:lang w:eastAsia="zh-CN"/>
              </w:rPr>
              <w:t>等</w:t>
            </w:r>
          </w:p>
        </w:tc>
        <w:tc>
          <w:tcPr>
            <w:tcW w:w="2039"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Leq（A）</w:t>
            </w:r>
          </w:p>
        </w:tc>
        <w:tc>
          <w:tcPr>
            <w:tcW w:w="2042" w:type="dxa"/>
            <w:vAlign w:val="center"/>
          </w:tcPr>
          <w:p>
            <w:pPr>
              <w:adjustRightInd w:val="0"/>
              <w:snapToGrid w:val="0"/>
              <w:jc w:val="center"/>
              <w:rPr>
                <w:rFonts w:hint="eastAsia" w:ascii="Times New Roman" w:hAnsi="Times New Roman" w:eastAsia="宋体"/>
                <w:color w:val="auto"/>
                <w:sz w:val="24"/>
                <w:szCs w:val="24"/>
                <w:lang w:eastAsia="zh-CN"/>
              </w:rPr>
            </w:pPr>
            <w:r>
              <w:rPr>
                <w:rFonts w:hint="default" w:ascii="Times New Roman" w:hAnsi="Times New Roman" w:eastAsia="宋体"/>
                <w:color w:val="auto"/>
                <w:sz w:val="24"/>
                <w:szCs w:val="24"/>
              </w:rPr>
              <w:t>选用低噪设备、采取基础减震、柔性连接、建筑物隔声</w:t>
            </w:r>
            <w:r>
              <w:rPr>
                <w:rFonts w:hint="eastAsia" w:ascii="Times New Roman" w:hAnsi="Times New Roman" w:eastAsia="宋体"/>
                <w:color w:val="auto"/>
                <w:sz w:val="24"/>
                <w:szCs w:val="24"/>
                <w:lang w:eastAsia="zh-CN"/>
              </w:rPr>
              <w:t>、安装消声器</w:t>
            </w:r>
            <w:r>
              <w:rPr>
                <w:rFonts w:hint="default" w:ascii="Times New Roman" w:hAnsi="Times New Roman" w:eastAsia="宋体"/>
                <w:color w:val="auto"/>
                <w:sz w:val="24"/>
                <w:szCs w:val="24"/>
              </w:rPr>
              <w:t>等，再通过绿化带的吸收、屏蔽、阻挡及距离衰减作用进行噪声防治</w:t>
            </w:r>
            <w:r>
              <w:rPr>
                <w:rFonts w:hint="default" w:ascii="Times New Roman" w:hAnsi="Times New Roman" w:eastAsia="宋体"/>
                <w:color w:val="auto"/>
                <w:sz w:val="24"/>
                <w:szCs w:val="24"/>
                <w:lang w:eastAsia="zh-CN"/>
              </w:rPr>
              <w:t>。</w:t>
            </w:r>
          </w:p>
        </w:tc>
        <w:tc>
          <w:tcPr>
            <w:tcW w:w="2044" w:type="dxa"/>
            <w:vAlign w:val="center"/>
          </w:tcPr>
          <w:p>
            <w:pPr>
              <w:adjustRightInd w:val="0"/>
              <w:snapToGrid w:val="0"/>
              <w:jc w:val="center"/>
              <w:rPr>
                <w:rFonts w:hint="eastAsia" w:ascii="Times New Roman" w:hAnsi="Times New Roman" w:eastAsia="宋体"/>
                <w:color w:val="auto"/>
                <w:sz w:val="24"/>
                <w:szCs w:val="24"/>
                <w:lang w:eastAsia="zh-CN"/>
              </w:rPr>
            </w:pPr>
            <w:r>
              <w:rPr>
                <w:rFonts w:hint="default" w:ascii="Times New Roman" w:hAnsi="Times New Roman" w:eastAsia="宋体"/>
                <w:color w:val="auto"/>
                <w:sz w:val="24"/>
                <w:szCs w:val="24"/>
              </w:rPr>
              <w:t>《工业企业厂界环境噪声排放标准》（GB12348-2008）</w:t>
            </w:r>
            <w:r>
              <w:rPr>
                <w:rFonts w:hint="eastAsia" w:ascii="Times New Roman" w:hAnsi="Times New Roman" w:eastAsia="宋体"/>
                <w:color w:val="auto"/>
                <w:sz w:val="24"/>
                <w:szCs w:val="24"/>
                <w:lang w:val="en-US" w:eastAsia="zh-CN"/>
              </w:rPr>
              <w:t>3</w:t>
            </w:r>
            <w:r>
              <w:rPr>
                <w:rFonts w:hint="default" w:ascii="Times New Roman" w:hAnsi="Times New Roman" w:eastAsia="宋体"/>
                <w:color w:val="auto"/>
                <w:sz w:val="24"/>
                <w:szCs w:val="24"/>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电磁辐射</w:t>
            </w:r>
          </w:p>
        </w:tc>
        <w:tc>
          <w:tcPr>
            <w:tcW w:w="2040"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w:t>
            </w:r>
          </w:p>
        </w:tc>
        <w:tc>
          <w:tcPr>
            <w:tcW w:w="2039"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w:t>
            </w:r>
          </w:p>
        </w:tc>
        <w:tc>
          <w:tcPr>
            <w:tcW w:w="2042"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w:t>
            </w:r>
          </w:p>
        </w:tc>
        <w:tc>
          <w:tcPr>
            <w:tcW w:w="2044"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Align w:val="center"/>
          </w:tcPr>
          <w:p>
            <w:pPr>
              <w:adjustRightInd w:val="0"/>
              <w:snapToGrid w:val="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固体废物</w:t>
            </w:r>
          </w:p>
        </w:tc>
        <w:tc>
          <w:tcPr>
            <w:tcW w:w="816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废</w:t>
            </w:r>
            <w:r>
              <w:rPr>
                <w:rFonts w:hint="eastAsia" w:ascii="Times New Roman" w:hAnsi="Times New Roman" w:eastAsia="宋体"/>
                <w:color w:val="auto"/>
                <w:sz w:val="24"/>
                <w:szCs w:val="24"/>
                <w:lang w:val="en-US" w:eastAsia="zh-CN"/>
              </w:rPr>
              <w:t>抛丸渣</w:t>
            </w:r>
            <w:r>
              <w:rPr>
                <w:rFonts w:hint="eastAsia" w:ascii="Times New Roman" w:hAnsi="Times New Roman" w:eastAsia="宋体"/>
                <w:color w:val="auto"/>
                <w:sz w:val="24"/>
                <w:szCs w:val="24"/>
                <w:lang w:eastAsia="zh-CN"/>
              </w:rPr>
              <w:t>、废包装袋、废包装箱、下角料、边角料集中收集后定期出售给物资回收公司；除尘器收集的塑粉做为原材料继续使用；废机油、废切削液、废活性炭、废包装桶</w:t>
            </w:r>
            <w:r>
              <w:rPr>
                <w:rFonts w:hint="eastAsia" w:ascii="Times New Roman" w:hAnsi="Times New Roman" w:eastAsia="宋体"/>
                <w:color w:val="auto"/>
                <w:sz w:val="24"/>
                <w:szCs w:val="24"/>
              </w:rPr>
              <w:t>等危险废物集中收集后</w:t>
            </w:r>
            <w:r>
              <w:rPr>
                <w:rFonts w:ascii="Times New Roman" w:hAnsi="Times New Roman" w:eastAsia="宋体"/>
                <w:color w:val="auto"/>
                <w:sz w:val="24"/>
                <w:szCs w:val="24"/>
              </w:rPr>
              <w:t>委托具有危险废物处理资质单位处置</w:t>
            </w:r>
            <w:r>
              <w:rPr>
                <w:rFonts w:hint="eastAsia" w:ascii="Times New Roman" w:hAnsi="Times New Roman" w:eastAsia="宋体"/>
                <w:color w:val="auto"/>
                <w:sz w:val="24"/>
                <w:szCs w:val="24"/>
              </w:rPr>
              <w:t>；</w:t>
            </w:r>
            <w:r>
              <w:rPr>
                <w:rFonts w:ascii="Times New Roman" w:hAnsi="Times New Roman" w:eastAsia="宋体"/>
                <w:color w:val="auto"/>
                <w:sz w:val="24"/>
                <w:szCs w:val="24"/>
              </w:rPr>
              <w:t>生活垃圾</w:t>
            </w:r>
            <w:r>
              <w:rPr>
                <w:rFonts w:hint="eastAsia" w:ascii="Times New Roman" w:hAnsi="Times New Roman" w:eastAsia="宋体"/>
                <w:color w:val="auto"/>
                <w:sz w:val="24"/>
                <w:szCs w:val="24"/>
                <w:lang w:eastAsia="zh-CN"/>
              </w:rPr>
              <w:t>及</w:t>
            </w:r>
            <w:r>
              <w:rPr>
                <w:rFonts w:hint="eastAsia" w:ascii="Times New Roman" w:hAnsi="Times New Roman" w:eastAsia="宋体"/>
                <w:color w:val="auto"/>
                <w:sz w:val="24"/>
                <w:szCs w:val="24"/>
                <w:lang w:val="en-US" w:eastAsia="zh-CN"/>
              </w:rPr>
              <w:t>双桶布袋吸尘机收集的颗粒物</w:t>
            </w:r>
            <w:r>
              <w:rPr>
                <w:rFonts w:ascii="Times New Roman" w:hAnsi="Times New Roman" w:eastAsia="宋体"/>
                <w:color w:val="auto"/>
                <w:sz w:val="24"/>
                <w:szCs w:val="24"/>
              </w:rPr>
              <w:t>集中收集后定期交由环卫部门统一清运处置。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Align w:val="center"/>
          </w:tcPr>
          <w:p>
            <w:pPr>
              <w:adjustRightInd w:val="0"/>
              <w:snapToGrid w:val="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土壤及地下水污染防治措施</w:t>
            </w:r>
          </w:p>
        </w:tc>
        <w:tc>
          <w:tcPr>
            <w:tcW w:w="816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olor w:val="auto"/>
                <w:sz w:val="24"/>
                <w:szCs w:val="24"/>
                <w:lang w:eastAsia="zh-CN"/>
              </w:rPr>
            </w:pPr>
            <w:r>
              <w:rPr>
                <w:rFonts w:ascii="Times New Roman" w:hAnsi="Times New Roman" w:eastAsia="宋体"/>
                <w:color w:val="auto"/>
                <w:sz w:val="24"/>
                <w:szCs w:val="24"/>
              </w:rPr>
              <w:t>重点防渗区防渗技术要求：等效黏土防渗层Mb≧6m，K≦1×10</w:t>
            </w:r>
            <w:r>
              <w:rPr>
                <w:rFonts w:ascii="Times New Roman" w:hAnsi="Times New Roman" w:eastAsia="宋体"/>
                <w:color w:val="auto"/>
                <w:sz w:val="24"/>
                <w:szCs w:val="24"/>
                <w:vertAlign w:val="superscript"/>
              </w:rPr>
              <w:t>-7</w:t>
            </w:r>
            <w:r>
              <w:rPr>
                <w:rFonts w:ascii="Times New Roman" w:hAnsi="Times New Roman" w:eastAsia="宋体"/>
                <w:color w:val="auto"/>
                <w:sz w:val="24"/>
                <w:szCs w:val="24"/>
              </w:rPr>
              <w:t>cm/s，或参照《危险废物填埋污染控制标准》（GB18598-2019）执行；一般防渗区防渗技术要求：等效黏土防渗层Mb≧1.5m，K≦1*10</w:t>
            </w:r>
            <w:r>
              <w:rPr>
                <w:rFonts w:ascii="Times New Roman" w:hAnsi="Times New Roman" w:eastAsia="宋体"/>
                <w:color w:val="auto"/>
                <w:sz w:val="24"/>
                <w:szCs w:val="24"/>
                <w:vertAlign w:val="superscript"/>
              </w:rPr>
              <w:t>-7</w:t>
            </w:r>
            <w:r>
              <w:rPr>
                <w:rFonts w:ascii="Times New Roman" w:hAnsi="Times New Roman" w:eastAsia="宋体"/>
                <w:color w:val="auto"/>
                <w:sz w:val="24"/>
                <w:szCs w:val="24"/>
              </w:rPr>
              <w:t>cm/s，或参照《</w:t>
            </w:r>
            <w:r>
              <w:rPr>
                <w:rFonts w:hint="eastAsia" w:ascii="Times New Roman" w:hAnsi="Times New Roman" w:eastAsia="宋体"/>
                <w:color w:val="auto"/>
                <w:sz w:val="24"/>
                <w:szCs w:val="24"/>
              </w:rPr>
              <w:t>生活垃圾填埋场污染控制标准</w:t>
            </w:r>
            <w:r>
              <w:rPr>
                <w:rFonts w:ascii="Times New Roman" w:hAnsi="Times New Roman" w:eastAsia="宋体"/>
                <w:color w:val="auto"/>
                <w:sz w:val="24"/>
                <w:szCs w:val="24"/>
              </w:rPr>
              <w:t>》（GB</w:t>
            </w:r>
            <w:r>
              <w:rPr>
                <w:rFonts w:hint="eastAsia" w:ascii="Times New Roman" w:hAnsi="Times New Roman" w:eastAsia="宋体"/>
                <w:color w:val="auto"/>
                <w:sz w:val="24"/>
                <w:szCs w:val="24"/>
              </w:rPr>
              <w:t>16889-2008</w:t>
            </w:r>
            <w:r>
              <w:rPr>
                <w:rFonts w:ascii="Times New Roman" w:hAnsi="Times New Roman" w:eastAsia="宋体"/>
                <w:color w:val="auto"/>
                <w:sz w:val="24"/>
                <w:szCs w:val="24"/>
              </w:rPr>
              <w:t>）执行；简单防渗区防渗技术要求：一般地面硬化。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Align w:val="center"/>
          </w:tcPr>
          <w:p>
            <w:pPr>
              <w:adjustRightInd w:val="0"/>
              <w:snapToGrid w:val="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生态保护措施</w:t>
            </w:r>
          </w:p>
        </w:tc>
        <w:tc>
          <w:tcPr>
            <w:tcW w:w="816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本项目在</w:t>
            </w:r>
            <w:r>
              <w:rPr>
                <w:rFonts w:hint="eastAsia" w:ascii="Times New Roman" w:hAnsi="Times New Roman" w:cs="Times New Roman"/>
                <w:color w:val="auto"/>
                <w:sz w:val="24"/>
                <w:szCs w:val="24"/>
                <w:vertAlign w:val="baseline"/>
                <w:lang w:val="en-US" w:eastAsia="zh-CN"/>
              </w:rPr>
              <w:t>安徽萧县经济开发区白土镇智能制造产业园</w:t>
            </w:r>
            <w:r>
              <w:rPr>
                <w:rFonts w:hint="eastAsia" w:ascii="Times New Roman" w:hAnsi="Times New Roman" w:eastAsia="宋体"/>
                <w:color w:val="auto"/>
                <w:sz w:val="24"/>
                <w:szCs w:val="24"/>
              </w:rPr>
              <w:t>内进行项目建设，不涉及产业园区外建设项目新增用地，与本项目用地范围内无环境保护目标，不会对周边生态环境造成明显影响。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Align w:val="center"/>
          </w:tcPr>
          <w:p>
            <w:pPr>
              <w:adjustRightInd w:val="0"/>
              <w:snapToGrid w:val="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环境风险管控措施</w:t>
            </w:r>
          </w:p>
        </w:tc>
        <w:tc>
          <w:tcPr>
            <w:tcW w:w="816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olor w:val="auto"/>
                <w:sz w:val="24"/>
                <w:szCs w:val="24"/>
                <w:lang w:eastAsia="zh-CN"/>
              </w:rPr>
            </w:pPr>
            <w:r>
              <w:rPr>
                <w:rFonts w:hint="default" w:ascii="Times New Roman" w:hAnsi="Times New Roman" w:cs="Times New Roman"/>
                <w:color w:val="auto"/>
                <w:sz w:val="24"/>
                <w:szCs w:val="24"/>
              </w:rPr>
              <w:t>①车间内工艺布置保持通道畅通</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②企业定期对废气、处理设施进行维护、修理，使其处于正常运转状态，杜绝事故性排放；一旦发现废气收集、处理设施出现故障，须立即停止生产，待故障排除完毕、治理设施正常运行后方可恢复生产</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③设立单独的危险废物暂存</w:t>
            </w:r>
            <w:r>
              <w:rPr>
                <w:rFonts w:hint="eastAsia" w:ascii="Times New Roman" w:hAnsi="Times New Roman" w:cs="Times New Roman"/>
                <w:color w:val="auto"/>
                <w:sz w:val="24"/>
                <w:szCs w:val="24"/>
                <w:lang w:eastAsia="zh-CN"/>
              </w:rPr>
              <w:t>房</w:t>
            </w:r>
            <w:r>
              <w:rPr>
                <w:rFonts w:hint="default" w:ascii="Times New Roman" w:hAnsi="Times New Roman" w:cs="Times New Roman"/>
                <w:color w:val="auto"/>
                <w:sz w:val="24"/>
                <w:szCs w:val="24"/>
              </w:rPr>
              <w:t>，并按照《危险废物贮存污染控制标准》（GB18597-20</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）的规定做各项措施，并定期委托有资质单位清运处置。同时，建设单位在危险废物转移过程中须严格执行转移联单制度，并做好记录台账，防止危险废物在转移过程中发生遗失事故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④建设单位须制订环境突发事故应急预案，一旦突发环境风险事故，必须立即按应急预案提到的紧急处理、救援、监测方案等进行紧急救援，救援人员采取相应的防护措施，以避免造成人员伤亡事故</w:t>
            </w:r>
            <w:r>
              <w:rPr>
                <w:rFonts w:hint="default" w:ascii="Times New Roman" w:hAnsi="Times New Roman" w:cs="Times New Roman"/>
                <w:color w:val="auto"/>
                <w:sz w:val="24"/>
                <w:szCs w:val="24"/>
                <w:lang w:eastAsia="zh-CN"/>
              </w:rPr>
              <w:t>。⑤设置</w:t>
            </w:r>
            <w:r>
              <w:rPr>
                <w:rFonts w:hint="eastAsia" w:ascii="Times New Roman" w:hAnsi="Times New Roman" w:cs="Times New Roman"/>
                <w:color w:val="auto"/>
                <w:sz w:val="24"/>
                <w:szCs w:val="24"/>
                <w:lang w:eastAsia="zh-CN"/>
              </w:rPr>
              <w:t>液化天然气泄漏报警仪器</w:t>
            </w:r>
            <w:r>
              <w:rPr>
                <w:rFonts w:hint="default" w:ascii="Times New Roman" w:hAnsi="Times New Roman" w:cs="Times New Roman"/>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dxa"/>
            <w:vAlign w:val="center"/>
          </w:tcPr>
          <w:p>
            <w:pPr>
              <w:adjustRightInd w:val="0"/>
              <w:snapToGrid w:val="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其他环境管理要求</w:t>
            </w:r>
          </w:p>
        </w:tc>
        <w:tc>
          <w:tcPr>
            <w:tcW w:w="816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1、建设项目环境影响评价与排污许可联动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根据《关于&lt;统筹做好固定污染源排污许可日常监管工作&gt;的通知》（皖环发【2021】7号，安徽省生态环境厅，2021年01月30日起施行）：“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和排污许可联动内容”和《建设项目排污许可申请与填报信息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本项目产品属于</w:t>
            </w:r>
            <w:r>
              <w:rPr>
                <w:rFonts w:hint="eastAsia" w:ascii="Times New Roman" w:hAnsi="Times New Roman" w:cs="Times New Roman"/>
                <w:color w:val="auto"/>
                <w:sz w:val="24"/>
                <w:szCs w:val="24"/>
                <w:vertAlign w:val="baseline"/>
                <w:lang w:eastAsia="zh-CN"/>
              </w:rPr>
              <w:t>矿山机械制造【</w:t>
            </w:r>
            <w:r>
              <w:rPr>
                <w:rFonts w:hint="eastAsia" w:ascii="Times New Roman" w:hAnsi="Times New Roman" w:cs="Times New Roman"/>
                <w:color w:val="auto"/>
                <w:sz w:val="24"/>
                <w:szCs w:val="24"/>
                <w:vertAlign w:val="baseline"/>
                <w:lang w:val="en-US" w:eastAsia="zh-CN"/>
              </w:rPr>
              <w:t>C3511</w:t>
            </w:r>
            <w:r>
              <w:rPr>
                <w:rFonts w:hint="eastAsia" w:ascii="Times New Roman" w:hAnsi="Times New Roman" w:cs="Times New Roman"/>
                <w:color w:val="auto"/>
                <w:sz w:val="24"/>
                <w:szCs w:val="24"/>
                <w:vertAlign w:val="baseline"/>
                <w:lang w:eastAsia="zh-CN"/>
              </w:rPr>
              <w:t>】</w:t>
            </w:r>
            <w:r>
              <w:rPr>
                <w:rFonts w:hint="eastAsia" w:ascii="Times New Roman" w:hAnsi="Times New Roman" w:eastAsia="宋体"/>
                <w:color w:val="auto"/>
                <w:sz w:val="24"/>
                <w:szCs w:val="24"/>
                <w:lang w:val="en-US" w:eastAsia="zh-CN"/>
              </w:rPr>
              <w:t>。根据《固定污染源排污许可分类管理名录》（2019年版），本项目属于“三十、专用设备制造业35-84-其他”和“二十四、橡胶和塑料制品业29-61橡胶制品业-其他291和62塑料制品业292-其他”。因此，本项</w:t>
            </w:r>
            <w:r>
              <w:rPr>
                <w:rFonts w:hint="default" w:ascii="Times New Roman" w:hAnsi="Times New Roman" w:eastAsia="宋体"/>
                <w:color w:val="auto"/>
                <w:sz w:val="24"/>
                <w:szCs w:val="24"/>
                <w:lang w:val="en-US" w:eastAsia="zh-CN"/>
              </w:rPr>
              <w:t>目</w:t>
            </w:r>
            <w:r>
              <w:rPr>
                <w:rFonts w:hint="eastAsia" w:ascii="Times New Roman" w:hAnsi="Times New Roman" w:eastAsia="宋体"/>
                <w:color w:val="auto"/>
                <w:sz w:val="24"/>
                <w:szCs w:val="24"/>
                <w:lang w:val="en-US" w:eastAsia="zh-CN"/>
              </w:rPr>
              <w:t>属于“登记管理”。因此，本项目无需填写《关于&lt;统筹做好固定污染源排污许可日常监管工作&gt;的通知》（皖环发【2021】7号）中规定的：“建设项目环境影响评价和排污许可联动内容”和《建设项目排污许可申请与填报信息表》。”</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2、排污口规范化设置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t>（1）污水排放口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t>对厂区外排主要水污染物进行监测，在总排放口设置采样点，在排污口附近醒目处设置环境保护图形标志牌。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t>（2）废气排放口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t>须符合规定高度，满足环境监测管理规定和《污染源监测技术规范》要求，建设维护永久性采样口、采样测试平台和排污口标志。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t>（3）固定噪声排放源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t>按规定对固定噪声源进行治理，在企业边界</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噪声敏感点且对外影响最大处设置标志牌。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t>（4）固体废物暂存场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t>有毒有害固体废物必须设置专用堆放场地，有防扬散、防流失、防渗漏等措施。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t>（5）设置标志牌要求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olor w:val="auto"/>
                <w:sz w:val="24"/>
                <w:szCs w:val="24"/>
              </w:rPr>
            </w:pPr>
            <w:r>
              <w:rPr>
                <w:rFonts w:ascii="Times New Roman" w:hAnsi="Times New Roman" w:eastAsia="宋体"/>
                <w:color w:val="auto"/>
                <w:sz w:val="24"/>
                <w:szCs w:val="24"/>
              </w:rPr>
              <w:t>应设置在</w:t>
            </w:r>
            <w:r>
              <w:rPr>
                <w:rFonts w:hint="eastAsia" w:ascii="宋体" w:hAnsi="宋体" w:eastAsia="宋体" w:cs="宋体"/>
                <w:color w:val="auto"/>
                <w:sz w:val="24"/>
                <w:szCs w:val="24"/>
              </w:rPr>
              <w:t>排污口(采样点)附近且醒目处。排污口有关设置(如力形标志牌、计量装置、监控装置等)属环保设施，须负责</w:t>
            </w:r>
            <w:r>
              <w:rPr>
                <w:rFonts w:hint="eastAsia" w:ascii="Times New Roman" w:hAnsi="Times New Roman" w:eastAsia="宋体"/>
                <w:color w:val="auto"/>
                <w:sz w:val="24"/>
                <w:szCs w:val="24"/>
              </w:rPr>
              <w:t>日常的维护保养，任何单位和个人不得擅自拆除。</w:t>
            </w:r>
          </w:p>
          <w:p>
            <w:pPr>
              <w:adjustRightInd w:val="0"/>
              <w:snapToGrid w:val="0"/>
              <w:jc w:val="center"/>
              <w:rPr>
                <w:rFonts w:hint="default" w:ascii="Times New Roman" w:hAnsi="Times New Roman" w:eastAsia="宋体"/>
                <w:b/>
                <w:bCs/>
                <w:color w:val="auto"/>
                <w:sz w:val="24"/>
                <w:szCs w:val="24"/>
              </w:rPr>
            </w:pPr>
            <w:r>
              <w:rPr>
                <w:rFonts w:hint="default" w:ascii="Times New Roman" w:hAnsi="Times New Roman" w:eastAsia="宋体"/>
                <w:b/>
                <w:bCs/>
                <w:color w:val="auto"/>
                <w:sz w:val="24"/>
                <w:szCs w:val="24"/>
              </w:rPr>
              <w:t>表</w:t>
            </w:r>
            <w:r>
              <w:rPr>
                <w:rFonts w:hint="eastAsia" w:ascii="Times New Roman" w:hAnsi="Times New Roman" w:eastAsia="宋体"/>
                <w:b/>
                <w:bCs/>
                <w:color w:val="auto"/>
                <w:sz w:val="24"/>
                <w:szCs w:val="24"/>
                <w:lang w:val="en-US" w:eastAsia="zh-CN"/>
              </w:rPr>
              <w:t xml:space="preserve">5.1  </w:t>
            </w:r>
            <w:r>
              <w:rPr>
                <w:rFonts w:hint="default" w:ascii="Times New Roman" w:hAnsi="Times New Roman" w:eastAsia="宋体"/>
                <w:b/>
                <w:bCs/>
                <w:color w:val="auto"/>
                <w:sz w:val="24"/>
                <w:szCs w:val="24"/>
              </w:rPr>
              <w:t>环境保护图形标志的形状及颜色表</w:t>
            </w:r>
          </w:p>
          <w:tbl>
            <w:tblPr>
              <w:tblStyle w:val="24"/>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2124"/>
              <w:gridCol w:w="2121"/>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046"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标志名称</w:t>
                  </w:r>
                </w:p>
              </w:tc>
              <w:tc>
                <w:tcPr>
                  <w:tcW w:w="1319"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形状</w:t>
                  </w:r>
                </w:p>
              </w:tc>
              <w:tc>
                <w:tcPr>
                  <w:tcW w:w="1317"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背景颜色</w:t>
                  </w:r>
                </w:p>
              </w:tc>
              <w:tc>
                <w:tcPr>
                  <w:tcW w:w="1316"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046"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警告标志</w:t>
                  </w:r>
                </w:p>
              </w:tc>
              <w:tc>
                <w:tcPr>
                  <w:tcW w:w="1319"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三角形边框</w:t>
                  </w:r>
                </w:p>
              </w:tc>
              <w:tc>
                <w:tcPr>
                  <w:tcW w:w="1317"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黄色</w:t>
                  </w:r>
                </w:p>
              </w:tc>
              <w:tc>
                <w:tcPr>
                  <w:tcW w:w="1316"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046"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提示标志</w:t>
                  </w:r>
                </w:p>
              </w:tc>
              <w:tc>
                <w:tcPr>
                  <w:tcW w:w="1319"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正方形边框</w:t>
                  </w:r>
                </w:p>
              </w:tc>
              <w:tc>
                <w:tcPr>
                  <w:tcW w:w="1317"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绿色</w:t>
                  </w:r>
                </w:p>
              </w:tc>
              <w:tc>
                <w:tcPr>
                  <w:tcW w:w="1316"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白色</w:t>
                  </w:r>
                </w:p>
              </w:tc>
            </w:tr>
          </w:tbl>
          <w:p>
            <w:pPr>
              <w:adjustRightInd w:val="0"/>
              <w:snapToGrid w:val="0"/>
              <w:jc w:val="center"/>
              <w:rPr>
                <w:rFonts w:hint="default" w:ascii="Times New Roman" w:hAnsi="Times New Roman" w:eastAsia="宋体"/>
                <w:b/>
                <w:bCs/>
                <w:color w:val="auto"/>
                <w:sz w:val="24"/>
                <w:szCs w:val="24"/>
              </w:rPr>
            </w:pPr>
            <w:r>
              <w:rPr>
                <w:rFonts w:hint="default" w:ascii="Times New Roman" w:hAnsi="Times New Roman" w:eastAsia="宋体"/>
                <w:b/>
                <w:bCs/>
                <w:color w:val="auto"/>
                <w:sz w:val="24"/>
                <w:szCs w:val="24"/>
              </w:rPr>
              <w:t>表</w:t>
            </w:r>
            <w:r>
              <w:rPr>
                <w:rFonts w:hint="eastAsia" w:ascii="Times New Roman" w:hAnsi="Times New Roman" w:eastAsia="宋体"/>
                <w:b/>
                <w:bCs/>
                <w:color w:val="auto"/>
                <w:sz w:val="24"/>
                <w:szCs w:val="24"/>
                <w:lang w:val="en-US" w:eastAsia="zh-CN"/>
              </w:rPr>
              <w:t xml:space="preserve">5.2  </w:t>
            </w:r>
            <w:r>
              <w:rPr>
                <w:rFonts w:hint="default" w:ascii="Times New Roman" w:hAnsi="Times New Roman" w:eastAsia="宋体"/>
                <w:b/>
                <w:bCs/>
                <w:color w:val="auto"/>
                <w:sz w:val="24"/>
                <w:szCs w:val="24"/>
              </w:rPr>
              <w:t>环境保护图形标志</w:t>
            </w:r>
          </w:p>
          <w:tbl>
            <w:tblPr>
              <w:tblStyle w:val="24"/>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583"/>
              <w:gridCol w:w="1762"/>
              <w:gridCol w:w="1775"/>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571"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序号</w:t>
                  </w:r>
                </w:p>
              </w:tc>
              <w:tc>
                <w:tcPr>
                  <w:tcW w:w="983"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提示图形符号</w:t>
                  </w:r>
                </w:p>
              </w:tc>
              <w:tc>
                <w:tcPr>
                  <w:tcW w:w="1094"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警告图形符号</w:t>
                  </w:r>
                </w:p>
              </w:tc>
              <w:tc>
                <w:tcPr>
                  <w:tcW w:w="1102"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名称</w:t>
                  </w:r>
                </w:p>
              </w:tc>
              <w:tc>
                <w:tcPr>
                  <w:tcW w:w="1248"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571"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w:t>
                  </w:r>
                </w:p>
              </w:tc>
              <w:tc>
                <w:tcPr>
                  <w:tcW w:w="983"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fldChar w:fldCharType="begin"/>
                  </w:r>
                  <w:r>
                    <w:rPr>
                      <w:rFonts w:hint="default" w:ascii="Times New Roman" w:hAnsi="Times New Roman" w:eastAsia="宋体"/>
                      <w:color w:val="auto"/>
                      <w:sz w:val="21"/>
                      <w:szCs w:val="21"/>
                    </w:rPr>
                    <w:instrText xml:space="preserve">INCLUDEPICTURE \d "C:\\Documents and Settings\\TEMP.PC-201412191049\\Application Data\\Tencent\\Users\\951550625\\TIM\\WinTemp\\RichOle\\(_8EE}YS5~]@N))[3U_{LFY.png" \* MERGEFORMATINET </w:instrText>
                  </w:r>
                  <w:r>
                    <w:rPr>
                      <w:rFonts w:hint="default" w:ascii="Times New Roman" w:hAnsi="Times New Roman" w:eastAsia="宋体"/>
                      <w:color w:val="auto"/>
                      <w:sz w:val="21"/>
                      <w:szCs w:val="21"/>
                    </w:rPr>
                    <w:fldChar w:fldCharType="separate"/>
                  </w:r>
                  <w:r>
                    <w:rPr>
                      <w:rFonts w:hint="default" w:ascii="Times New Roman" w:hAnsi="Times New Roman" w:eastAsia="宋体"/>
                      <w:color w:val="auto"/>
                      <w:sz w:val="21"/>
                      <w:szCs w:val="21"/>
                    </w:rPr>
                    <w:drawing>
                      <wp:inline distT="0" distB="0" distL="114300" distR="114300">
                        <wp:extent cx="935355" cy="802640"/>
                        <wp:effectExtent l="0" t="0" r="17145" b="1651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45"/>
                                <a:srcRect t="6667"/>
                                <a:stretch>
                                  <a:fillRect/>
                                </a:stretch>
                              </pic:blipFill>
                              <pic:spPr>
                                <a:xfrm>
                                  <a:off x="0" y="0"/>
                                  <a:ext cx="935355" cy="802640"/>
                                </a:xfrm>
                                <a:prstGeom prst="rect">
                                  <a:avLst/>
                                </a:prstGeom>
                                <a:noFill/>
                                <a:ln>
                                  <a:noFill/>
                                </a:ln>
                              </pic:spPr>
                            </pic:pic>
                          </a:graphicData>
                        </a:graphic>
                      </wp:inline>
                    </w:drawing>
                  </w:r>
                  <w:r>
                    <w:rPr>
                      <w:rFonts w:hint="default" w:ascii="Times New Roman" w:hAnsi="Times New Roman" w:eastAsia="宋体"/>
                      <w:color w:val="auto"/>
                      <w:sz w:val="21"/>
                      <w:szCs w:val="21"/>
                    </w:rPr>
                    <w:fldChar w:fldCharType="end"/>
                  </w:r>
                </w:p>
              </w:tc>
              <w:tc>
                <w:tcPr>
                  <w:tcW w:w="1094"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drawing>
                      <wp:inline distT="0" distB="0" distL="114300" distR="114300">
                        <wp:extent cx="955040" cy="780415"/>
                        <wp:effectExtent l="0" t="0" r="16510" b="6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6"/>
                                <a:stretch>
                                  <a:fillRect/>
                                </a:stretch>
                              </pic:blipFill>
                              <pic:spPr>
                                <a:xfrm>
                                  <a:off x="0" y="0"/>
                                  <a:ext cx="955040" cy="780415"/>
                                </a:xfrm>
                                <a:prstGeom prst="rect">
                                  <a:avLst/>
                                </a:prstGeom>
                                <a:noFill/>
                                <a:ln>
                                  <a:noFill/>
                                </a:ln>
                              </pic:spPr>
                            </pic:pic>
                          </a:graphicData>
                        </a:graphic>
                      </wp:inline>
                    </w:drawing>
                  </w:r>
                </w:p>
              </w:tc>
              <w:tc>
                <w:tcPr>
                  <w:tcW w:w="1102"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废水排放口</w:t>
                  </w:r>
                </w:p>
              </w:tc>
              <w:tc>
                <w:tcPr>
                  <w:tcW w:w="1248"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表示废水向水体排放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571"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w:t>
                  </w:r>
                </w:p>
              </w:tc>
              <w:tc>
                <w:tcPr>
                  <w:tcW w:w="983"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fldChar w:fldCharType="begin"/>
                  </w:r>
                  <w:r>
                    <w:rPr>
                      <w:rFonts w:hint="default" w:ascii="Times New Roman" w:hAnsi="Times New Roman" w:eastAsia="宋体"/>
                      <w:color w:val="auto"/>
                      <w:sz w:val="21"/>
                      <w:szCs w:val="21"/>
                    </w:rPr>
                    <w:instrText xml:space="preserve">INCLUDEPICTURE \d "C:\\Documents and Settings\\TEMP.PC-201412191049\\Application Data\\Tencent\\Users\\951550625\\TIM\\WinTemp\\RichOle\\{)TXM3K6V@8VZXSSWVBI%[G.png" \* MERGEFORMATINET </w:instrText>
                  </w:r>
                  <w:r>
                    <w:rPr>
                      <w:rFonts w:hint="default" w:ascii="Times New Roman" w:hAnsi="Times New Roman" w:eastAsia="宋体"/>
                      <w:color w:val="auto"/>
                      <w:sz w:val="21"/>
                      <w:szCs w:val="21"/>
                    </w:rPr>
                    <w:fldChar w:fldCharType="separate"/>
                  </w:r>
                  <w:r>
                    <w:rPr>
                      <w:rFonts w:hint="default" w:ascii="Times New Roman" w:hAnsi="Times New Roman" w:eastAsia="宋体"/>
                      <w:color w:val="auto"/>
                      <w:sz w:val="21"/>
                      <w:szCs w:val="21"/>
                    </w:rPr>
                    <w:drawing>
                      <wp:inline distT="0" distB="0" distL="114300" distR="114300">
                        <wp:extent cx="951865" cy="951865"/>
                        <wp:effectExtent l="0" t="0" r="635" b="635"/>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47"/>
                                <a:stretch>
                                  <a:fillRect/>
                                </a:stretch>
                              </pic:blipFill>
                              <pic:spPr>
                                <a:xfrm>
                                  <a:off x="0" y="0"/>
                                  <a:ext cx="951865" cy="951865"/>
                                </a:xfrm>
                                <a:prstGeom prst="rect">
                                  <a:avLst/>
                                </a:prstGeom>
                                <a:noFill/>
                                <a:ln>
                                  <a:noFill/>
                                </a:ln>
                              </pic:spPr>
                            </pic:pic>
                          </a:graphicData>
                        </a:graphic>
                      </wp:inline>
                    </w:drawing>
                  </w:r>
                  <w:r>
                    <w:rPr>
                      <w:rFonts w:hint="default" w:ascii="Times New Roman" w:hAnsi="Times New Roman" w:eastAsia="宋体"/>
                      <w:color w:val="auto"/>
                      <w:sz w:val="21"/>
                      <w:szCs w:val="21"/>
                    </w:rPr>
                    <w:fldChar w:fldCharType="end"/>
                  </w:r>
                </w:p>
              </w:tc>
              <w:tc>
                <w:tcPr>
                  <w:tcW w:w="1094"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drawing>
                      <wp:inline distT="0" distB="0" distL="114300" distR="114300">
                        <wp:extent cx="1040130" cy="852805"/>
                        <wp:effectExtent l="0" t="0" r="7620"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8"/>
                                <a:stretch>
                                  <a:fillRect/>
                                </a:stretch>
                              </pic:blipFill>
                              <pic:spPr>
                                <a:xfrm>
                                  <a:off x="0" y="0"/>
                                  <a:ext cx="1040130" cy="852805"/>
                                </a:xfrm>
                                <a:prstGeom prst="rect">
                                  <a:avLst/>
                                </a:prstGeom>
                                <a:noFill/>
                                <a:ln>
                                  <a:noFill/>
                                </a:ln>
                              </pic:spPr>
                            </pic:pic>
                          </a:graphicData>
                        </a:graphic>
                      </wp:inline>
                    </w:drawing>
                  </w:r>
                </w:p>
              </w:tc>
              <w:tc>
                <w:tcPr>
                  <w:tcW w:w="1102"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一般工业固体废物</w:t>
                  </w:r>
                </w:p>
              </w:tc>
              <w:tc>
                <w:tcPr>
                  <w:tcW w:w="1248"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表示一般工业固体废物贮存、处置场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571"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w:t>
                  </w:r>
                </w:p>
              </w:tc>
              <w:tc>
                <w:tcPr>
                  <w:tcW w:w="983"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w:t>
                  </w:r>
                </w:p>
              </w:tc>
              <w:tc>
                <w:tcPr>
                  <w:tcW w:w="1094" w:type="pct"/>
                  <w:noWrap w:val="0"/>
                  <w:vAlign w:val="center"/>
                </w:tcPr>
                <w:p>
                  <w:pPr>
                    <w:adjustRightInd w:val="0"/>
                    <w:snapToGrid w:val="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lang w:eastAsia="zh-CN"/>
                    </w:rPr>
                    <w:drawing>
                      <wp:inline distT="0" distB="0" distL="114300" distR="114300">
                        <wp:extent cx="964565" cy="765810"/>
                        <wp:effectExtent l="0" t="0" r="6985" b="15240"/>
                        <wp:docPr id="22" name="图片 8" descr="168412901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1684129014677"/>
                                <pic:cNvPicPr>
                                  <a:picLocks noChangeAspect="1"/>
                                </pic:cNvPicPr>
                              </pic:nvPicPr>
                              <pic:blipFill>
                                <a:blip r:embed="rId49"/>
                                <a:stretch>
                                  <a:fillRect/>
                                </a:stretch>
                              </pic:blipFill>
                              <pic:spPr>
                                <a:xfrm>
                                  <a:off x="0" y="0"/>
                                  <a:ext cx="964565" cy="765810"/>
                                </a:xfrm>
                                <a:prstGeom prst="rect">
                                  <a:avLst/>
                                </a:prstGeom>
                                <a:noFill/>
                                <a:ln>
                                  <a:noFill/>
                                </a:ln>
                              </pic:spPr>
                            </pic:pic>
                          </a:graphicData>
                        </a:graphic>
                      </wp:inline>
                    </w:drawing>
                  </w:r>
                </w:p>
              </w:tc>
              <w:tc>
                <w:tcPr>
                  <w:tcW w:w="1102"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危险废物</w:t>
                  </w:r>
                </w:p>
              </w:tc>
              <w:tc>
                <w:tcPr>
                  <w:tcW w:w="1248"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571"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4</w:t>
                  </w:r>
                </w:p>
              </w:tc>
              <w:tc>
                <w:tcPr>
                  <w:tcW w:w="983"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fldChar w:fldCharType="begin"/>
                  </w:r>
                  <w:r>
                    <w:rPr>
                      <w:rFonts w:hint="default" w:ascii="Times New Roman" w:hAnsi="Times New Roman" w:eastAsia="宋体"/>
                      <w:color w:val="auto"/>
                      <w:sz w:val="21"/>
                      <w:szCs w:val="21"/>
                    </w:rPr>
                    <w:instrText xml:space="preserve">INCLUDEPICTURE \d "C:\\Documents and Settings\\TEMP.PC-201412191049\\Application Data\\Tencent\\Users\\951550625\\TIM\\WinTemp\\RichOle\\~U6SJ}OIYHL5QZ[34T_YA$K.png" \* MERGEFORMATINET </w:instrText>
                  </w:r>
                  <w:r>
                    <w:rPr>
                      <w:rFonts w:hint="default" w:ascii="Times New Roman" w:hAnsi="Times New Roman" w:eastAsia="宋体"/>
                      <w:color w:val="auto"/>
                      <w:sz w:val="21"/>
                      <w:szCs w:val="21"/>
                    </w:rPr>
                    <w:fldChar w:fldCharType="separate"/>
                  </w:r>
                  <w:r>
                    <w:rPr>
                      <w:rFonts w:hint="default" w:ascii="Times New Roman" w:hAnsi="Times New Roman" w:eastAsia="宋体"/>
                      <w:color w:val="auto"/>
                      <w:sz w:val="21"/>
                      <w:szCs w:val="21"/>
                    </w:rPr>
                    <w:drawing>
                      <wp:inline distT="0" distB="0" distL="114300" distR="114300">
                        <wp:extent cx="944880" cy="935355"/>
                        <wp:effectExtent l="0" t="0" r="7620" b="1714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50"/>
                                <a:stretch>
                                  <a:fillRect/>
                                </a:stretch>
                              </pic:blipFill>
                              <pic:spPr>
                                <a:xfrm>
                                  <a:off x="0" y="0"/>
                                  <a:ext cx="944880" cy="935355"/>
                                </a:xfrm>
                                <a:prstGeom prst="rect">
                                  <a:avLst/>
                                </a:prstGeom>
                                <a:noFill/>
                                <a:ln>
                                  <a:noFill/>
                                </a:ln>
                              </pic:spPr>
                            </pic:pic>
                          </a:graphicData>
                        </a:graphic>
                      </wp:inline>
                    </w:drawing>
                  </w:r>
                  <w:r>
                    <w:rPr>
                      <w:rFonts w:hint="default" w:ascii="Times New Roman" w:hAnsi="Times New Roman" w:eastAsia="宋体"/>
                      <w:color w:val="auto"/>
                      <w:sz w:val="21"/>
                      <w:szCs w:val="21"/>
                    </w:rPr>
                    <w:fldChar w:fldCharType="end"/>
                  </w:r>
                </w:p>
              </w:tc>
              <w:tc>
                <w:tcPr>
                  <w:tcW w:w="1094"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drawing>
                      <wp:inline distT="0" distB="0" distL="114300" distR="114300">
                        <wp:extent cx="956310" cy="844550"/>
                        <wp:effectExtent l="0" t="0" r="15240" b="1270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51"/>
                                <a:stretch>
                                  <a:fillRect/>
                                </a:stretch>
                              </pic:blipFill>
                              <pic:spPr>
                                <a:xfrm>
                                  <a:off x="0" y="0"/>
                                  <a:ext cx="956310" cy="844550"/>
                                </a:xfrm>
                                <a:prstGeom prst="rect">
                                  <a:avLst/>
                                </a:prstGeom>
                                <a:noFill/>
                                <a:ln>
                                  <a:noFill/>
                                </a:ln>
                              </pic:spPr>
                            </pic:pic>
                          </a:graphicData>
                        </a:graphic>
                      </wp:inline>
                    </w:drawing>
                  </w:r>
                </w:p>
              </w:tc>
              <w:tc>
                <w:tcPr>
                  <w:tcW w:w="1102"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噪声排放源</w:t>
                  </w:r>
                </w:p>
              </w:tc>
              <w:tc>
                <w:tcPr>
                  <w:tcW w:w="1248"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71"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w:t>
                  </w:r>
                </w:p>
              </w:tc>
              <w:tc>
                <w:tcPr>
                  <w:tcW w:w="983"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drawing>
                      <wp:inline distT="0" distB="0" distL="114300" distR="114300">
                        <wp:extent cx="898525" cy="879475"/>
                        <wp:effectExtent l="0" t="0" r="15875" b="1587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52"/>
                                <a:stretch>
                                  <a:fillRect/>
                                </a:stretch>
                              </pic:blipFill>
                              <pic:spPr>
                                <a:xfrm>
                                  <a:off x="0" y="0"/>
                                  <a:ext cx="898525" cy="879475"/>
                                </a:xfrm>
                                <a:prstGeom prst="rect">
                                  <a:avLst/>
                                </a:prstGeom>
                                <a:noFill/>
                                <a:ln>
                                  <a:noFill/>
                                </a:ln>
                              </pic:spPr>
                            </pic:pic>
                          </a:graphicData>
                        </a:graphic>
                      </wp:inline>
                    </w:drawing>
                  </w:r>
                </w:p>
              </w:tc>
              <w:tc>
                <w:tcPr>
                  <w:tcW w:w="1094"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fldChar w:fldCharType="begin"/>
                  </w:r>
                  <w:r>
                    <w:rPr>
                      <w:rFonts w:hint="default" w:ascii="Times New Roman" w:hAnsi="Times New Roman" w:eastAsia="宋体"/>
                      <w:color w:val="auto"/>
                      <w:sz w:val="21"/>
                      <w:szCs w:val="21"/>
                    </w:rPr>
                    <w:instrText xml:space="preserve">INCLUDEPICTURE \d "C:\\Documents and Settings\\TEMP.PC-201412191049\\Application Data\\Tencent\\Users\\951550625\\TIM\\WinTemp\\RichOle\\`G8PE_[N%$21(%IEU[QH3[L.png" \* MERGEFORMATINET </w:instrText>
                  </w:r>
                  <w:r>
                    <w:rPr>
                      <w:rFonts w:hint="default" w:ascii="Times New Roman" w:hAnsi="Times New Roman" w:eastAsia="宋体"/>
                      <w:color w:val="auto"/>
                      <w:sz w:val="21"/>
                      <w:szCs w:val="21"/>
                    </w:rPr>
                    <w:fldChar w:fldCharType="separate"/>
                  </w:r>
                  <w:r>
                    <w:rPr>
                      <w:rFonts w:hint="default" w:ascii="Times New Roman" w:hAnsi="Times New Roman" w:eastAsia="宋体"/>
                      <w:color w:val="auto"/>
                      <w:sz w:val="21"/>
                      <w:szCs w:val="21"/>
                    </w:rPr>
                    <w:drawing>
                      <wp:inline distT="0" distB="0" distL="114300" distR="114300">
                        <wp:extent cx="980440" cy="897255"/>
                        <wp:effectExtent l="0" t="0" r="10160" b="17145"/>
                        <wp:docPr id="2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56"/>
                                <pic:cNvPicPr>
                                  <a:picLocks noChangeAspect="1"/>
                                </pic:cNvPicPr>
                              </pic:nvPicPr>
                              <pic:blipFill>
                                <a:blip r:embed="rId53"/>
                                <a:stretch>
                                  <a:fillRect/>
                                </a:stretch>
                              </pic:blipFill>
                              <pic:spPr>
                                <a:xfrm>
                                  <a:off x="0" y="0"/>
                                  <a:ext cx="980440" cy="897255"/>
                                </a:xfrm>
                                <a:prstGeom prst="rect">
                                  <a:avLst/>
                                </a:prstGeom>
                                <a:noFill/>
                                <a:ln>
                                  <a:noFill/>
                                </a:ln>
                              </pic:spPr>
                            </pic:pic>
                          </a:graphicData>
                        </a:graphic>
                      </wp:inline>
                    </w:drawing>
                  </w:r>
                  <w:r>
                    <w:rPr>
                      <w:rFonts w:hint="default" w:ascii="Times New Roman" w:hAnsi="Times New Roman" w:eastAsia="宋体"/>
                      <w:color w:val="auto"/>
                      <w:sz w:val="21"/>
                      <w:szCs w:val="21"/>
                    </w:rPr>
                    <w:fldChar w:fldCharType="end"/>
                  </w:r>
                </w:p>
              </w:tc>
              <w:tc>
                <w:tcPr>
                  <w:tcW w:w="1102"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废气排放口</w:t>
                  </w:r>
                </w:p>
              </w:tc>
              <w:tc>
                <w:tcPr>
                  <w:tcW w:w="1248" w:type="pct"/>
                  <w:noWrap w:val="0"/>
                  <w:vAlign w:val="center"/>
                </w:tcPr>
                <w:p>
                  <w:pPr>
                    <w:adjustRightInd w:val="0"/>
                    <w:snapToGrid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表示废气向大气环境排放</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3、项目竣工环境保护验收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建设单位应按照国家及本市有关法律法规、建设项目竣工环境保护验收技术规范、建设项目环境影响报告表和审批决定等要求，开展相关</w:t>
            </w:r>
            <w:r>
              <w:rPr>
                <w:rFonts w:hint="eastAsia" w:ascii="Times New Roman" w:hAnsi="Times New Roman" w:eastAsia="宋体"/>
                <w:color w:val="auto"/>
                <w:sz w:val="24"/>
                <w:szCs w:val="24"/>
                <w:lang w:val="en-US" w:eastAsia="zh-CN"/>
              </w:rPr>
              <w:t>自主</w:t>
            </w:r>
            <w:r>
              <w:rPr>
                <w:rFonts w:hint="default" w:ascii="Times New Roman" w:hAnsi="Times New Roman" w:eastAsia="宋体"/>
                <w:color w:val="auto"/>
                <w:sz w:val="24"/>
                <w:szCs w:val="24"/>
                <w:lang w:val="en-US" w:eastAsia="zh-CN"/>
              </w:rPr>
              <w:t>验收</w:t>
            </w:r>
          </w:p>
          <w:p>
            <w:pPr>
              <w:adjustRightInd w:val="0"/>
              <w:snapToGrid w:val="0"/>
              <w:spacing w:line="360" w:lineRule="auto"/>
              <w:jc w:val="left"/>
              <w:rPr>
                <w:rFonts w:hint="eastAsia"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工作。建设项目配套建设的环境保护设施经验收合格，方可投入生产或者使用；未经验收或者验收不合格的，不得投入生产或者使用</w:t>
            </w:r>
            <w:r>
              <w:rPr>
                <w:rFonts w:hint="eastAsia" w:ascii="Times New Roman" w:hAnsi="Times New Roman" w:eastAsia="宋体"/>
                <w:color w:val="auto"/>
                <w:sz w:val="24"/>
                <w:szCs w:val="24"/>
                <w:lang w:val="en-US" w:eastAsia="zh-CN"/>
              </w:rPr>
              <w:t>。</w:t>
            </w:r>
          </w:p>
          <w:p>
            <w:pPr>
              <w:rPr>
                <w:rFonts w:hint="eastAsia"/>
                <w:color w:val="auto"/>
                <w:lang w:val="en-US" w:eastAsia="zh-CN"/>
              </w:rPr>
            </w:pPr>
          </w:p>
        </w:tc>
      </w:tr>
    </w:tbl>
    <w:p>
      <w:pPr>
        <w:pStyle w:val="29"/>
        <w:rPr>
          <w:rFonts w:hint="eastAsia"/>
          <w:b/>
          <w:bCs/>
          <w:color w:val="auto"/>
          <w:sz w:val="28"/>
          <w:szCs w:val="28"/>
          <w:lang w:eastAsia="zh-CN"/>
        </w:rPr>
      </w:pPr>
      <w:r>
        <w:rPr>
          <w:rFonts w:hint="eastAsia"/>
          <w:b/>
          <w:bCs/>
          <w:color w:val="auto"/>
          <w:sz w:val="28"/>
          <w:szCs w:val="28"/>
          <w:lang w:eastAsia="zh-CN"/>
        </w:rPr>
        <w:t>六、结论</w:t>
      </w:r>
    </w:p>
    <w:tbl>
      <w:tblPr>
        <w:tblStyle w:val="25"/>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8" w:type="dxa"/>
            <w:vAlign w:val="center"/>
          </w:tcPr>
          <w:p>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本项目建设符合国家和</w:t>
            </w:r>
            <w:r>
              <w:rPr>
                <w:rFonts w:hint="eastAsia" w:cs="Times New Roman"/>
                <w:color w:val="auto"/>
                <w:lang w:val="en-US" w:eastAsia="zh-CN"/>
              </w:rPr>
              <w:t>宿州市</w:t>
            </w:r>
            <w:r>
              <w:rPr>
                <w:rFonts w:hint="default" w:ascii="Times New Roman" w:hAnsi="Times New Roman" w:cs="Times New Roman"/>
                <w:color w:val="auto"/>
                <w:lang w:val="en-US" w:eastAsia="zh-CN"/>
              </w:rPr>
              <w:t>产业政策要求，</w:t>
            </w:r>
            <w:r>
              <w:rPr>
                <w:rFonts w:hint="eastAsia" w:cs="Times New Roman"/>
                <w:color w:val="auto"/>
                <w:lang w:val="en-US" w:eastAsia="zh-CN"/>
              </w:rPr>
              <w:t>用地性质</w:t>
            </w:r>
            <w:r>
              <w:rPr>
                <w:rFonts w:hint="default" w:ascii="Times New Roman" w:hAnsi="Times New Roman" w:cs="Times New Roman"/>
                <w:color w:val="auto"/>
                <w:lang w:val="en-US" w:eastAsia="zh-CN"/>
              </w:rPr>
              <w:t>为工业用地，规划选址符合</w:t>
            </w:r>
            <w:r>
              <w:rPr>
                <w:rFonts w:hint="eastAsia"/>
                <w:color w:val="auto"/>
                <w:sz w:val="24"/>
                <w:szCs w:val="24"/>
                <w:lang w:val="en-US" w:eastAsia="zh-CN"/>
              </w:rPr>
              <w:t>萧县经济开发区白土镇智能制造产业园控制性详细规划</w:t>
            </w:r>
            <w:r>
              <w:rPr>
                <w:rFonts w:hint="default" w:ascii="Times New Roman" w:hAnsi="Times New Roman" w:cs="Times New Roman"/>
                <w:color w:val="auto"/>
                <w:lang w:val="en-US" w:eastAsia="zh-CN"/>
              </w:rPr>
              <w:t>。本项目实施后产生的废气、废水污染物经相应的环保措施治理后均可实现达标排放，厂界噪声可实现达标排放，固体废物处置去向合理，预计不会对环境产生明显不利影响。综上所述，在落实本报告提出的各项环保措施的情况下，本项目的建设具备环境可行性。</w:t>
            </w: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p>
            <w:pPr>
              <w:pStyle w:val="32"/>
              <w:rPr>
                <w:rFonts w:hint="eastAsia"/>
                <w:color w:val="auto"/>
                <w:vertAlign w:val="baseline"/>
                <w:lang w:eastAsia="zh-CN"/>
              </w:rPr>
            </w:pPr>
          </w:p>
          <w:p>
            <w:pPr>
              <w:pStyle w:val="32"/>
              <w:rPr>
                <w:rFonts w:hint="eastAsia"/>
                <w:color w:val="auto"/>
                <w:vertAlign w:val="baseline"/>
                <w:lang w:eastAsia="zh-CN"/>
              </w:rPr>
            </w:pPr>
          </w:p>
          <w:p>
            <w:pPr>
              <w:pStyle w:val="32"/>
              <w:rPr>
                <w:rFonts w:hint="eastAsia"/>
                <w:color w:val="auto"/>
                <w:vertAlign w:val="baseline"/>
                <w:lang w:eastAsia="zh-CN"/>
              </w:rPr>
            </w:pPr>
          </w:p>
          <w:p>
            <w:pPr>
              <w:pStyle w:val="32"/>
              <w:rPr>
                <w:rFonts w:hint="eastAsia"/>
                <w:color w:val="auto"/>
                <w:vertAlign w:val="baseline"/>
                <w:lang w:eastAsia="zh-CN"/>
              </w:rPr>
            </w:pPr>
          </w:p>
          <w:p>
            <w:pPr>
              <w:pStyle w:val="32"/>
              <w:rPr>
                <w:rFonts w:hint="eastAsia"/>
                <w:color w:val="auto"/>
                <w:vertAlign w:val="baseline"/>
                <w:lang w:eastAsia="zh-CN"/>
              </w:rPr>
            </w:pPr>
          </w:p>
          <w:p>
            <w:pPr>
              <w:pStyle w:val="32"/>
              <w:rPr>
                <w:rFonts w:hint="eastAsia"/>
                <w:color w:val="auto"/>
                <w:vertAlign w:val="baseline"/>
                <w:lang w:eastAsia="zh-CN"/>
              </w:rPr>
            </w:pPr>
          </w:p>
          <w:p>
            <w:pPr>
              <w:pStyle w:val="32"/>
              <w:rPr>
                <w:rFonts w:hint="eastAsia"/>
                <w:color w:val="auto"/>
                <w:vertAlign w:val="baseline"/>
                <w:lang w:eastAsia="zh-CN"/>
              </w:rPr>
            </w:pPr>
          </w:p>
          <w:p>
            <w:pPr>
              <w:pStyle w:val="32"/>
              <w:rPr>
                <w:rFonts w:hint="eastAsia"/>
                <w:color w:val="auto"/>
                <w:vertAlign w:val="baseline"/>
                <w:lang w:eastAsia="zh-CN"/>
              </w:rPr>
            </w:pPr>
          </w:p>
          <w:p>
            <w:pPr>
              <w:pStyle w:val="29"/>
              <w:ind w:left="0" w:leftChars="0" w:firstLine="0" w:firstLineChars="0"/>
              <w:jc w:val="both"/>
              <w:rPr>
                <w:rFonts w:hint="eastAsia"/>
                <w:color w:val="auto"/>
                <w:vertAlign w:val="baseline"/>
                <w:lang w:eastAsia="zh-CN"/>
              </w:rPr>
            </w:pPr>
          </w:p>
          <w:p>
            <w:pPr>
              <w:pStyle w:val="29"/>
              <w:jc w:val="both"/>
              <w:rPr>
                <w:rFonts w:hint="eastAsia"/>
                <w:color w:val="auto"/>
                <w:vertAlign w:val="baseline"/>
                <w:lang w:eastAsia="zh-CN"/>
              </w:rPr>
            </w:pPr>
          </w:p>
          <w:p>
            <w:pPr>
              <w:pStyle w:val="29"/>
              <w:jc w:val="both"/>
              <w:rPr>
                <w:rFonts w:hint="eastAsia"/>
                <w:color w:val="auto"/>
                <w:vertAlign w:val="baseline"/>
                <w:lang w:eastAsia="zh-CN"/>
              </w:rPr>
            </w:pPr>
          </w:p>
        </w:tc>
      </w:tr>
    </w:tbl>
    <w:p>
      <w:pPr>
        <w:rPr>
          <w:color w:val="auto"/>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p>
    <w:p>
      <w:pPr>
        <w:jc w:val="center"/>
        <w:rPr>
          <w:rFonts w:hint="eastAsia"/>
          <w:b/>
          <w:bCs/>
          <w:color w:val="auto"/>
          <w:sz w:val="21"/>
          <w:szCs w:val="21"/>
          <w:lang w:eastAsia="zh-CN"/>
        </w:rPr>
      </w:pPr>
      <w:r>
        <w:rPr>
          <w:rFonts w:hint="eastAsia"/>
          <w:b/>
          <w:bCs/>
          <w:color w:val="auto"/>
          <w:sz w:val="21"/>
          <w:szCs w:val="21"/>
          <w:lang w:eastAsia="zh-CN"/>
        </w:rPr>
        <w:t>污染物排放统计汇总表</w:t>
      </w:r>
    </w:p>
    <w:tbl>
      <w:tblPr>
        <w:tblStyle w:val="25"/>
        <w:tblW w:w="147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1638"/>
        <w:gridCol w:w="1638"/>
        <w:gridCol w:w="1638"/>
        <w:gridCol w:w="1637"/>
        <w:gridCol w:w="1638"/>
        <w:gridCol w:w="1638"/>
        <w:gridCol w:w="1638"/>
        <w:gridCol w:w="16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Align w:val="center"/>
          </w:tcPr>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rPr>
              <mc:AlternateContent>
                <mc:Choice Requires="wps">
                  <w:drawing>
                    <wp:anchor distT="0" distB="0" distL="114300" distR="114300" simplePos="0" relativeHeight="251660288" behindDoc="0" locked="0" layoutInCell="1" allowOverlap="1">
                      <wp:simplePos x="0" y="0"/>
                      <wp:positionH relativeFrom="column">
                        <wp:posOffset>-60325</wp:posOffset>
                      </wp:positionH>
                      <wp:positionV relativeFrom="paragraph">
                        <wp:posOffset>-6350</wp:posOffset>
                      </wp:positionV>
                      <wp:extent cx="1019175" cy="700405"/>
                      <wp:effectExtent l="2540" t="3810" r="6985" b="19685"/>
                      <wp:wrapNone/>
                      <wp:docPr id="4" name="直接连接符 4"/>
                      <wp:cNvGraphicFramePr/>
                      <a:graphic xmlns:a="http://schemas.openxmlformats.org/drawingml/2006/main">
                        <a:graphicData uri="http://schemas.microsoft.com/office/word/2010/wordprocessingShape">
                          <wps:wsp>
                            <wps:cNvCnPr/>
                            <wps:spPr>
                              <a:xfrm>
                                <a:off x="674370" y="1353820"/>
                                <a:ext cx="1019175" cy="700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5pt;margin-top:-0.5pt;height:55.15pt;width:80.25pt;z-index:251660288;mso-width-relative:page;mso-height-relative:page;" filled="f" stroked="t" coordsize="21600,21600" o:gfxdata="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zClcb1QAAAAkBAAAPAAAAAAAAAAEAIAAAACIAAABkcnMvZG93bnJldi54bWxQSwECFAAU&#10;AAAACACHTuJAyxyYXPQBAADBAwAADgAAAAAAAAABACAAAAAkAQAAZHJzL2Uyb0RvYy54bWxQSwUG&#10;AAAAAAYABgBZAQAAigUAAAAA&#10;">
                      <v:fill on="f" focussize="0,0"/>
                      <v:stroke weight="0.5pt" color="#000000 [3213]" miterlimit="8" joinstyle="miter"/>
                      <v:imagedata o:title=""/>
                      <o:lock v:ext="edit" aspectratio="f"/>
                    </v:line>
                  </w:pict>
                </mc:Fallback>
              </mc:AlternateContent>
            </w:r>
            <w:r>
              <w:rPr>
                <w:rFonts w:hint="default" w:ascii="Times New Roman" w:hAnsi="Times New Roman" w:eastAsia="宋体"/>
                <w:color w:val="auto"/>
                <w:sz w:val="21"/>
                <w:szCs w:val="21"/>
                <w:lang w:val="en-US" w:eastAsia="zh-CN"/>
              </w:rPr>
              <w:t xml:space="preserve">         </w:t>
            </w:r>
            <w:r>
              <w:rPr>
                <w:rFonts w:hint="default" w:ascii="Times New Roman" w:hAnsi="Times New Roman" w:eastAsia="宋体"/>
                <w:color w:val="auto"/>
                <w:sz w:val="21"/>
                <w:szCs w:val="21"/>
                <w:lang w:eastAsia="zh-CN"/>
              </w:rPr>
              <w:t>项目</w:t>
            </w:r>
          </w:p>
          <w:p>
            <w:pPr>
              <w:adjustRightInd w:val="0"/>
              <w:snapToGrid w:val="0"/>
              <w:jc w:val="center"/>
              <w:rPr>
                <w:rFonts w:hint="default" w:ascii="Times New Roman" w:hAnsi="Times New Roman" w:eastAsia="宋体"/>
                <w:color w:val="auto"/>
                <w:sz w:val="21"/>
                <w:szCs w:val="21"/>
                <w:lang w:eastAsia="zh-CN"/>
              </w:rPr>
            </w:pPr>
          </w:p>
          <w:p>
            <w:pPr>
              <w:adjustRightInd w:val="0"/>
              <w:snapToGrid w:val="0"/>
              <w:jc w:val="center"/>
              <w:rPr>
                <w:rFonts w:hint="default" w:ascii="Times New Roman" w:hAnsi="Times New Roman" w:eastAsia="宋体"/>
                <w:color w:val="auto"/>
                <w:sz w:val="21"/>
                <w:szCs w:val="21"/>
                <w:lang w:eastAsia="zh-CN"/>
              </w:rPr>
            </w:pPr>
          </w:p>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分类</w:t>
            </w:r>
          </w:p>
        </w:tc>
        <w:tc>
          <w:tcPr>
            <w:tcW w:w="1638" w:type="dxa"/>
            <w:vAlign w:val="center"/>
          </w:tcPr>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污染物名称</w:t>
            </w:r>
          </w:p>
        </w:tc>
        <w:tc>
          <w:tcPr>
            <w:tcW w:w="1638" w:type="dxa"/>
            <w:vAlign w:val="center"/>
          </w:tcPr>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现有工程排放量（</w:t>
            </w:r>
            <w:r>
              <w:rPr>
                <w:rFonts w:hint="default" w:ascii="Times New Roman" w:hAnsi="Times New Roman" w:eastAsia="宋体"/>
                <w:color w:val="auto"/>
                <w:sz w:val="21"/>
                <w:szCs w:val="21"/>
                <w:lang w:val="en-US" w:eastAsia="zh-CN"/>
              </w:rPr>
              <w:t>固体废物产生量</w:t>
            </w:r>
            <w:r>
              <w:rPr>
                <w:rFonts w:hint="default" w:ascii="Times New Roman" w:hAnsi="Times New Roman" w:eastAsia="宋体"/>
                <w:color w:val="auto"/>
                <w:sz w:val="21"/>
                <w:szCs w:val="21"/>
                <w:lang w:eastAsia="zh-CN"/>
              </w:rPr>
              <w:t>）①</w:t>
            </w:r>
          </w:p>
        </w:tc>
        <w:tc>
          <w:tcPr>
            <w:tcW w:w="1638" w:type="dxa"/>
            <w:vAlign w:val="center"/>
          </w:tcPr>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现有工程许可排放量②</w:t>
            </w:r>
          </w:p>
        </w:tc>
        <w:tc>
          <w:tcPr>
            <w:tcW w:w="1637" w:type="dxa"/>
            <w:vAlign w:val="center"/>
          </w:tcPr>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在建工程排放量（</w:t>
            </w:r>
            <w:r>
              <w:rPr>
                <w:rFonts w:hint="default" w:ascii="Times New Roman" w:hAnsi="Times New Roman" w:eastAsia="宋体"/>
                <w:color w:val="auto"/>
                <w:sz w:val="21"/>
                <w:szCs w:val="21"/>
                <w:lang w:val="en-US" w:eastAsia="zh-CN"/>
              </w:rPr>
              <w:t>固体废物产生量</w:t>
            </w:r>
            <w:r>
              <w:rPr>
                <w:rFonts w:hint="default" w:ascii="Times New Roman" w:hAnsi="Times New Roman" w:eastAsia="宋体"/>
                <w:color w:val="auto"/>
                <w:sz w:val="21"/>
                <w:szCs w:val="21"/>
                <w:lang w:eastAsia="zh-CN"/>
              </w:rPr>
              <w:t>）③</w:t>
            </w:r>
          </w:p>
        </w:tc>
        <w:tc>
          <w:tcPr>
            <w:tcW w:w="1638" w:type="dxa"/>
            <w:vAlign w:val="center"/>
          </w:tcPr>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本项目排放量（</w:t>
            </w:r>
            <w:r>
              <w:rPr>
                <w:rFonts w:hint="default" w:ascii="Times New Roman" w:hAnsi="Times New Roman" w:eastAsia="宋体"/>
                <w:color w:val="auto"/>
                <w:sz w:val="21"/>
                <w:szCs w:val="21"/>
                <w:lang w:val="en-US" w:eastAsia="zh-CN"/>
              </w:rPr>
              <w:t>固体废物产生量</w:t>
            </w:r>
            <w:r>
              <w:rPr>
                <w:rFonts w:hint="default" w:ascii="Times New Roman" w:hAnsi="Times New Roman" w:eastAsia="宋体"/>
                <w:color w:val="auto"/>
                <w:sz w:val="21"/>
                <w:szCs w:val="21"/>
                <w:lang w:eastAsia="zh-CN"/>
              </w:rPr>
              <w:t>）④</w:t>
            </w:r>
          </w:p>
        </w:tc>
        <w:tc>
          <w:tcPr>
            <w:tcW w:w="1638" w:type="dxa"/>
            <w:vAlign w:val="center"/>
          </w:tcPr>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以新带老消减量（</w:t>
            </w:r>
            <w:r>
              <w:rPr>
                <w:rFonts w:hint="default" w:ascii="Times New Roman" w:hAnsi="Times New Roman" w:eastAsia="宋体"/>
                <w:color w:val="auto"/>
                <w:sz w:val="21"/>
                <w:szCs w:val="21"/>
                <w:lang w:val="en-US" w:eastAsia="zh-CN"/>
              </w:rPr>
              <w:t>新建项目不填</w:t>
            </w:r>
            <w:r>
              <w:rPr>
                <w:rFonts w:hint="default" w:ascii="Times New Roman" w:hAnsi="Times New Roman" w:eastAsia="宋体"/>
                <w:color w:val="auto"/>
                <w:sz w:val="21"/>
                <w:szCs w:val="21"/>
                <w:lang w:eastAsia="zh-CN"/>
              </w:rPr>
              <w:t>）⑤</w:t>
            </w:r>
          </w:p>
        </w:tc>
        <w:tc>
          <w:tcPr>
            <w:tcW w:w="1638" w:type="dxa"/>
            <w:vAlign w:val="center"/>
          </w:tcPr>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本项目建成后</w:t>
            </w:r>
            <w:r>
              <w:rPr>
                <w:rFonts w:hint="default" w:ascii="Times New Roman" w:hAnsi="Times New Roman" w:eastAsia="宋体"/>
                <w:color w:val="auto"/>
                <w:sz w:val="21"/>
                <w:szCs w:val="21"/>
                <w:lang w:val="en-US" w:eastAsia="zh-CN"/>
              </w:rPr>
              <w:t>全厂</w:t>
            </w:r>
            <w:r>
              <w:rPr>
                <w:rFonts w:hint="default" w:ascii="Times New Roman" w:hAnsi="Times New Roman" w:eastAsia="宋体"/>
                <w:color w:val="auto"/>
                <w:sz w:val="21"/>
                <w:szCs w:val="21"/>
                <w:lang w:eastAsia="zh-CN"/>
              </w:rPr>
              <w:t>排放量（</w:t>
            </w:r>
            <w:r>
              <w:rPr>
                <w:rFonts w:hint="default" w:ascii="Times New Roman" w:hAnsi="Times New Roman" w:eastAsia="宋体"/>
                <w:color w:val="auto"/>
                <w:sz w:val="21"/>
                <w:szCs w:val="21"/>
                <w:lang w:val="en-US" w:eastAsia="zh-CN"/>
              </w:rPr>
              <w:t>固体废物产生量</w:t>
            </w:r>
            <w:r>
              <w:rPr>
                <w:rFonts w:hint="default" w:ascii="Times New Roman" w:hAnsi="Times New Roman" w:eastAsia="宋体"/>
                <w:color w:val="auto"/>
                <w:sz w:val="21"/>
                <w:szCs w:val="21"/>
                <w:lang w:eastAsia="zh-CN"/>
              </w:rPr>
              <w:t>）⑥</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变化量⑦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restart"/>
            <w:vAlign w:val="center"/>
          </w:tcPr>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废气</w:t>
            </w:r>
          </w:p>
        </w:tc>
        <w:tc>
          <w:tcPr>
            <w:tcW w:w="1638" w:type="dxa"/>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0.1920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0.21332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0.21332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0.4785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0.51165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0.51165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+0.03315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二氧化硫</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0.0080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0.0080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氮氧化物</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0.1872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0.1872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+0.1872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restart"/>
            <w:vAlign w:val="center"/>
          </w:tcPr>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废水</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COD</w:t>
            </w:r>
          </w:p>
        </w:tc>
        <w:tc>
          <w:tcPr>
            <w:tcW w:w="1638"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0.1840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0.2754</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0.2754</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+0.0914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NH</w:t>
            </w:r>
            <w:r>
              <w:rPr>
                <w:rFonts w:hint="eastAsia" w:ascii="Times New Roman" w:hAnsi="Times New Roman" w:eastAsia="宋体"/>
                <w:color w:val="auto"/>
                <w:sz w:val="21"/>
                <w:szCs w:val="21"/>
                <w:vertAlign w:val="subscript"/>
                <w:lang w:val="en-US" w:eastAsia="zh-CN"/>
              </w:rPr>
              <w:t>3</w:t>
            </w:r>
            <w:r>
              <w:rPr>
                <w:rFonts w:hint="eastAsia" w:ascii="Times New Roman" w:hAnsi="Times New Roman" w:eastAsia="宋体"/>
                <w:color w:val="auto"/>
                <w:sz w:val="21"/>
                <w:szCs w:val="21"/>
                <w:lang w:val="en-US" w:eastAsia="zh-CN"/>
              </w:rPr>
              <w:t>-N</w:t>
            </w:r>
          </w:p>
        </w:tc>
        <w:tc>
          <w:tcPr>
            <w:tcW w:w="1638"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0.0170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0.0308</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0.0308</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SS</w:t>
            </w:r>
          </w:p>
        </w:tc>
        <w:tc>
          <w:tcPr>
            <w:tcW w:w="1638"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0.1010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0.1512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0.1512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+0.0502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BOD</w:t>
            </w:r>
            <w:r>
              <w:rPr>
                <w:rFonts w:hint="eastAsia" w:ascii="Times New Roman" w:hAnsi="Times New Roman" w:eastAsia="宋体"/>
                <w:color w:val="auto"/>
                <w:sz w:val="21"/>
                <w:szCs w:val="21"/>
                <w:vertAlign w:val="subscript"/>
                <w:lang w:val="en-US" w:eastAsia="zh-CN"/>
              </w:rPr>
              <w:t>5</w:t>
            </w:r>
          </w:p>
        </w:tc>
        <w:tc>
          <w:tcPr>
            <w:tcW w:w="1638"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0.0860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0.1296</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0.1296</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+0.0436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动植物油</w:t>
            </w:r>
          </w:p>
        </w:tc>
        <w:tc>
          <w:tcPr>
            <w:tcW w:w="1638" w:type="dxa"/>
            <w:vAlign w:val="center"/>
          </w:tcPr>
          <w:p>
            <w:pPr>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0.0270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0.0270</w:t>
            </w:r>
          </w:p>
        </w:tc>
        <w:tc>
          <w:tcPr>
            <w:tcW w:w="1638" w:type="dxa"/>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其他固废</w:t>
            </w:r>
          </w:p>
        </w:tc>
        <w:tc>
          <w:tcPr>
            <w:tcW w:w="1638" w:type="dxa"/>
            <w:vAlign w:val="center"/>
          </w:tcPr>
          <w:p>
            <w:pPr>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Cs w:val="21"/>
                <w:lang w:val="en-US" w:eastAsia="zh-CN"/>
              </w:rPr>
              <w:t>生活垃圾</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7.5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7.5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restart"/>
            <w:vAlign w:val="center"/>
          </w:tcPr>
          <w:p>
            <w:pPr>
              <w:adjustRightInd w:val="0"/>
              <w:snapToGrid w:val="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val="en-US" w:eastAsia="zh-CN"/>
              </w:rPr>
              <w:t>一般工业</w:t>
            </w:r>
            <w:r>
              <w:rPr>
                <w:rFonts w:hint="default" w:ascii="Times New Roman" w:hAnsi="Times New Roman" w:eastAsia="宋体"/>
                <w:color w:val="auto"/>
                <w:sz w:val="21"/>
                <w:szCs w:val="21"/>
                <w:lang w:eastAsia="zh-CN"/>
              </w:rPr>
              <w:t>固体废物</w:t>
            </w:r>
          </w:p>
        </w:tc>
        <w:tc>
          <w:tcPr>
            <w:tcW w:w="1638" w:type="dxa"/>
            <w:vAlign w:val="center"/>
          </w:tcPr>
          <w:p>
            <w:pPr>
              <w:pStyle w:val="39"/>
              <w:ind w:firstLine="0" w:firstLineChars="0"/>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eastAsia="zh-CN"/>
              </w:rPr>
              <w:t>下脚料</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150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150</w:t>
            </w:r>
            <w:r>
              <w:rPr>
                <w:rFonts w:hint="eastAsia" w:cs="Times New Roman"/>
                <w:color w:val="auto"/>
                <w:sz w:val="21"/>
                <w:szCs w:val="21"/>
                <w:lang w:val="en-US" w:eastAsia="zh-CN"/>
              </w:rPr>
              <w:t>.4</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150</w:t>
            </w:r>
            <w:r>
              <w:rPr>
                <w:rFonts w:hint="eastAsia" w:cs="Times New Roman"/>
                <w:color w:val="auto"/>
                <w:sz w:val="21"/>
                <w:szCs w:val="21"/>
                <w:lang w:val="en-US" w:eastAsia="zh-CN"/>
              </w:rPr>
              <w:t>.4</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39"/>
              <w:ind w:firstLine="0" w:firstLineChars="0"/>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eastAsia="zh-CN"/>
              </w:rPr>
              <w:t>焊渣</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0.65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2.6</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2.6</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39"/>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除尘器收集的粉尘</w:t>
            </w:r>
          </w:p>
          <w:p>
            <w:pPr>
              <w:pStyle w:val="39"/>
              <w:ind w:firstLine="0" w:firstLineChars="0"/>
              <w:rPr>
                <w:rFonts w:hint="eastAsia" w:ascii="Times New Roman" w:hAnsi="Times New Roman" w:eastAsia="宋体"/>
                <w:color w:val="auto"/>
                <w:sz w:val="21"/>
                <w:szCs w:val="21"/>
                <w:lang w:eastAsia="zh-CN"/>
              </w:rPr>
            </w:pPr>
            <w:r>
              <w:rPr>
                <w:rFonts w:hint="eastAsia" w:cs="Times New Roman"/>
                <w:color w:val="auto"/>
                <w:sz w:val="21"/>
                <w:szCs w:val="21"/>
                <w:lang w:eastAsia="zh-CN"/>
              </w:rPr>
              <w:t>（</w:t>
            </w:r>
            <w:r>
              <w:rPr>
                <w:rFonts w:hint="eastAsia" w:cs="Times New Roman"/>
                <w:color w:val="auto"/>
                <w:sz w:val="21"/>
                <w:szCs w:val="21"/>
                <w:lang w:val="en-US" w:eastAsia="zh-CN"/>
              </w:rPr>
              <w:t>激光切割、焊接及抛丸</w:t>
            </w:r>
            <w:r>
              <w:rPr>
                <w:rFonts w:hint="eastAsia" w:cs="Times New Roman"/>
                <w:color w:val="auto"/>
                <w:sz w:val="21"/>
                <w:szCs w:val="21"/>
                <w:lang w:eastAsia="zh-CN"/>
              </w:rPr>
              <w:t>）</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9.3705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8.99479</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8.99479</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-0.37571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39"/>
              <w:ind w:firstLine="0" w:firstLineChars="0"/>
              <w:rPr>
                <w:rFonts w:hint="eastAsia" w:ascii="Times New Roman" w:hAnsi="Times New Roman" w:eastAsia="宋体"/>
                <w:color w:val="auto"/>
                <w:sz w:val="21"/>
                <w:szCs w:val="21"/>
                <w:lang w:eastAsia="zh-CN"/>
              </w:rPr>
            </w:pPr>
            <w:r>
              <w:rPr>
                <w:rFonts w:hint="default" w:ascii="Times New Roman" w:hAnsi="Times New Roman" w:cs="Times New Roman"/>
                <w:color w:val="auto"/>
                <w:sz w:val="21"/>
                <w:szCs w:val="21"/>
                <w:lang w:eastAsia="zh-CN"/>
              </w:rPr>
              <w:t>除尘器收集的塑粉</w:t>
            </w:r>
            <w:r>
              <w:rPr>
                <w:rFonts w:hint="eastAsia" w:cs="Times New Roman"/>
                <w:color w:val="auto"/>
                <w:sz w:val="21"/>
                <w:szCs w:val="21"/>
                <w:lang w:eastAsia="zh-CN"/>
              </w:rPr>
              <w:t>（喷塑）</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2.85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6.5892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6.5892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+3.7392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39"/>
              <w:ind w:firstLine="0" w:firstLineChars="0"/>
              <w:rPr>
                <w:rFonts w:hint="eastAsia" w:ascii="Times New Roman" w:hAnsi="Times New Roman" w:eastAsia="宋体"/>
                <w:color w:val="auto"/>
                <w:sz w:val="21"/>
                <w:szCs w:val="21"/>
                <w:lang w:eastAsia="zh-CN"/>
              </w:rPr>
            </w:pPr>
            <w:r>
              <w:rPr>
                <w:rFonts w:hint="eastAsia" w:ascii="Times New Roman" w:hAnsi="Times New Roman" w:cs="Times New Roman"/>
                <w:color w:val="auto"/>
                <w:sz w:val="21"/>
                <w:szCs w:val="21"/>
                <w:lang w:val="en-US" w:eastAsia="zh-CN"/>
              </w:rPr>
              <w:t>双桶布袋吸尘机</w:t>
            </w:r>
            <w:r>
              <w:rPr>
                <w:rFonts w:hint="default" w:ascii="Times New Roman" w:hAnsi="Times New Roman" w:cs="Times New Roman"/>
                <w:color w:val="auto"/>
                <w:sz w:val="21"/>
                <w:szCs w:val="21"/>
                <w:lang w:eastAsia="zh-CN"/>
              </w:rPr>
              <w:t>收集的</w:t>
            </w:r>
            <w:r>
              <w:rPr>
                <w:rFonts w:hint="eastAsia" w:ascii="Times New Roman" w:hAnsi="Times New Roman" w:cs="Times New Roman"/>
                <w:color w:val="auto"/>
                <w:sz w:val="21"/>
                <w:szCs w:val="21"/>
                <w:lang w:val="en-US" w:eastAsia="zh-CN"/>
              </w:rPr>
              <w:t>颗粒物</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0.00784</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0.00784</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+0.00784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39"/>
              <w:ind w:firstLine="0" w:firstLineChars="0"/>
              <w:rPr>
                <w:rFonts w:hint="eastAsia" w:ascii="Times New Roman" w:hAnsi="Times New Roman" w:eastAsia="宋体"/>
                <w:color w:val="auto"/>
                <w:sz w:val="21"/>
                <w:szCs w:val="21"/>
                <w:lang w:eastAsia="zh-CN"/>
              </w:rPr>
            </w:pPr>
            <w:r>
              <w:rPr>
                <w:rFonts w:hint="default" w:ascii="Times New Roman" w:hAnsi="Times New Roman" w:cs="Times New Roman"/>
                <w:color w:val="auto"/>
                <w:sz w:val="21"/>
                <w:szCs w:val="21"/>
                <w:lang w:eastAsia="zh-CN"/>
              </w:rPr>
              <w:t>废</w:t>
            </w:r>
            <w:r>
              <w:rPr>
                <w:rFonts w:hint="eastAsia" w:cs="Times New Roman"/>
                <w:color w:val="auto"/>
                <w:sz w:val="21"/>
                <w:szCs w:val="21"/>
                <w:lang w:val="en-US" w:eastAsia="zh-CN"/>
              </w:rPr>
              <w:t>抛丸渣</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0.5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0.5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39"/>
              <w:ind w:firstLine="0" w:firstLineChars="0"/>
              <w:rPr>
                <w:rFonts w:hint="eastAsia" w:ascii="Times New Roman" w:hAnsi="Times New Roman" w:eastAsia="宋体"/>
                <w:color w:val="auto"/>
                <w:sz w:val="21"/>
                <w:szCs w:val="21"/>
                <w:lang w:eastAsia="zh-CN"/>
              </w:rPr>
            </w:pPr>
            <w:r>
              <w:rPr>
                <w:rFonts w:hint="default" w:ascii="Times New Roman" w:hAnsi="Times New Roman" w:cs="Times New Roman"/>
                <w:color w:val="auto"/>
                <w:sz w:val="21"/>
                <w:szCs w:val="21"/>
                <w:lang w:eastAsia="zh-CN"/>
              </w:rPr>
              <w:t>边角料</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0.2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s="Times New Roman"/>
                <w:color w:val="auto"/>
                <w:szCs w:val="21"/>
                <w:lang w:val="en-US" w:eastAsia="zh-CN"/>
              </w:rPr>
              <w:t>废包装箱</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Cs w:val="21"/>
                <w:lang w:val="en-US" w:eastAsia="zh-CN"/>
              </w:rPr>
              <w:t>0.2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Cs w:val="21"/>
                <w:lang w:val="en-US" w:eastAsia="zh-CN"/>
              </w:rPr>
              <w:t>0.2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s="Times New Roman"/>
                <w:color w:val="auto"/>
                <w:szCs w:val="21"/>
                <w:lang w:val="en-US" w:eastAsia="zh-CN"/>
              </w:rPr>
              <w:t>废包装袋</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Cs w:val="21"/>
                <w:lang w:val="en-US" w:eastAsia="zh-CN"/>
              </w:rPr>
              <w:t>0.01</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Cs w:val="21"/>
                <w:lang w:val="en-US" w:eastAsia="zh-CN"/>
              </w:rPr>
              <w:t>0.01</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restart"/>
            <w:vAlign w:val="center"/>
          </w:tcPr>
          <w:p>
            <w:pPr>
              <w:adjustRightInd w:val="0"/>
              <w:snapToGrid w:val="0"/>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危险废物</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废机油</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0.15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0.15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0.15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rPr>
              <w:t>废切削液</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0.11</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0.11</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0.11</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29"/>
              <w:jc w:val="center"/>
              <w:rPr>
                <w:rFonts w:hint="default" w:ascii="Times New Roman" w:hAnsi="Times New Roman" w:eastAsia="宋体"/>
                <w:color w:val="auto"/>
                <w:sz w:val="21"/>
                <w:szCs w:val="21"/>
              </w:rPr>
            </w:pPr>
            <w:r>
              <w:rPr>
                <w:rFonts w:hint="default" w:ascii="Times New Roman" w:hAnsi="Times New Roman" w:cs="Times New Roman"/>
                <w:color w:val="auto"/>
                <w:sz w:val="21"/>
                <w:szCs w:val="21"/>
                <w:lang w:val="en-US" w:eastAsia="zh-CN"/>
              </w:rPr>
              <w:t>废活性炭</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8.665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4.2664</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4.2664</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-4.3986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29"/>
              <w:jc w:val="center"/>
              <w:rPr>
                <w:rFonts w:hint="default" w:ascii="Times New Roman" w:hAnsi="Times New Roman" w:eastAsia="宋体"/>
                <w:color w:val="auto"/>
                <w:sz w:val="21"/>
                <w:szCs w:val="21"/>
              </w:rPr>
            </w:pPr>
            <w:r>
              <w:rPr>
                <w:rFonts w:hint="default" w:ascii="Times New Roman" w:hAnsi="Times New Roman" w:cs="Times New Roman"/>
                <w:color w:val="auto"/>
                <w:sz w:val="21"/>
                <w:szCs w:val="21"/>
                <w:lang w:val="en-US" w:eastAsia="zh-CN"/>
              </w:rPr>
              <w:t>废聚氨酯预聚体</w:t>
            </w:r>
            <w:r>
              <w:rPr>
                <w:rFonts w:hint="eastAsia" w:cs="Times New Roman"/>
                <w:color w:val="auto"/>
                <w:sz w:val="21"/>
                <w:szCs w:val="21"/>
                <w:lang w:val="en-US" w:eastAsia="zh-CN"/>
              </w:rPr>
              <w:t>桶</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12.5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8.0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8.0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29"/>
              <w:jc w:val="center"/>
              <w:rPr>
                <w:rFonts w:hint="eastAsia" w:ascii="Times New Roman" w:hAnsi="Times New Roman" w:eastAsia="宋体"/>
                <w:color w:val="auto"/>
                <w:sz w:val="21"/>
                <w:szCs w:val="21"/>
                <w:lang w:eastAsia="zh-CN"/>
              </w:rPr>
            </w:pPr>
            <w:r>
              <w:rPr>
                <w:rFonts w:hint="default" w:ascii="Times New Roman" w:hAnsi="Times New Roman" w:cs="Times New Roman"/>
                <w:color w:val="auto"/>
                <w:sz w:val="21"/>
                <w:szCs w:val="21"/>
                <w:lang w:eastAsia="zh-CN"/>
              </w:rPr>
              <w:t>废机油桶</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29"/>
              <w:jc w:val="center"/>
              <w:rPr>
                <w:rFonts w:hint="eastAsia" w:ascii="Times New Roman" w:hAnsi="Times New Roman" w:eastAsia="宋体"/>
                <w:color w:val="auto"/>
                <w:sz w:val="21"/>
                <w:szCs w:val="21"/>
                <w:lang w:eastAsia="zh-CN"/>
              </w:rPr>
            </w:pPr>
            <w:r>
              <w:rPr>
                <w:rFonts w:hint="default" w:ascii="Times New Roman" w:hAnsi="Times New Roman" w:cs="Times New Roman"/>
                <w:color w:val="auto"/>
                <w:sz w:val="21"/>
                <w:szCs w:val="21"/>
                <w:lang w:eastAsia="zh-CN"/>
              </w:rPr>
              <w:t>废切削液桶</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pStyle w:val="29"/>
              <w:jc w:val="center"/>
              <w:rPr>
                <w:rFonts w:hint="eastAsia" w:ascii="Times New Roman" w:hAnsi="Times New Roman" w:eastAsia="宋体"/>
                <w:color w:val="auto"/>
                <w:sz w:val="21"/>
                <w:szCs w:val="21"/>
                <w:lang w:eastAsia="zh-CN"/>
              </w:rPr>
            </w:pPr>
            <w:r>
              <w:rPr>
                <w:rFonts w:hint="default" w:ascii="Times New Roman" w:hAnsi="Times New Roman" w:cs="Times New Roman"/>
                <w:color w:val="auto"/>
                <w:sz w:val="21"/>
                <w:szCs w:val="21"/>
                <w:lang w:eastAsia="zh-CN"/>
              </w:rPr>
              <w:t>废</w:t>
            </w:r>
            <w:r>
              <w:rPr>
                <w:rFonts w:hint="eastAsia" w:ascii="Times New Roman" w:hAnsi="Times New Roman" w:cs="Times New Roman"/>
                <w:color w:val="auto"/>
                <w:sz w:val="21"/>
                <w:szCs w:val="21"/>
                <w:lang w:eastAsia="zh-CN"/>
              </w:rPr>
              <w:t>清洗剂</w:t>
            </w:r>
            <w:r>
              <w:rPr>
                <w:rFonts w:hint="default" w:ascii="Times New Roman" w:hAnsi="Times New Roman" w:cs="Times New Roman"/>
                <w:color w:val="auto"/>
                <w:sz w:val="21"/>
                <w:szCs w:val="21"/>
                <w:lang w:eastAsia="zh-CN"/>
              </w:rPr>
              <w:t>桶</w:t>
            </w: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eastAsia" w:cs="Times New Roman"/>
                <w:color w:val="auto"/>
                <w:sz w:val="21"/>
                <w:szCs w:val="21"/>
                <w:lang w:val="en-US" w:eastAsia="zh-CN"/>
              </w:rPr>
              <w:t>0.01</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cs="Times New Roman"/>
                <w:color w:val="auto"/>
                <w:sz w:val="21"/>
                <w:szCs w:val="21"/>
                <w:lang w:val="en-US" w:eastAsia="zh-CN"/>
              </w:rPr>
              <w:t>1</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pStyle w:val="29"/>
              <w:jc w:val="center"/>
              <w:rPr>
                <w:rFonts w:hint="default" w:ascii="Times New Roman" w:hAnsi="Times New Roman" w:eastAsia="宋体"/>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cs="Times New Roman"/>
                <w:color w:val="auto"/>
                <w:sz w:val="21"/>
                <w:szCs w:val="21"/>
                <w:lang w:val="en-US" w:eastAsia="zh-CN"/>
              </w:rPr>
              <w:t>1</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7" w:type="dxa"/>
            <w:vMerge w:val="continue"/>
            <w:vAlign w:val="center"/>
          </w:tcPr>
          <w:p>
            <w:pPr>
              <w:adjustRightInd w:val="0"/>
              <w:snapToGrid w:val="0"/>
              <w:jc w:val="center"/>
              <w:rPr>
                <w:rFonts w:hint="default" w:ascii="Times New Roman" w:hAnsi="Times New Roman" w:eastAsia="宋体"/>
                <w:color w:val="auto"/>
                <w:sz w:val="21"/>
                <w:szCs w:val="21"/>
                <w:lang w:eastAsia="zh-CN"/>
              </w:rPr>
            </w:pPr>
          </w:p>
        </w:tc>
        <w:tc>
          <w:tcPr>
            <w:tcW w:w="1638" w:type="dxa"/>
            <w:vAlign w:val="center"/>
          </w:tcPr>
          <w:p>
            <w:pPr>
              <w:jc w:val="center"/>
              <w:rPr>
                <w:rFonts w:hint="eastAsia" w:ascii="Times New Roman" w:hAnsi="Times New Roman" w:eastAsia="宋体"/>
                <w:color w:val="auto"/>
                <w:sz w:val="21"/>
                <w:szCs w:val="21"/>
                <w:lang w:eastAsia="zh-CN"/>
              </w:rPr>
            </w:pPr>
            <w:r>
              <w:rPr>
                <w:rFonts w:hint="default" w:ascii="Times New Roman" w:hAnsi="Times New Roman" w:cs="Times New Roman"/>
                <w:color w:val="auto"/>
                <w:sz w:val="21"/>
                <w:szCs w:val="21"/>
                <w:lang w:val="en-US" w:eastAsia="zh-CN"/>
              </w:rPr>
              <w:t>废弃含油抹布、劳保用品</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7"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0.02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p>
        </w:tc>
        <w:tc>
          <w:tcPr>
            <w:tcW w:w="1638"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0.02</w:t>
            </w:r>
          </w:p>
        </w:tc>
        <w:tc>
          <w:tcPr>
            <w:tcW w:w="1638" w:type="dxa"/>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w:t>
            </w:r>
          </w:p>
        </w:tc>
      </w:tr>
    </w:tbl>
    <w:p>
      <w:pPr>
        <w:pStyle w:val="29"/>
        <w:rPr>
          <w:rFonts w:hint="default"/>
          <w:color w:val="auto"/>
          <w:sz w:val="24"/>
          <w:szCs w:val="24"/>
          <w:lang w:val="en-US" w:eastAsia="zh-CN"/>
        </w:rPr>
      </w:pPr>
      <w:r>
        <w:rPr>
          <w:rFonts w:hint="eastAsia"/>
          <w:b/>
          <w:bCs/>
          <w:color w:val="auto"/>
          <w:sz w:val="24"/>
          <w:szCs w:val="24"/>
          <w:lang w:val="en-US" w:eastAsia="zh-CN"/>
        </w:rPr>
        <w:t>注：</w:t>
      </w:r>
      <w:r>
        <w:rPr>
          <w:rFonts w:hint="eastAsia"/>
          <w:color w:val="auto"/>
          <w:sz w:val="24"/>
          <w:szCs w:val="24"/>
          <w:lang w:val="en-US" w:eastAsia="zh-CN"/>
        </w:rPr>
        <w:t>⑥=①+③+④-⑤；⑦=⑥-①</w:t>
      </w:r>
    </w:p>
    <w:sectPr>
      <w:footerReference r:id="rId5"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7FFAEFF" w:usb1="F9DFFFFF" w:usb2="0000007F" w:usb3="00000000" w:csb0="203F01FF" w:csb1="DFFF0000"/>
  </w:font>
  <w:font w:name="CIDFont + F3">
    <w:altName w:val="Segoe Print"/>
    <w:panose1 w:val="00000000000000000000"/>
    <w:charset w:val="00"/>
    <w:family w:val="auto"/>
    <w:pitch w:val="default"/>
    <w:sig w:usb0="00000000" w:usb1="00000000" w:usb2="00000000" w:usb3="00000000" w:csb0="00000000" w:csb1="00000000"/>
  </w:font>
  <w:font w:name="幼圆">
    <w:altName w:val="宋体"/>
    <w:panose1 w:val="0201050906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10"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default" w:ascii="Times New Roman" w:hAnsi="Times New Roman" w:cs="Times New Roman" w:eastAsiaTheme="minorEastAsia"/>
                              <w:lang w:eastAsia="zh-CN"/>
                            </w:rPr>
                          </w:pPr>
                          <w:r>
                            <w:rPr>
                              <w:rFonts w:hint="default" w:ascii="Times New Roman" w:hAnsi="Times New Roman" w:cs="Times New Roman"/>
                              <w:lang w:eastAsia="zh-CN"/>
                            </w:rPr>
                            <w:t xml:space="preserve">第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 共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NUMPAGES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107</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default" w:ascii="Times New Roman" w:hAnsi="Times New Roman" w:cs="Times New Roman" w:eastAsiaTheme="minorEastAsia"/>
                        <w:lang w:eastAsia="zh-CN"/>
                      </w:rPr>
                    </w:pPr>
                    <w:r>
                      <w:rPr>
                        <w:rFonts w:hint="default" w:ascii="Times New Roman" w:hAnsi="Times New Roman" w:cs="Times New Roman"/>
                        <w:lang w:eastAsia="zh-CN"/>
                      </w:rPr>
                      <w:t xml:space="preserve">第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 共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NUMPAGES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107</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default" w:ascii="Times New Roman" w:hAnsi="Times New Roman" w:cs="Times New Roman" w:eastAsiaTheme="minorEastAsia"/>
                              <w:lang w:eastAsia="zh-CN"/>
                            </w:rPr>
                          </w:pPr>
                          <w:r>
                            <w:rPr>
                              <w:rFonts w:hint="default" w:ascii="Times New Roman" w:hAnsi="Times New Roman" w:cs="Times New Roman"/>
                              <w:lang w:eastAsia="zh-CN"/>
                            </w:rPr>
                            <w:t xml:space="preserve">第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105</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 共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NUMPAGES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107</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8"/>
                      <w:rPr>
                        <w:rFonts w:hint="default" w:ascii="Times New Roman" w:hAnsi="Times New Roman" w:cs="Times New Roman" w:eastAsiaTheme="minorEastAsia"/>
                        <w:lang w:eastAsia="zh-CN"/>
                      </w:rPr>
                    </w:pPr>
                    <w:r>
                      <w:rPr>
                        <w:rFonts w:hint="default" w:ascii="Times New Roman" w:hAnsi="Times New Roman" w:cs="Times New Roman"/>
                        <w:lang w:eastAsia="zh-CN"/>
                      </w:rPr>
                      <w:t xml:space="preserve">第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105</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 共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NUMPAGES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107</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dotDash" w:color="auto" w:sz="4" w:space="1"/>
      </w:pBdr>
      <w:jc w:val="center"/>
      <w:rPr>
        <w:rFonts w:hint="eastAsia" w:ascii="Times New Roman" w:hAnsi="Times New Roman" w:cs="Times New Roman"/>
        <w:color w:val="auto"/>
        <w:sz w:val="15"/>
        <w:szCs w:val="15"/>
        <w:vertAlign w:val="baseline"/>
        <w:lang w:eastAsia="zh-CN"/>
      </w:rPr>
    </w:pPr>
    <w:r>
      <w:rPr>
        <w:rFonts w:hint="eastAsia" w:ascii="Times New Roman" w:hAnsi="Times New Roman" w:cs="Times New Roman"/>
        <w:color w:val="auto"/>
        <w:sz w:val="15"/>
        <w:szCs w:val="15"/>
        <w:vertAlign w:val="baseline"/>
        <w:lang w:eastAsia="zh-CN"/>
      </w:rPr>
      <w:t>安徽戈巴迪智能装备股份有限公司年产500套矿山电厂环保降尘设备6000台矿山皮带输送类配套设备项目（重新报批）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D6DF5B"/>
    <w:multiLevelType w:val="singleLevel"/>
    <w:tmpl w:val="D9D6DF5B"/>
    <w:lvl w:ilvl="0" w:tentative="0">
      <w:start w:val="1"/>
      <w:numFmt w:val="bullet"/>
      <w:pStyle w:val="16"/>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3MTI4Y2I1ZjIyZTMyYTRhNjY0ZmEyYzAyOTdhYjUifQ=="/>
  </w:docVars>
  <w:rsids>
    <w:rsidRoot w:val="0F1A74E1"/>
    <w:rsid w:val="00001A32"/>
    <w:rsid w:val="00010D86"/>
    <w:rsid w:val="00013654"/>
    <w:rsid w:val="00043144"/>
    <w:rsid w:val="000950EB"/>
    <w:rsid w:val="00097F13"/>
    <w:rsid w:val="000B3D97"/>
    <w:rsid w:val="000B6281"/>
    <w:rsid w:val="000D1316"/>
    <w:rsid w:val="000E7B1F"/>
    <w:rsid w:val="001247F5"/>
    <w:rsid w:val="00143372"/>
    <w:rsid w:val="001434CE"/>
    <w:rsid w:val="00144231"/>
    <w:rsid w:val="001657AA"/>
    <w:rsid w:val="001B223C"/>
    <w:rsid w:val="001F0CE1"/>
    <w:rsid w:val="00215723"/>
    <w:rsid w:val="00225C49"/>
    <w:rsid w:val="002770BA"/>
    <w:rsid w:val="00285CFE"/>
    <w:rsid w:val="002B06D1"/>
    <w:rsid w:val="002C1113"/>
    <w:rsid w:val="002C74CA"/>
    <w:rsid w:val="002E1F6F"/>
    <w:rsid w:val="002E4C72"/>
    <w:rsid w:val="002E7931"/>
    <w:rsid w:val="00300D6E"/>
    <w:rsid w:val="00305CE7"/>
    <w:rsid w:val="00310A92"/>
    <w:rsid w:val="00337586"/>
    <w:rsid w:val="00344825"/>
    <w:rsid w:val="003550AC"/>
    <w:rsid w:val="003577A2"/>
    <w:rsid w:val="00380314"/>
    <w:rsid w:val="003B0418"/>
    <w:rsid w:val="003C13E0"/>
    <w:rsid w:val="003F6DE6"/>
    <w:rsid w:val="00441793"/>
    <w:rsid w:val="00464A9B"/>
    <w:rsid w:val="00473031"/>
    <w:rsid w:val="00490B57"/>
    <w:rsid w:val="00496DA9"/>
    <w:rsid w:val="004970DF"/>
    <w:rsid w:val="004C5468"/>
    <w:rsid w:val="004D6899"/>
    <w:rsid w:val="004E0863"/>
    <w:rsid w:val="004F2B5E"/>
    <w:rsid w:val="00512438"/>
    <w:rsid w:val="005253B5"/>
    <w:rsid w:val="00537C28"/>
    <w:rsid w:val="00561CAE"/>
    <w:rsid w:val="0057487F"/>
    <w:rsid w:val="005755DD"/>
    <w:rsid w:val="005917D3"/>
    <w:rsid w:val="005B1D90"/>
    <w:rsid w:val="005F6A37"/>
    <w:rsid w:val="00600B25"/>
    <w:rsid w:val="006060E4"/>
    <w:rsid w:val="00612345"/>
    <w:rsid w:val="00615EA1"/>
    <w:rsid w:val="0066795B"/>
    <w:rsid w:val="006A4F4D"/>
    <w:rsid w:val="006D6F3B"/>
    <w:rsid w:val="00704336"/>
    <w:rsid w:val="00756AF7"/>
    <w:rsid w:val="00773916"/>
    <w:rsid w:val="007B2E8B"/>
    <w:rsid w:val="007C5C79"/>
    <w:rsid w:val="007C717F"/>
    <w:rsid w:val="007E18FF"/>
    <w:rsid w:val="007E753E"/>
    <w:rsid w:val="00807108"/>
    <w:rsid w:val="00836410"/>
    <w:rsid w:val="00863B59"/>
    <w:rsid w:val="008743B2"/>
    <w:rsid w:val="00881383"/>
    <w:rsid w:val="00886609"/>
    <w:rsid w:val="00890D34"/>
    <w:rsid w:val="00893649"/>
    <w:rsid w:val="008B05E3"/>
    <w:rsid w:val="008D4EE8"/>
    <w:rsid w:val="00917F14"/>
    <w:rsid w:val="009225FB"/>
    <w:rsid w:val="00942479"/>
    <w:rsid w:val="009658BE"/>
    <w:rsid w:val="009873F8"/>
    <w:rsid w:val="009A13B3"/>
    <w:rsid w:val="009A499C"/>
    <w:rsid w:val="009A55B2"/>
    <w:rsid w:val="009D3880"/>
    <w:rsid w:val="009F4C1B"/>
    <w:rsid w:val="00A00AC0"/>
    <w:rsid w:val="00A0348C"/>
    <w:rsid w:val="00A12741"/>
    <w:rsid w:val="00A30596"/>
    <w:rsid w:val="00A364B9"/>
    <w:rsid w:val="00A52871"/>
    <w:rsid w:val="00A65FA9"/>
    <w:rsid w:val="00A9133B"/>
    <w:rsid w:val="00AA28B0"/>
    <w:rsid w:val="00AA3CEC"/>
    <w:rsid w:val="00AA7254"/>
    <w:rsid w:val="00AB1FF2"/>
    <w:rsid w:val="00AC6E0E"/>
    <w:rsid w:val="00AD619A"/>
    <w:rsid w:val="00AE238E"/>
    <w:rsid w:val="00AE30B0"/>
    <w:rsid w:val="00B10357"/>
    <w:rsid w:val="00B14ED6"/>
    <w:rsid w:val="00B22ED5"/>
    <w:rsid w:val="00B414A1"/>
    <w:rsid w:val="00B503C6"/>
    <w:rsid w:val="00B52690"/>
    <w:rsid w:val="00B561ED"/>
    <w:rsid w:val="00B61D2A"/>
    <w:rsid w:val="00B61E8C"/>
    <w:rsid w:val="00B832B0"/>
    <w:rsid w:val="00B87999"/>
    <w:rsid w:val="00B95CDD"/>
    <w:rsid w:val="00BE32F3"/>
    <w:rsid w:val="00BF706B"/>
    <w:rsid w:val="00C04AD4"/>
    <w:rsid w:val="00C11035"/>
    <w:rsid w:val="00C13CC8"/>
    <w:rsid w:val="00C228D2"/>
    <w:rsid w:val="00C248EE"/>
    <w:rsid w:val="00C34089"/>
    <w:rsid w:val="00C530D9"/>
    <w:rsid w:val="00C5632D"/>
    <w:rsid w:val="00C627DB"/>
    <w:rsid w:val="00C827E2"/>
    <w:rsid w:val="00CB51BD"/>
    <w:rsid w:val="00CD5961"/>
    <w:rsid w:val="00D05525"/>
    <w:rsid w:val="00D16818"/>
    <w:rsid w:val="00D27639"/>
    <w:rsid w:val="00D348C5"/>
    <w:rsid w:val="00D5688F"/>
    <w:rsid w:val="00D72607"/>
    <w:rsid w:val="00DB3F8E"/>
    <w:rsid w:val="00DD75D2"/>
    <w:rsid w:val="00DE0A62"/>
    <w:rsid w:val="00DF3BEE"/>
    <w:rsid w:val="00E0770D"/>
    <w:rsid w:val="00E50935"/>
    <w:rsid w:val="00E57BE9"/>
    <w:rsid w:val="00E74B4B"/>
    <w:rsid w:val="00E865C2"/>
    <w:rsid w:val="00E90C66"/>
    <w:rsid w:val="00E97FBA"/>
    <w:rsid w:val="00EA058C"/>
    <w:rsid w:val="00EC5C36"/>
    <w:rsid w:val="00ED1E2A"/>
    <w:rsid w:val="00ED4EB3"/>
    <w:rsid w:val="00ED5986"/>
    <w:rsid w:val="00EF0AC6"/>
    <w:rsid w:val="00EF7950"/>
    <w:rsid w:val="00F0443D"/>
    <w:rsid w:val="00F1191B"/>
    <w:rsid w:val="00F46D14"/>
    <w:rsid w:val="00F66F31"/>
    <w:rsid w:val="00F907CF"/>
    <w:rsid w:val="00F96DAA"/>
    <w:rsid w:val="00FC2BA6"/>
    <w:rsid w:val="00FC3E1B"/>
    <w:rsid w:val="00FD2DFF"/>
    <w:rsid w:val="00FD4DE1"/>
    <w:rsid w:val="00FE1942"/>
    <w:rsid w:val="01042CD0"/>
    <w:rsid w:val="0104655C"/>
    <w:rsid w:val="01050F22"/>
    <w:rsid w:val="01075E28"/>
    <w:rsid w:val="01094AD7"/>
    <w:rsid w:val="010B2E65"/>
    <w:rsid w:val="010B6C42"/>
    <w:rsid w:val="010B7A7E"/>
    <w:rsid w:val="010C0502"/>
    <w:rsid w:val="010C5220"/>
    <w:rsid w:val="010D6029"/>
    <w:rsid w:val="01127C76"/>
    <w:rsid w:val="01160D24"/>
    <w:rsid w:val="0116312F"/>
    <w:rsid w:val="011776BC"/>
    <w:rsid w:val="01193A2F"/>
    <w:rsid w:val="011A24F4"/>
    <w:rsid w:val="011A4D50"/>
    <w:rsid w:val="011B47F8"/>
    <w:rsid w:val="011C44BE"/>
    <w:rsid w:val="011D265D"/>
    <w:rsid w:val="011D61A5"/>
    <w:rsid w:val="01203FAE"/>
    <w:rsid w:val="01207B0A"/>
    <w:rsid w:val="01213B43"/>
    <w:rsid w:val="01223935"/>
    <w:rsid w:val="01230922"/>
    <w:rsid w:val="01241D66"/>
    <w:rsid w:val="012624FA"/>
    <w:rsid w:val="0128294E"/>
    <w:rsid w:val="01282E62"/>
    <w:rsid w:val="01286F2C"/>
    <w:rsid w:val="012C6BA1"/>
    <w:rsid w:val="012F416B"/>
    <w:rsid w:val="01301DA6"/>
    <w:rsid w:val="01303AC5"/>
    <w:rsid w:val="013101B5"/>
    <w:rsid w:val="01341807"/>
    <w:rsid w:val="01342B1B"/>
    <w:rsid w:val="013438C9"/>
    <w:rsid w:val="01374E54"/>
    <w:rsid w:val="01390BCC"/>
    <w:rsid w:val="01391D3C"/>
    <w:rsid w:val="01395070"/>
    <w:rsid w:val="013A06CB"/>
    <w:rsid w:val="013C06BC"/>
    <w:rsid w:val="013E485F"/>
    <w:rsid w:val="01404FFF"/>
    <w:rsid w:val="01415CD2"/>
    <w:rsid w:val="0143002D"/>
    <w:rsid w:val="01435AC5"/>
    <w:rsid w:val="0144634A"/>
    <w:rsid w:val="01452E60"/>
    <w:rsid w:val="01455AEC"/>
    <w:rsid w:val="01471C6C"/>
    <w:rsid w:val="01475D3C"/>
    <w:rsid w:val="014B08FF"/>
    <w:rsid w:val="014C0627"/>
    <w:rsid w:val="014D0B1B"/>
    <w:rsid w:val="014F4180"/>
    <w:rsid w:val="015123B9"/>
    <w:rsid w:val="01516B4A"/>
    <w:rsid w:val="015242C0"/>
    <w:rsid w:val="01527C8C"/>
    <w:rsid w:val="01534385"/>
    <w:rsid w:val="01553765"/>
    <w:rsid w:val="01562CE7"/>
    <w:rsid w:val="0159301C"/>
    <w:rsid w:val="0160084E"/>
    <w:rsid w:val="01607F94"/>
    <w:rsid w:val="01610878"/>
    <w:rsid w:val="01610EEE"/>
    <w:rsid w:val="01620AC6"/>
    <w:rsid w:val="01637D30"/>
    <w:rsid w:val="01640BBE"/>
    <w:rsid w:val="01650689"/>
    <w:rsid w:val="01673EBF"/>
    <w:rsid w:val="01680176"/>
    <w:rsid w:val="016A347B"/>
    <w:rsid w:val="016F283F"/>
    <w:rsid w:val="017240DE"/>
    <w:rsid w:val="01751AD8"/>
    <w:rsid w:val="017878EF"/>
    <w:rsid w:val="017B11E4"/>
    <w:rsid w:val="017E0DD8"/>
    <w:rsid w:val="01802C9E"/>
    <w:rsid w:val="018104CB"/>
    <w:rsid w:val="0182460A"/>
    <w:rsid w:val="01833C35"/>
    <w:rsid w:val="01842867"/>
    <w:rsid w:val="018502B5"/>
    <w:rsid w:val="01855436"/>
    <w:rsid w:val="018C0202"/>
    <w:rsid w:val="018D0F17"/>
    <w:rsid w:val="018E0D25"/>
    <w:rsid w:val="018E53BB"/>
    <w:rsid w:val="018F6A3E"/>
    <w:rsid w:val="01912CEF"/>
    <w:rsid w:val="01924994"/>
    <w:rsid w:val="0192642E"/>
    <w:rsid w:val="01926FA1"/>
    <w:rsid w:val="01934731"/>
    <w:rsid w:val="01934780"/>
    <w:rsid w:val="01964ADD"/>
    <w:rsid w:val="0196601E"/>
    <w:rsid w:val="01985BC2"/>
    <w:rsid w:val="01993D60"/>
    <w:rsid w:val="01995B0E"/>
    <w:rsid w:val="019A04BE"/>
    <w:rsid w:val="019A3AB2"/>
    <w:rsid w:val="019B7612"/>
    <w:rsid w:val="019E31A2"/>
    <w:rsid w:val="019E7250"/>
    <w:rsid w:val="019F1377"/>
    <w:rsid w:val="019F1C1B"/>
    <w:rsid w:val="01A07A9B"/>
    <w:rsid w:val="01A434DA"/>
    <w:rsid w:val="01A4698D"/>
    <w:rsid w:val="01A544B3"/>
    <w:rsid w:val="01A7278B"/>
    <w:rsid w:val="01A73E39"/>
    <w:rsid w:val="01A7595E"/>
    <w:rsid w:val="01A76C28"/>
    <w:rsid w:val="01A842C5"/>
    <w:rsid w:val="01A9669A"/>
    <w:rsid w:val="01AA3FFB"/>
    <w:rsid w:val="01AC5842"/>
    <w:rsid w:val="01AF70E0"/>
    <w:rsid w:val="01B064CA"/>
    <w:rsid w:val="01B12E58"/>
    <w:rsid w:val="01B25157"/>
    <w:rsid w:val="01B446F6"/>
    <w:rsid w:val="01B52838"/>
    <w:rsid w:val="01B82438"/>
    <w:rsid w:val="01B87AD2"/>
    <w:rsid w:val="01BA1191"/>
    <w:rsid w:val="01BA4EE0"/>
    <w:rsid w:val="01C0309B"/>
    <w:rsid w:val="01C22EC9"/>
    <w:rsid w:val="01C347D9"/>
    <w:rsid w:val="01C56903"/>
    <w:rsid w:val="01CF6808"/>
    <w:rsid w:val="01D04E7B"/>
    <w:rsid w:val="01D63896"/>
    <w:rsid w:val="01D803E5"/>
    <w:rsid w:val="01D830EC"/>
    <w:rsid w:val="01DA5E9C"/>
    <w:rsid w:val="01DB1F7B"/>
    <w:rsid w:val="01DD59FB"/>
    <w:rsid w:val="01DE1773"/>
    <w:rsid w:val="01E07299"/>
    <w:rsid w:val="01E27B92"/>
    <w:rsid w:val="01E43525"/>
    <w:rsid w:val="01E46F63"/>
    <w:rsid w:val="01E66C7D"/>
    <w:rsid w:val="01E90844"/>
    <w:rsid w:val="01EB6E21"/>
    <w:rsid w:val="01F03350"/>
    <w:rsid w:val="01F16648"/>
    <w:rsid w:val="01F339D5"/>
    <w:rsid w:val="01F3521E"/>
    <w:rsid w:val="01F5741D"/>
    <w:rsid w:val="01F77461"/>
    <w:rsid w:val="01F94D45"/>
    <w:rsid w:val="01F976FC"/>
    <w:rsid w:val="01F97C2C"/>
    <w:rsid w:val="01FA184C"/>
    <w:rsid w:val="01FB228C"/>
    <w:rsid w:val="01FB7154"/>
    <w:rsid w:val="01FD0A4D"/>
    <w:rsid w:val="01FD2F18"/>
    <w:rsid w:val="01FE16D0"/>
    <w:rsid w:val="01FE433E"/>
    <w:rsid w:val="020058B7"/>
    <w:rsid w:val="02026FF4"/>
    <w:rsid w:val="02042614"/>
    <w:rsid w:val="02051AE6"/>
    <w:rsid w:val="020B07BA"/>
    <w:rsid w:val="020C0A95"/>
    <w:rsid w:val="020D3558"/>
    <w:rsid w:val="020D57B6"/>
    <w:rsid w:val="020E3E06"/>
    <w:rsid w:val="020F28AF"/>
    <w:rsid w:val="020F7B7E"/>
    <w:rsid w:val="02121FCC"/>
    <w:rsid w:val="02144A93"/>
    <w:rsid w:val="02151016"/>
    <w:rsid w:val="02165579"/>
    <w:rsid w:val="021908D4"/>
    <w:rsid w:val="021A332F"/>
    <w:rsid w:val="021A64FB"/>
    <w:rsid w:val="021A6C4F"/>
    <w:rsid w:val="021E6547"/>
    <w:rsid w:val="0227136C"/>
    <w:rsid w:val="02274EC8"/>
    <w:rsid w:val="022A26A7"/>
    <w:rsid w:val="022B0E5C"/>
    <w:rsid w:val="022B2C0A"/>
    <w:rsid w:val="022C0730"/>
    <w:rsid w:val="022C24DE"/>
    <w:rsid w:val="022D2771"/>
    <w:rsid w:val="022E68FE"/>
    <w:rsid w:val="022F40C5"/>
    <w:rsid w:val="023029FC"/>
    <w:rsid w:val="02317AF5"/>
    <w:rsid w:val="02322A0C"/>
    <w:rsid w:val="023318AB"/>
    <w:rsid w:val="02345383"/>
    <w:rsid w:val="02345425"/>
    <w:rsid w:val="02355837"/>
    <w:rsid w:val="0236335D"/>
    <w:rsid w:val="023748EE"/>
    <w:rsid w:val="023870D5"/>
    <w:rsid w:val="02391BF0"/>
    <w:rsid w:val="02407D5C"/>
    <w:rsid w:val="02441F1E"/>
    <w:rsid w:val="0247556A"/>
    <w:rsid w:val="024837DC"/>
    <w:rsid w:val="024C6CD9"/>
    <w:rsid w:val="024E516F"/>
    <w:rsid w:val="024E71FD"/>
    <w:rsid w:val="024E73C1"/>
    <w:rsid w:val="024F720F"/>
    <w:rsid w:val="0250441F"/>
    <w:rsid w:val="02514EF6"/>
    <w:rsid w:val="0252120C"/>
    <w:rsid w:val="02556DD5"/>
    <w:rsid w:val="025674A6"/>
    <w:rsid w:val="02581684"/>
    <w:rsid w:val="0258289F"/>
    <w:rsid w:val="025832D3"/>
    <w:rsid w:val="02591C4C"/>
    <w:rsid w:val="02593657"/>
    <w:rsid w:val="025B2DC4"/>
    <w:rsid w:val="025C23FB"/>
    <w:rsid w:val="025C7268"/>
    <w:rsid w:val="025E5A02"/>
    <w:rsid w:val="026003DA"/>
    <w:rsid w:val="02603BB4"/>
    <w:rsid w:val="026142D1"/>
    <w:rsid w:val="0261662C"/>
    <w:rsid w:val="02624152"/>
    <w:rsid w:val="026259A2"/>
    <w:rsid w:val="02635FE6"/>
    <w:rsid w:val="0266577D"/>
    <w:rsid w:val="02665C24"/>
    <w:rsid w:val="026737D7"/>
    <w:rsid w:val="026B16A9"/>
    <w:rsid w:val="026C678D"/>
    <w:rsid w:val="0270061D"/>
    <w:rsid w:val="02700D57"/>
    <w:rsid w:val="02702C5C"/>
    <w:rsid w:val="02702D13"/>
    <w:rsid w:val="0273010D"/>
    <w:rsid w:val="02736F3F"/>
    <w:rsid w:val="02757D86"/>
    <w:rsid w:val="02764B21"/>
    <w:rsid w:val="027663DB"/>
    <w:rsid w:val="027844DC"/>
    <w:rsid w:val="02785724"/>
    <w:rsid w:val="02796A74"/>
    <w:rsid w:val="027C16B8"/>
    <w:rsid w:val="027E45E3"/>
    <w:rsid w:val="027F2F56"/>
    <w:rsid w:val="027F3841"/>
    <w:rsid w:val="02810F2D"/>
    <w:rsid w:val="02812582"/>
    <w:rsid w:val="02817ABE"/>
    <w:rsid w:val="02873BB9"/>
    <w:rsid w:val="028916DF"/>
    <w:rsid w:val="02897931"/>
    <w:rsid w:val="028A0E54"/>
    <w:rsid w:val="028D5673"/>
    <w:rsid w:val="028E13EB"/>
    <w:rsid w:val="02900CBF"/>
    <w:rsid w:val="029434E3"/>
    <w:rsid w:val="029522B3"/>
    <w:rsid w:val="029562D6"/>
    <w:rsid w:val="02993083"/>
    <w:rsid w:val="02997D7A"/>
    <w:rsid w:val="029A653C"/>
    <w:rsid w:val="029C1412"/>
    <w:rsid w:val="029D37D0"/>
    <w:rsid w:val="029F0F02"/>
    <w:rsid w:val="02A12ECC"/>
    <w:rsid w:val="02A227A1"/>
    <w:rsid w:val="02A429BD"/>
    <w:rsid w:val="02A61BC0"/>
    <w:rsid w:val="02A876AF"/>
    <w:rsid w:val="02A97FD3"/>
    <w:rsid w:val="02AB4AF3"/>
    <w:rsid w:val="02AB78A7"/>
    <w:rsid w:val="02AD361F"/>
    <w:rsid w:val="02AE5D6F"/>
    <w:rsid w:val="02B24C4B"/>
    <w:rsid w:val="02B250A0"/>
    <w:rsid w:val="02BA3F8E"/>
    <w:rsid w:val="02BE55E2"/>
    <w:rsid w:val="02BF4D9E"/>
    <w:rsid w:val="02C170CB"/>
    <w:rsid w:val="02C32E43"/>
    <w:rsid w:val="02C86101"/>
    <w:rsid w:val="02C92423"/>
    <w:rsid w:val="02CA1633"/>
    <w:rsid w:val="02CC6723"/>
    <w:rsid w:val="02CE57FC"/>
    <w:rsid w:val="02CF7A3A"/>
    <w:rsid w:val="02D11BD4"/>
    <w:rsid w:val="02D26AA1"/>
    <w:rsid w:val="02D54187"/>
    <w:rsid w:val="02D63692"/>
    <w:rsid w:val="02D864E7"/>
    <w:rsid w:val="02DC5CB3"/>
    <w:rsid w:val="02DE2EF8"/>
    <w:rsid w:val="02E132C9"/>
    <w:rsid w:val="02E13A27"/>
    <w:rsid w:val="02E1776D"/>
    <w:rsid w:val="02E26B72"/>
    <w:rsid w:val="02E60547"/>
    <w:rsid w:val="02E613D9"/>
    <w:rsid w:val="02E66B31"/>
    <w:rsid w:val="02E73D73"/>
    <w:rsid w:val="02E83FAA"/>
    <w:rsid w:val="02EA34E4"/>
    <w:rsid w:val="02EA4873"/>
    <w:rsid w:val="02EB4148"/>
    <w:rsid w:val="02EB7FA4"/>
    <w:rsid w:val="02EC4D8A"/>
    <w:rsid w:val="02EE578C"/>
    <w:rsid w:val="02EF12AC"/>
    <w:rsid w:val="02F327FE"/>
    <w:rsid w:val="02F46278"/>
    <w:rsid w:val="02F56B52"/>
    <w:rsid w:val="02F57CEF"/>
    <w:rsid w:val="02F94AB6"/>
    <w:rsid w:val="02FA082F"/>
    <w:rsid w:val="02FB4D0D"/>
    <w:rsid w:val="02FC551B"/>
    <w:rsid w:val="02FF6C5F"/>
    <w:rsid w:val="03032814"/>
    <w:rsid w:val="030502FC"/>
    <w:rsid w:val="03062D2F"/>
    <w:rsid w:val="030825EA"/>
    <w:rsid w:val="03084CFA"/>
    <w:rsid w:val="03092820"/>
    <w:rsid w:val="030A5EB4"/>
    <w:rsid w:val="030B2604"/>
    <w:rsid w:val="030B47EA"/>
    <w:rsid w:val="030B7344"/>
    <w:rsid w:val="03123187"/>
    <w:rsid w:val="03127217"/>
    <w:rsid w:val="031418F0"/>
    <w:rsid w:val="03185937"/>
    <w:rsid w:val="031A03D3"/>
    <w:rsid w:val="031E167E"/>
    <w:rsid w:val="03200295"/>
    <w:rsid w:val="03217B69"/>
    <w:rsid w:val="03232B43"/>
    <w:rsid w:val="032816F5"/>
    <w:rsid w:val="032929D3"/>
    <w:rsid w:val="032A1207"/>
    <w:rsid w:val="032A2EC2"/>
    <w:rsid w:val="032E3CF9"/>
    <w:rsid w:val="032E77FB"/>
    <w:rsid w:val="032F4D4A"/>
    <w:rsid w:val="03301255"/>
    <w:rsid w:val="03301E6E"/>
    <w:rsid w:val="033124A2"/>
    <w:rsid w:val="03327FC8"/>
    <w:rsid w:val="03351867"/>
    <w:rsid w:val="03393105"/>
    <w:rsid w:val="033B6E7D"/>
    <w:rsid w:val="033C0E47"/>
    <w:rsid w:val="033E390B"/>
    <w:rsid w:val="03430C16"/>
    <w:rsid w:val="034649C6"/>
    <w:rsid w:val="034675D0"/>
    <w:rsid w:val="03472322"/>
    <w:rsid w:val="034965A1"/>
    <w:rsid w:val="034971A5"/>
    <w:rsid w:val="034C43E3"/>
    <w:rsid w:val="03501AE0"/>
    <w:rsid w:val="03507512"/>
    <w:rsid w:val="03547671"/>
    <w:rsid w:val="035517D5"/>
    <w:rsid w:val="03553EE4"/>
    <w:rsid w:val="03566197"/>
    <w:rsid w:val="03577A2F"/>
    <w:rsid w:val="0359601B"/>
    <w:rsid w:val="035B12CD"/>
    <w:rsid w:val="035D78B3"/>
    <w:rsid w:val="035E5C94"/>
    <w:rsid w:val="036068E4"/>
    <w:rsid w:val="03653D6D"/>
    <w:rsid w:val="03655CA8"/>
    <w:rsid w:val="03663A8A"/>
    <w:rsid w:val="03676684"/>
    <w:rsid w:val="03681C3C"/>
    <w:rsid w:val="036A6BCD"/>
    <w:rsid w:val="036B7036"/>
    <w:rsid w:val="0371289F"/>
    <w:rsid w:val="037307C2"/>
    <w:rsid w:val="037372D8"/>
    <w:rsid w:val="037405E1"/>
    <w:rsid w:val="03754DBB"/>
    <w:rsid w:val="03760668"/>
    <w:rsid w:val="03766107"/>
    <w:rsid w:val="03767EB5"/>
    <w:rsid w:val="037B00CE"/>
    <w:rsid w:val="037B54CB"/>
    <w:rsid w:val="037D56E7"/>
    <w:rsid w:val="037E320E"/>
    <w:rsid w:val="037F684F"/>
    <w:rsid w:val="03810F39"/>
    <w:rsid w:val="0381685A"/>
    <w:rsid w:val="03824AAC"/>
    <w:rsid w:val="038720C2"/>
    <w:rsid w:val="038C76D9"/>
    <w:rsid w:val="038D1CCC"/>
    <w:rsid w:val="038E44A6"/>
    <w:rsid w:val="03904403"/>
    <w:rsid w:val="03906A9D"/>
    <w:rsid w:val="039175D2"/>
    <w:rsid w:val="03920A67"/>
    <w:rsid w:val="0393335C"/>
    <w:rsid w:val="03941FF6"/>
    <w:rsid w:val="03942A31"/>
    <w:rsid w:val="0394445D"/>
    <w:rsid w:val="039449AF"/>
    <w:rsid w:val="039467C7"/>
    <w:rsid w:val="03960557"/>
    <w:rsid w:val="039741DC"/>
    <w:rsid w:val="0397775C"/>
    <w:rsid w:val="039B6582"/>
    <w:rsid w:val="03A367D0"/>
    <w:rsid w:val="03A60534"/>
    <w:rsid w:val="03A61A43"/>
    <w:rsid w:val="03A72764"/>
    <w:rsid w:val="03A92091"/>
    <w:rsid w:val="03AA2FE2"/>
    <w:rsid w:val="03AA7192"/>
    <w:rsid w:val="03AB48B4"/>
    <w:rsid w:val="03AB76DF"/>
    <w:rsid w:val="03AD58A1"/>
    <w:rsid w:val="03AD764F"/>
    <w:rsid w:val="03B125B6"/>
    <w:rsid w:val="03B17D9E"/>
    <w:rsid w:val="03B210EB"/>
    <w:rsid w:val="03B2335B"/>
    <w:rsid w:val="03B46C2F"/>
    <w:rsid w:val="03B701D5"/>
    <w:rsid w:val="03B82117"/>
    <w:rsid w:val="03BC352F"/>
    <w:rsid w:val="03BD3D36"/>
    <w:rsid w:val="03BE7AAE"/>
    <w:rsid w:val="03C07382"/>
    <w:rsid w:val="03C55996"/>
    <w:rsid w:val="03C65A75"/>
    <w:rsid w:val="03C71916"/>
    <w:rsid w:val="03C775CF"/>
    <w:rsid w:val="03C86237"/>
    <w:rsid w:val="03CB1CCE"/>
    <w:rsid w:val="03CC3F79"/>
    <w:rsid w:val="03CE26ED"/>
    <w:rsid w:val="03CF5817"/>
    <w:rsid w:val="03CF75C5"/>
    <w:rsid w:val="03D42E2E"/>
    <w:rsid w:val="03D746CC"/>
    <w:rsid w:val="03DA51CD"/>
    <w:rsid w:val="03DA5C82"/>
    <w:rsid w:val="03DC7E7F"/>
    <w:rsid w:val="03DD04B0"/>
    <w:rsid w:val="03DD4B8B"/>
    <w:rsid w:val="03DE4CF1"/>
    <w:rsid w:val="03DE5572"/>
    <w:rsid w:val="03DE7F1E"/>
    <w:rsid w:val="03E2021C"/>
    <w:rsid w:val="03E219EE"/>
    <w:rsid w:val="03E2379C"/>
    <w:rsid w:val="03E47515"/>
    <w:rsid w:val="03E5778C"/>
    <w:rsid w:val="03EA6562"/>
    <w:rsid w:val="03EA66E6"/>
    <w:rsid w:val="03EB2744"/>
    <w:rsid w:val="03F2770B"/>
    <w:rsid w:val="03F35447"/>
    <w:rsid w:val="03F67248"/>
    <w:rsid w:val="03F870DC"/>
    <w:rsid w:val="03FC771D"/>
    <w:rsid w:val="04002FD7"/>
    <w:rsid w:val="04014D41"/>
    <w:rsid w:val="040177F9"/>
    <w:rsid w:val="04043594"/>
    <w:rsid w:val="04073203"/>
    <w:rsid w:val="040A30FF"/>
    <w:rsid w:val="040A3239"/>
    <w:rsid w:val="040D3CAC"/>
    <w:rsid w:val="040D4871"/>
    <w:rsid w:val="040F5AE1"/>
    <w:rsid w:val="04107CBF"/>
    <w:rsid w:val="041358F2"/>
    <w:rsid w:val="0415724F"/>
    <w:rsid w:val="04163446"/>
    <w:rsid w:val="041651F4"/>
    <w:rsid w:val="04177352"/>
    <w:rsid w:val="041B0C92"/>
    <w:rsid w:val="041B0FFD"/>
    <w:rsid w:val="041B1889"/>
    <w:rsid w:val="041B280B"/>
    <w:rsid w:val="041E2A05"/>
    <w:rsid w:val="041E5ACA"/>
    <w:rsid w:val="04201204"/>
    <w:rsid w:val="0420348C"/>
    <w:rsid w:val="04206136"/>
    <w:rsid w:val="04207454"/>
    <w:rsid w:val="04221DEB"/>
    <w:rsid w:val="04223B99"/>
    <w:rsid w:val="04242FC7"/>
    <w:rsid w:val="04243DB5"/>
    <w:rsid w:val="042876D4"/>
    <w:rsid w:val="042A6EF2"/>
    <w:rsid w:val="042F1191"/>
    <w:rsid w:val="042F62B6"/>
    <w:rsid w:val="043206E5"/>
    <w:rsid w:val="0433224A"/>
    <w:rsid w:val="0433379B"/>
    <w:rsid w:val="04340AAA"/>
    <w:rsid w:val="04374FD5"/>
    <w:rsid w:val="043B150F"/>
    <w:rsid w:val="043B18E1"/>
    <w:rsid w:val="043B2EAD"/>
    <w:rsid w:val="043C4889"/>
    <w:rsid w:val="043D4E77"/>
    <w:rsid w:val="043F08EC"/>
    <w:rsid w:val="043F7C53"/>
    <w:rsid w:val="04453DFD"/>
    <w:rsid w:val="04473600"/>
    <w:rsid w:val="044A617F"/>
    <w:rsid w:val="044B1342"/>
    <w:rsid w:val="044C7929"/>
    <w:rsid w:val="044E5A9E"/>
    <w:rsid w:val="044F07A2"/>
    <w:rsid w:val="045005C0"/>
    <w:rsid w:val="04510922"/>
    <w:rsid w:val="0451520A"/>
    <w:rsid w:val="045201B4"/>
    <w:rsid w:val="04520533"/>
    <w:rsid w:val="04520F71"/>
    <w:rsid w:val="045350F9"/>
    <w:rsid w:val="0454474C"/>
    <w:rsid w:val="045551D3"/>
    <w:rsid w:val="04561706"/>
    <w:rsid w:val="045D12A3"/>
    <w:rsid w:val="045F303F"/>
    <w:rsid w:val="04605DFC"/>
    <w:rsid w:val="04633D16"/>
    <w:rsid w:val="04640655"/>
    <w:rsid w:val="04695C6C"/>
    <w:rsid w:val="046B451C"/>
    <w:rsid w:val="046C62EE"/>
    <w:rsid w:val="046C6DEA"/>
    <w:rsid w:val="046E43CA"/>
    <w:rsid w:val="04714B20"/>
    <w:rsid w:val="04727855"/>
    <w:rsid w:val="047343F5"/>
    <w:rsid w:val="047519F7"/>
    <w:rsid w:val="047734ED"/>
    <w:rsid w:val="04782D76"/>
    <w:rsid w:val="04790026"/>
    <w:rsid w:val="04790241"/>
    <w:rsid w:val="047C0850"/>
    <w:rsid w:val="047D5273"/>
    <w:rsid w:val="0482288A"/>
    <w:rsid w:val="04844854"/>
    <w:rsid w:val="04862C1D"/>
    <w:rsid w:val="0487091A"/>
    <w:rsid w:val="048754C8"/>
    <w:rsid w:val="04877EA0"/>
    <w:rsid w:val="0488658F"/>
    <w:rsid w:val="04893C18"/>
    <w:rsid w:val="04894F5E"/>
    <w:rsid w:val="048C212A"/>
    <w:rsid w:val="048E51A9"/>
    <w:rsid w:val="04900156"/>
    <w:rsid w:val="04907679"/>
    <w:rsid w:val="04912ACD"/>
    <w:rsid w:val="04925647"/>
    <w:rsid w:val="049440EF"/>
    <w:rsid w:val="0494610D"/>
    <w:rsid w:val="049462DE"/>
    <w:rsid w:val="049525BD"/>
    <w:rsid w:val="049708FA"/>
    <w:rsid w:val="04975E7B"/>
    <w:rsid w:val="04981B52"/>
    <w:rsid w:val="04993118"/>
    <w:rsid w:val="049977A8"/>
    <w:rsid w:val="049A17F4"/>
    <w:rsid w:val="049B0B31"/>
    <w:rsid w:val="049C1B9D"/>
    <w:rsid w:val="049D2642"/>
    <w:rsid w:val="049D4355"/>
    <w:rsid w:val="04A10F62"/>
    <w:rsid w:val="04A11AF5"/>
    <w:rsid w:val="04A35713"/>
    <w:rsid w:val="04A63ABD"/>
    <w:rsid w:val="04A647CA"/>
    <w:rsid w:val="04A704FE"/>
    <w:rsid w:val="04A7196A"/>
    <w:rsid w:val="04A930A7"/>
    <w:rsid w:val="04AA3A81"/>
    <w:rsid w:val="04AB1DE0"/>
    <w:rsid w:val="04AB37E2"/>
    <w:rsid w:val="04AB649F"/>
    <w:rsid w:val="04AC0671"/>
    <w:rsid w:val="04AC5B58"/>
    <w:rsid w:val="04AD54D3"/>
    <w:rsid w:val="04AE0B39"/>
    <w:rsid w:val="04AE18D1"/>
    <w:rsid w:val="04B17AEB"/>
    <w:rsid w:val="04B20DCF"/>
    <w:rsid w:val="04B2316F"/>
    <w:rsid w:val="04B92AD2"/>
    <w:rsid w:val="04BA2023"/>
    <w:rsid w:val="04BB1570"/>
    <w:rsid w:val="04BC5D9C"/>
    <w:rsid w:val="04BE19FD"/>
    <w:rsid w:val="04BE5FB8"/>
    <w:rsid w:val="04BF2D5A"/>
    <w:rsid w:val="04BF3660"/>
    <w:rsid w:val="04C12EFD"/>
    <w:rsid w:val="04C17856"/>
    <w:rsid w:val="04C3017D"/>
    <w:rsid w:val="04C31FE0"/>
    <w:rsid w:val="04C36455"/>
    <w:rsid w:val="04C410F4"/>
    <w:rsid w:val="04C47046"/>
    <w:rsid w:val="04C7654C"/>
    <w:rsid w:val="04C86EA5"/>
    <w:rsid w:val="04CB4468"/>
    <w:rsid w:val="04CE24A2"/>
    <w:rsid w:val="04CE3D2E"/>
    <w:rsid w:val="04CF70C9"/>
    <w:rsid w:val="04D15CDC"/>
    <w:rsid w:val="04D1736D"/>
    <w:rsid w:val="04D37589"/>
    <w:rsid w:val="04D534BD"/>
    <w:rsid w:val="04D6122B"/>
    <w:rsid w:val="04D72BD5"/>
    <w:rsid w:val="04D77D6D"/>
    <w:rsid w:val="04D822C2"/>
    <w:rsid w:val="04DA4474"/>
    <w:rsid w:val="04DA524E"/>
    <w:rsid w:val="04DC01EC"/>
    <w:rsid w:val="04DF5F2E"/>
    <w:rsid w:val="04E15802"/>
    <w:rsid w:val="04E377CC"/>
    <w:rsid w:val="04E66DA8"/>
    <w:rsid w:val="04E7150E"/>
    <w:rsid w:val="04E903A7"/>
    <w:rsid w:val="04E946B7"/>
    <w:rsid w:val="04EC496C"/>
    <w:rsid w:val="04ED064B"/>
    <w:rsid w:val="04ED23F9"/>
    <w:rsid w:val="04EE0073"/>
    <w:rsid w:val="04EE4C43"/>
    <w:rsid w:val="04EE556D"/>
    <w:rsid w:val="04EE7F1F"/>
    <w:rsid w:val="04F01EE9"/>
    <w:rsid w:val="04F516FB"/>
    <w:rsid w:val="04F7190C"/>
    <w:rsid w:val="04F82B4C"/>
    <w:rsid w:val="04F930C7"/>
    <w:rsid w:val="04F93F1C"/>
    <w:rsid w:val="04FC1AD8"/>
    <w:rsid w:val="04FC4B0B"/>
    <w:rsid w:val="04FC6AE0"/>
    <w:rsid w:val="04FE4606"/>
    <w:rsid w:val="05052667"/>
    <w:rsid w:val="050553B0"/>
    <w:rsid w:val="05065269"/>
    <w:rsid w:val="05080FE1"/>
    <w:rsid w:val="05082E32"/>
    <w:rsid w:val="05092FAB"/>
    <w:rsid w:val="050A25F3"/>
    <w:rsid w:val="050B6D23"/>
    <w:rsid w:val="05104339"/>
    <w:rsid w:val="05144A02"/>
    <w:rsid w:val="0514775A"/>
    <w:rsid w:val="051554AC"/>
    <w:rsid w:val="05157BA2"/>
    <w:rsid w:val="0516342C"/>
    <w:rsid w:val="05164FA1"/>
    <w:rsid w:val="05191114"/>
    <w:rsid w:val="051B6ABC"/>
    <w:rsid w:val="051C0A8D"/>
    <w:rsid w:val="051D57B0"/>
    <w:rsid w:val="051E0804"/>
    <w:rsid w:val="05216546"/>
    <w:rsid w:val="05234C3E"/>
    <w:rsid w:val="05241B93"/>
    <w:rsid w:val="0525547A"/>
    <w:rsid w:val="052573EE"/>
    <w:rsid w:val="052749F0"/>
    <w:rsid w:val="052A224F"/>
    <w:rsid w:val="052D0A47"/>
    <w:rsid w:val="052D3F38"/>
    <w:rsid w:val="052D422C"/>
    <w:rsid w:val="052D6C99"/>
    <w:rsid w:val="052E05FF"/>
    <w:rsid w:val="052E2FFB"/>
    <w:rsid w:val="052E656D"/>
    <w:rsid w:val="052F2A11"/>
    <w:rsid w:val="05303DEE"/>
    <w:rsid w:val="053242B0"/>
    <w:rsid w:val="05324986"/>
    <w:rsid w:val="053725CD"/>
    <w:rsid w:val="05387376"/>
    <w:rsid w:val="053C11E9"/>
    <w:rsid w:val="053C696C"/>
    <w:rsid w:val="053D5ADB"/>
    <w:rsid w:val="053E0EA6"/>
    <w:rsid w:val="053E203B"/>
    <w:rsid w:val="053F3C41"/>
    <w:rsid w:val="054110B3"/>
    <w:rsid w:val="054162A1"/>
    <w:rsid w:val="0544213B"/>
    <w:rsid w:val="05445D91"/>
    <w:rsid w:val="05461B09"/>
    <w:rsid w:val="05471621"/>
    <w:rsid w:val="05487A70"/>
    <w:rsid w:val="054D51EE"/>
    <w:rsid w:val="054E0A41"/>
    <w:rsid w:val="054F072B"/>
    <w:rsid w:val="054F4E62"/>
    <w:rsid w:val="054F6C10"/>
    <w:rsid w:val="05502D4D"/>
    <w:rsid w:val="05504736"/>
    <w:rsid w:val="05505507"/>
    <w:rsid w:val="05507641"/>
    <w:rsid w:val="055406CA"/>
    <w:rsid w:val="05547239"/>
    <w:rsid w:val="05551D4C"/>
    <w:rsid w:val="0556578A"/>
    <w:rsid w:val="05586EF0"/>
    <w:rsid w:val="0559298F"/>
    <w:rsid w:val="0559658C"/>
    <w:rsid w:val="055A5560"/>
    <w:rsid w:val="055A55B4"/>
    <w:rsid w:val="055C30DB"/>
    <w:rsid w:val="056414CF"/>
    <w:rsid w:val="056621AB"/>
    <w:rsid w:val="05665D07"/>
    <w:rsid w:val="056703FD"/>
    <w:rsid w:val="056944A2"/>
    <w:rsid w:val="056A6906"/>
    <w:rsid w:val="056E0609"/>
    <w:rsid w:val="056E4DF6"/>
    <w:rsid w:val="056F1B47"/>
    <w:rsid w:val="05720B6D"/>
    <w:rsid w:val="057231CE"/>
    <w:rsid w:val="05770CE7"/>
    <w:rsid w:val="05771B25"/>
    <w:rsid w:val="05785C8A"/>
    <w:rsid w:val="05787E8E"/>
    <w:rsid w:val="057C3D1C"/>
    <w:rsid w:val="057D0DBC"/>
    <w:rsid w:val="057E2F8C"/>
    <w:rsid w:val="05802301"/>
    <w:rsid w:val="05822C11"/>
    <w:rsid w:val="05824577"/>
    <w:rsid w:val="058421AB"/>
    <w:rsid w:val="058676A3"/>
    <w:rsid w:val="05882122"/>
    <w:rsid w:val="05883ED0"/>
    <w:rsid w:val="05890861"/>
    <w:rsid w:val="058A49FF"/>
    <w:rsid w:val="058D3720"/>
    <w:rsid w:val="059027D0"/>
    <w:rsid w:val="05926700"/>
    <w:rsid w:val="05951C9A"/>
    <w:rsid w:val="05954113"/>
    <w:rsid w:val="0598566E"/>
    <w:rsid w:val="059918B7"/>
    <w:rsid w:val="05991F60"/>
    <w:rsid w:val="0599432F"/>
    <w:rsid w:val="059B00A7"/>
    <w:rsid w:val="059E0C1C"/>
    <w:rsid w:val="059E4921"/>
    <w:rsid w:val="05A01219"/>
    <w:rsid w:val="05A217DD"/>
    <w:rsid w:val="05A23DEA"/>
    <w:rsid w:val="05A47762"/>
    <w:rsid w:val="05A56137"/>
    <w:rsid w:val="05A73074"/>
    <w:rsid w:val="05A8641E"/>
    <w:rsid w:val="05AC5838"/>
    <w:rsid w:val="05AC6BE2"/>
    <w:rsid w:val="05AF1754"/>
    <w:rsid w:val="05AF2FCC"/>
    <w:rsid w:val="05AF3B52"/>
    <w:rsid w:val="05AF76AE"/>
    <w:rsid w:val="05B366B7"/>
    <w:rsid w:val="05B42F17"/>
    <w:rsid w:val="05B5373C"/>
    <w:rsid w:val="05B64EE1"/>
    <w:rsid w:val="05B82AAB"/>
    <w:rsid w:val="05BB24F7"/>
    <w:rsid w:val="05BB6053"/>
    <w:rsid w:val="05BC50F9"/>
    <w:rsid w:val="05BE71CA"/>
    <w:rsid w:val="05C07074"/>
    <w:rsid w:val="05C30EC5"/>
    <w:rsid w:val="05C32CE6"/>
    <w:rsid w:val="05C451BE"/>
    <w:rsid w:val="05C6652E"/>
    <w:rsid w:val="05C80770"/>
    <w:rsid w:val="05C81175"/>
    <w:rsid w:val="05C84C14"/>
    <w:rsid w:val="05CB18A0"/>
    <w:rsid w:val="05CC0260"/>
    <w:rsid w:val="05CE7FBD"/>
    <w:rsid w:val="05D13AC9"/>
    <w:rsid w:val="05D23D51"/>
    <w:rsid w:val="05D435B9"/>
    <w:rsid w:val="05D50A03"/>
    <w:rsid w:val="05DB5069"/>
    <w:rsid w:val="05DE1D42"/>
    <w:rsid w:val="05E64A5A"/>
    <w:rsid w:val="05E71852"/>
    <w:rsid w:val="05E75F32"/>
    <w:rsid w:val="05E82BC0"/>
    <w:rsid w:val="05EB3658"/>
    <w:rsid w:val="05ED287B"/>
    <w:rsid w:val="05F15F19"/>
    <w:rsid w:val="05F34E83"/>
    <w:rsid w:val="05F34E9C"/>
    <w:rsid w:val="05F44299"/>
    <w:rsid w:val="05F52048"/>
    <w:rsid w:val="05F83A85"/>
    <w:rsid w:val="05F872A7"/>
    <w:rsid w:val="05F94DCD"/>
    <w:rsid w:val="05FB6D97"/>
    <w:rsid w:val="05FB7C61"/>
    <w:rsid w:val="05FC2787"/>
    <w:rsid w:val="05FD1851"/>
    <w:rsid w:val="05FD666C"/>
    <w:rsid w:val="060041E2"/>
    <w:rsid w:val="060101C2"/>
    <w:rsid w:val="060164D4"/>
    <w:rsid w:val="06022AF2"/>
    <w:rsid w:val="06023C82"/>
    <w:rsid w:val="06046B53"/>
    <w:rsid w:val="060816FA"/>
    <w:rsid w:val="06090C01"/>
    <w:rsid w:val="0612468B"/>
    <w:rsid w:val="06135BCE"/>
    <w:rsid w:val="06175DE0"/>
    <w:rsid w:val="061B2F96"/>
    <w:rsid w:val="061C6C31"/>
    <w:rsid w:val="061C7051"/>
    <w:rsid w:val="061E3C37"/>
    <w:rsid w:val="061E6AAA"/>
    <w:rsid w:val="061F3C37"/>
    <w:rsid w:val="06221681"/>
    <w:rsid w:val="06234092"/>
    <w:rsid w:val="06251B8D"/>
    <w:rsid w:val="062956B3"/>
    <w:rsid w:val="062C534D"/>
    <w:rsid w:val="062D4378"/>
    <w:rsid w:val="06336531"/>
    <w:rsid w:val="063512DA"/>
    <w:rsid w:val="06361B7E"/>
    <w:rsid w:val="06376EC0"/>
    <w:rsid w:val="063C3527"/>
    <w:rsid w:val="063D2C43"/>
    <w:rsid w:val="063D2F0C"/>
    <w:rsid w:val="063D4CBA"/>
    <w:rsid w:val="063F6470"/>
    <w:rsid w:val="063F6C84"/>
    <w:rsid w:val="064029FC"/>
    <w:rsid w:val="0641242C"/>
    <w:rsid w:val="06420522"/>
    <w:rsid w:val="06432CD4"/>
    <w:rsid w:val="06450013"/>
    <w:rsid w:val="064578CD"/>
    <w:rsid w:val="06460D83"/>
    <w:rsid w:val="064614D7"/>
    <w:rsid w:val="06465F49"/>
    <w:rsid w:val="064A14F4"/>
    <w:rsid w:val="064B7F72"/>
    <w:rsid w:val="064C7AAF"/>
    <w:rsid w:val="064F40D5"/>
    <w:rsid w:val="06540256"/>
    <w:rsid w:val="06543ADB"/>
    <w:rsid w:val="06547BC2"/>
    <w:rsid w:val="065613AF"/>
    <w:rsid w:val="06582521"/>
    <w:rsid w:val="06590181"/>
    <w:rsid w:val="065909ED"/>
    <w:rsid w:val="06595012"/>
    <w:rsid w:val="065C4EC6"/>
    <w:rsid w:val="065C5002"/>
    <w:rsid w:val="065C6176"/>
    <w:rsid w:val="065D35AE"/>
    <w:rsid w:val="065D5943"/>
    <w:rsid w:val="065F10D4"/>
    <w:rsid w:val="065F2239"/>
    <w:rsid w:val="06604E4C"/>
    <w:rsid w:val="06606C84"/>
    <w:rsid w:val="06615157"/>
    <w:rsid w:val="06616243"/>
    <w:rsid w:val="06630DB5"/>
    <w:rsid w:val="066466EB"/>
    <w:rsid w:val="0668016C"/>
    <w:rsid w:val="06687E1B"/>
    <w:rsid w:val="06693D01"/>
    <w:rsid w:val="066B05A6"/>
    <w:rsid w:val="066D691C"/>
    <w:rsid w:val="066E34EC"/>
    <w:rsid w:val="066E4E16"/>
    <w:rsid w:val="066F5090"/>
    <w:rsid w:val="06733D9B"/>
    <w:rsid w:val="067508F8"/>
    <w:rsid w:val="067526A6"/>
    <w:rsid w:val="0676641E"/>
    <w:rsid w:val="067803E8"/>
    <w:rsid w:val="06783BAF"/>
    <w:rsid w:val="067927FB"/>
    <w:rsid w:val="067C324D"/>
    <w:rsid w:val="067D155B"/>
    <w:rsid w:val="067E2971"/>
    <w:rsid w:val="067F1777"/>
    <w:rsid w:val="06824166"/>
    <w:rsid w:val="06832A35"/>
    <w:rsid w:val="06832B22"/>
    <w:rsid w:val="06846D01"/>
    <w:rsid w:val="06852BBB"/>
    <w:rsid w:val="06867BE0"/>
    <w:rsid w:val="06874187"/>
    <w:rsid w:val="06875245"/>
    <w:rsid w:val="0687577E"/>
    <w:rsid w:val="0687687D"/>
    <w:rsid w:val="06884F6E"/>
    <w:rsid w:val="068F3557"/>
    <w:rsid w:val="06911A0A"/>
    <w:rsid w:val="069150D4"/>
    <w:rsid w:val="06923862"/>
    <w:rsid w:val="06941C75"/>
    <w:rsid w:val="0696261C"/>
    <w:rsid w:val="069A035E"/>
    <w:rsid w:val="069B4B2F"/>
    <w:rsid w:val="069B5E85"/>
    <w:rsid w:val="069B6845"/>
    <w:rsid w:val="069B7700"/>
    <w:rsid w:val="069E6F27"/>
    <w:rsid w:val="069F5975"/>
    <w:rsid w:val="06A03CF3"/>
    <w:rsid w:val="06A07511"/>
    <w:rsid w:val="06A116ED"/>
    <w:rsid w:val="06A176D3"/>
    <w:rsid w:val="06A25465"/>
    <w:rsid w:val="06A26ADE"/>
    <w:rsid w:val="06A3767D"/>
    <w:rsid w:val="06A44D39"/>
    <w:rsid w:val="06A64F55"/>
    <w:rsid w:val="06A66996"/>
    <w:rsid w:val="06A670EF"/>
    <w:rsid w:val="06A938AC"/>
    <w:rsid w:val="06AA1370"/>
    <w:rsid w:val="06AB256C"/>
    <w:rsid w:val="06AD6F44"/>
    <w:rsid w:val="06AE0CED"/>
    <w:rsid w:val="06AE3E0A"/>
    <w:rsid w:val="06AF48C8"/>
    <w:rsid w:val="06B02B5B"/>
    <w:rsid w:val="06B036DE"/>
    <w:rsid w:val="06B222FA"/>
    <w:rsid w:val="06B27F6D"/>
    <w:rsid w:val="06B331CE"/>
    <w:rsid w:val="06B42EA7"/>
    <w:rsid w:val="06B53635"/>
    <w:rsid w:val="06B70F10"/>
    <w:rsid w:val="06BC02D5"/>
    <w:rsid w:val="06BC74A8"/>
    <w:rsid w:val="06C15D34"/>
    <w:rsid w:val="06C23411"/>
    <w:rsid w:val="06C278B5"/>
    <w:rsid w:val="06C4690C"/>
    <w:rsid w:val="06C65B84"/>
    <w:rsid w:val="06C90C44"/>
    <w:rsid w:val="06CA06CA"/>
    <w:rsid w:val="06CC02D8"/>
    <w:rsid w:val="06CE0008"/>
    <w:rsid w:val="06CE625A"/>
    <w:rsid w:val="06CE67DF"/>
    <w:rsid w:val="06CE7052"/>
    <w:rsid w:val="06D1774F"/>
    <w:rsid w:val="06D21BAA"/>
    <w:rsid w:val="06D22892"/>
    <w:rsid w:val="06D25A57"/>
    <w:rsid w:val="06D418BF"/>
    <w:rsid w:val="06D7510F"/>
    <w:rsid w:val="06D82C35"/>
    <w:rsid w:val="06D83007"/>
    <w:rsid w:val="06D93828"/>
    <w:rsid w:val="06DB44D3"/>
    <w:rsid w:val="06DC3451"/>
    <w:rsid w:val="06E4782C"/>
    <w:rsid w:val="06E67100"/>
    <w:rsid w:val="06EA1B0A"/>
    <w:rsid w:val="06EA4131"/>
    <w:rsid w:val="06EA450E"/>
    <w:rsid w:val="06EB1AB6"/>
    <w:rsid w:val="06EC048E"/>
    <w:rsid w:val="06EE4206"/>
    <w:rsid w:val="06EF34FA"/>
    <w:rsid w:val="06F0153D"/>
    <w:rsid w:val="06F21187"/>
    <w:rsid w:val="06F3506B"/>
    <w:rsid w:val="06F76D7E"/>
    <w:rsid w:val="06FB61C6"/>
    <w:rsid w:val="06FE67EB"/>
    <w:rsid w:val="07000B16"/>
    <w:rsid w:val="07013F3A"/>
    <w:rsid w:val="07033F39"/>
    <w:rsid w:val="07035F04"/>
    <w:rsid w:val="070457D8"/>
    <w:rsid w:val="070557B3"/>
    <w:rsid w:val="07057767"/>
    <w:rsid w:val="0708176C"/>
    <w:rsid w:val="07091A4F"/>
    <w:rsid w:val="07097292"/>
    <w:rsid w:val="070B125C"/>
    <w:rsid w:val="070B4DB8"/>
    <w:rsid w:val="070C0C2D"/>
    <w:rsid w:val="070C28DE"/>
    <w:rsid w:val="070C30F3"/>
    <w:rsid w:val="070C4535"/>
    <w:rsid w:val="070D7FE9"/>
    <w:rsid w:val="070F0EB1"/>
    <w:rsid w:val="070F67B1"/>
    <w:rsid w:val="07120E73"/>
    <w:rsid w:val="07165E57"/>
    <w:rsid w:val="07173E6F"/>
    <w:rsid w:val="071954EF"/>
    <w:rsid w:val="071A149F"/>
    <w:rsid w:val="071B22B6"/>
    <w:rsid w:val="071C7E5F"/>
    <w:rsid w:val="071D689A"/>
    <w:rsid w:val="07246E25"/>
    <w:rsid w:val="07247C28"/>
    <w:rsid w:val="07251BF4"/>
    <w:rsid w:val="072930CA"/>
    <w:rsid w:val="072C21C1"/>
    <w:rsid w:val="072C4B12"/>
    <w:rsid w:val="072C6909"/>
    <w:rsid w:val="072D0F1B"/>
    <w:rsid w:val="072D11D3"/>
    <w:rsid w:val="072D136C"/>
    <w:rsid w:val="07322345"/>
    <w:rsid w:val="07350087"/>
    <w:rsid w:val="07384786"/>
    <w:rsid w:val="07391925"/>
    <w:rsid w:val="073A744C"/>
    <w:rsid w:val="073C4F5C"/>
    <w:rsid w:val="073F0F06"/>
    <w:rsid w:val="0741050E"/>
    <w:rsid w:val="0746789B"/>
    <w:rsid w:val="07474BDA"/>
    <w:rsid w:val="074924D2"/>
    <w:rsid w:val="074A6AAC"/>
    <w:rsid w:val="074D28B2"/>
    <w:rsid w:val="074D717F"/>
    <w:rsid w:val="074E6EE9"/>
    <w:rsid w:val="074E7893"/>
    <w:rsid w:val="07504C61"/>
    <w:rsid w:val="07506C6F"/>
    <w:rsid w:val="075160E2"/>
    <w:rsid w:val="07530298"/>
    <w:rsid w:val="07544CD5"/>
    <w:rsid w:val="07554285"/>
    <w:rsid w:val="075631C5"/>
    <w:rsid w:val="0758386F"/>
    <w:rsid w:val="075838FA"/>
    <w:rsid w:val="07590886"/>
    <w:rsid w:val="075A3457"/>
    <w:rsid w:val="075C327B"/>
    <w:rsid w:val="075C748B"/>
    <w:rsid w:val="075E75DE"/>
    <w:rsid w:val="075F1F89"/>
    <w:rsid w:val="07603356"/>
    <w:rsid w:val="07612C2A"/>
    <w:rsid w:val="07630750"/>
    <w:rsid w:val="076369A2"/>
    <w:rsid w:val="076573F4"/>
    <w:rsid w:val="07660241"/>
    <w:rsid w:val="07683FB9"/>
    <w:rsid w:val="07686EEB"/>
    <w:rsid w:val="076C6A9D"/>
    <w:rsid w:val="076D15CF"/>
    <w:rsid w:val="076D7821"/>
    <w:rsid w:val="07764F07"/>
    <w:rsid w:val="07772174"/>
    <w:rsid w:val="0777317C"/>
    <w:rsid w:val="077961C6"/>
    <w:rsid w:val="077A0A8D"/>
    <w:rsid w:val="077A2169"/>
    <w:rsid w:val="077A3FE6"/>
    <w:rsid w:val="077C4750"/>
    <w:rsid w:val="077E37DC"/>
    <w:rsid w:val="077F1302"/>
    <w:rsid w:val="077F25A1"/>
    <w:rsid w:val="077F5F2C"/>
    <w:rsid w:val="07800C9E"/>
    <w:rsid w:val="0781151E"/>
    <w:rsid w:val="0781507A"/>
    <w:rsid w:val="07816602"/>
    <w:rsid w:val="07823025"/>
    <w:rsid w:val="078231EE"/>
    <w:rsid w:val="07862691"/>
    <w:rsid w:val="07881D66"/>
    <w:rsid w:val="0788465B"/>
    <w:rsid w:val="078B00AF"/>
    <w:rsid w:val="078B1FB9"/>
    <w:rsid w:val="078B7A40"/>
    <w:rsid w:val="078D2214"/>
    <w:rsid w:val="078D7EC3"/>
    <w:rsid w:val="078E642C"/>
    <w:rsid w:val="078F59E9"/>
    <w:rsid w:val="07901F7A"/>
    <w:rsid w:val="07960FA0"/>
    <w:rsid w:val="07966D78"/>
    <w:rsid w:val="079832F8"/>
    <w:rsid w:val="079A2C82"/>
    <w:rsid w:val="079B06BC"/>
    <w:rsid w:val="079C1EB4"/>
    <w:rsid w:val="079C71D9"/>
    <w:rsid w:val="079F1B8B"/>
    <w:rsid w:val="07A0301B"/>
    <w:rsid w:val="07A115CB"/>
    <w:rsid w:val="07A33243"/>
    <w:rsid w:val="07A4456D"/>
    <w:rsid w:val="07A80859"/>
    <w:rsid w:val="07A82607"/>
    <w:rsid w:val="07A86AAB"/>
    <w:rsid w:val="07A87459"/>
    <w:rsid w:val="07AA728C"/>
    <w:rsid w:val="07AD6554"/>
    <w:rsid w:val="07B00E42"/>
    <w:rsid w:val="07B02D9F"/>
    <w:rsid w:val="07B14667"/>
    <w:rsid w:val="07B52DAA"/>
    <w:rsid w:val="07B53985"/>
    <w:rsid w:val="07B62F76"/>
    <w:rsid w:val="07B90CB8"/>
    <w:rsid w:val="07BB058C"/>
    <w:rsid w:val="07BC2556"/>
    <w:rsid w:val="07BC60B3"/>
    <w:rsid w:val="07BF6B8F"/>
    <w:rsid w:val="07C14771"/>
    <w:rsid w:val="07C309C8"/>
    <w:rsid w:val="07C338E5"/>
    <w:rsid w:val="07C75183"/>
    <w:rsid w:val="07C80EFB"/>
    <w:rsid w:val="07C85456"/>
    <w:rsid w:val="07C918A5"/>
    <w:rsid w:val="07CB4548"/>
    <w:rsid w:val="07CD6512"/>
    <w:rsid w:val="07CE75F1"/>
    <w:rsid w:val="07CF0C6A"/>
    <w:rsid w:val="07D41E77"/>
    <w:rsid w:val="07D42619"/>
    <w:rsid w:val="07D433FC"/>
    <w:rsid w:val="07D52A65"/>
    <w:rsid w:val="07D56EA5"/>
    <w:rsid w:val="07D63618"/>
    <w:rsid w:val="07D653C6"/>
    <w:rsid w:val="07D7113E"/>
    <w:rsid w:val="07D75ACC"/>
    <w:rsid w:val="07DB478B"/>
    <w:rsid w:val="07DF2BD2"/>
    <w:rsid w:val="07E01DA1"/>
    <w:rsid w:val="07E10088"/>
    <w:rsid w:val="07E1193E"/>
    <w:rsid w:val="07E136A6"/>
    <w:rsid w:val="07E13D6B"/>
    <w:rsid w:val="07E27DE2"/>
    <w:rsid w:val="07E31891"/>
    <w:rsid w:val="07E51281"/>
    <w:rsid w:val="07E5385B"/>
    <w:rsid w:val="07E7538A"/>
    <w:rsid w:val="07E85E2B"/>
    <w:rsid w:val="07E86EA8"/>
    <w:rsid w:val="07F01AFF"/>
    <w:rsid w:val="07F0613F"/>
    <w:rsid w:val="07F1357E"/>
    <w:rsid w:val="07F24004"/>
    <w:rsid w:val="07F615C4"/>
    <w:rsid w:val="07F9151C"/>
    <w:rsid w:val="07F935DC"/>
    <w:rsid w:val="07FB50B6"/>
    <w:rsid w:val="07FB5108"/>
    <w:rsid w:val="07FB6BDB"/>
    <w:rsid w:val="07FC3AF7"/>
    <w:rsid w:val="07FE491D"/>
    <w:rsid w:val="07FF60F9"/>
    <w:rsid w:val="0800313E"/>
    <w:rsid w:val="08016490"/>
    <w:rsid w:val="0806421B"/>
    <w:rsid w:val="080812F8"/>
    <w:rsid w:val="080B2B96"/>
    <w:rsid w:val="080D690E"/>
    <w:rsid w:val="080F08D8"/>
    <w:rsid w:val="08155AF6"/>
    <w:rsid w:val="08161C67"/>
    <w:rsid w:val="08163A15"/>
    <w:rsid w:val="08171804"/>
    <w:rsid w:val="08193505"/>
    <w:rsid w:val="081A2F98"/>
    <w:rsid w:val="081B102B"/>
    <w:rsid w:val="081D555E"/>
    <w:rsid w:val="081D7FA8"/>
    <w:rsid w:val="081E0ABF"/>
    <w:rsid w:val="081E4FBF"/>
    <w:rsid w:val="081F094E"/>
    <w:rsid w:val="08236CAC"/>
    <w:rsid w:val="0824157E"/>
    <w:rsid w:val="0824564F"/>
    <w:rsid w:val="08255E71"/>
    <w:rsid w:val="08283748"/>
    <w:rsid w:val="08284165"/>
    <w:rsid w:val="08285DC2"/>
    <w:rsid w:val="08291789"/>
    <w:rsid w:val="082A5712"/>
    <w:rsid w:val="082A6CC4"/>
    <w:rsid w:val="082A74C0"/>
    <w:rsid w:val="082B09E9"/>
    <w:rsid w:val="082B7863"/>
    <w:rsid w:val="082F2D28"/>
    <w:rsid w:val="082F62F4"/>
    <w:rsid w:val="0831084F"/>
    <w:rsid w:val="0833664F"/>
    <w:rsid w:val="0837398B"/>
    <w:rsid w:val="08374B13"/>
    <w:rsid w:val="08393045"/>
    <w:rsid w:val="083A3E7D"/>
    <w:rsid w:val="083F4F56"/>
    <w:rsid w:val="0840304B"/>
    <w:rsid w:val="08403200"/>
    <w:rsid w:val="08421BC8"/>
    <w:rsid w:val="08422A5C"/>
    <w:rsid w:val="08425411"/>
    <w:rsid w:val="0842655F"/>
    <w:rsid w:val="0844028A"/>
    <w:rsid w:val="084542FA"/>
    <w:rsid w:val="084560A8"/>
    <w:rsid w:val="08486EDF"/>
    <w:rsid w:val="084A5DB4"/>
    <w:rsid w:val="084D1933"/>
    <w:rsid w:val="0850534E"/>
    <w:rsid w:val="085265C0"/>
    <w:rsid w:val="085409E1"/>
    <w:rsid w:val="08544830"/>
    <w:rsid w:val="0854681A"/>
    <w:rsid w:val="085602B5"/>
    <w:rsid w:val="085714BC"/>
    <w:rsid w:val="0858227F"/>
    <w:rsid w:val="085A5ECC"/>
    <w:rsid w:val="085A5FF7"/>
    <w:rsid w:val="085A706A"/>
    <w:rsid w:val="085B3B1D"/>
    <w:rsid w:val="085B44D1"/>
    <w:rsid w:val="085B58CB"/>
    <w:rsid w:val="085C3E16"/>
    <w:rsid w:val="085D5AE7"/>
    <w:rsid w:val="08601134"/>
    <w:rsid w:val="08602C5E"/>
    <w:rsid w:val="08611794"/>
    <w:rsid w:val="08626C5A"/>
    <w:rsid w:val="086305A1"/>
    <w:rsid w:val="0863461C"/>
    <w:rsid w:val="08644325"/>
    <w:rsid w:val="08647224"/>
    <w:rsid w:val="086504B7"/>
    <w:rsid w:val="08655071"/>
    <w:rsid w:val="08683767"/>
    <w:rsid w:val="08687FE8"/>
    <w:rsid w:val="086955C6"/>
    <w:rsid w:val="086D781E"/>
    <w:rsid w:val="087026A6"/>
    <w:rsid w:val="08722947"/>
    <w:rsid w:val="0872655C"/>
    <w:rsid w:val="087370B9"/>
    <w:rsid w:val="08745B64"/>
    <w:rsid w:val="0875239B"/>
    <w:rsid w:val="087A4356"/>
    <w:rsid w:val="087A4A9E"/>
    <w:rsid w:val="087C111E"/>
    <w:rsid w:val="087C2D8F"/>
    <w:rsid w:val="087C63BC"/>
    <w:rsid w:val="08800C7C"/>
    <w:rsid w:val="08832493"/>
    <w:rsid w:val="08855F36"/>
    <w:rsid w:val="08867257"/>
    <w:rsid w:val="0889068B"/>
    <w:rsid w:val="088923D7"/>
    <w:rsid w:val="08892E36"/>
    <w:rsid w:val="088A5A8D"/>
    <w:rsid w:val="088B63D5"/>
    <w:rsid w:val="088C017B"/>
    <w:rsid w:val="088D3600"/>
    <w:rsid w:val="088E7A4F"/>
    <w:rsid w:val="08910C2C"/>
    <w:rsid w:val="08915791"/>
    <w:rsid w:val="08916D42"/>
    <w:rsid w:val="08940DDD"/>
    <w:rsid w:val="08955C95"/>
    <w:rsid w:val="089716ED"/>
    <w:rsid w:val="089D33A2"/>
    <w:rsid w:val="08A07782"/>
    <w:rsid w:val="08A131FB"/>
    <w:rsid w:val="08A40BE4"/>
    <w:rsid w:val="08A454C4"/>
    <w:rsid w:val="08A50945"/>
    <w:rsid w:val="08AC16C5"/>
    <w:rsid w:val="08AE1BE0"/>
    <w:rsid w:val="08AE1E9F"/>
    <w:rsid w:val="08AF24D7"/>
    <w:rsid w:val="08B266C5"/>
    <w:rsid w:val="08B63EA5"/>
    <w:rsid w:val="08B66FA6"/>
    <w:rsid w:val="08B915CA"/>
    <w:rsid w:val="08B975FF"/>
    <w:rsid w:val="08BC12A9"/>
    <w:rsid w:val="08BC21AF"/>
    <w:rsid w:val="08BE1AE3"/>
    <w:rsid w:val="08C1341F"/>
    <w:rsid w:val="08C23B9D"/>
    <w:rsid w:val="08C43471"/>
    <w:rsid w:val="08C50C45"/>
    <w:rsid w:val="08C538B7"/>
    <w:rsid w:val="08C5765D"/>
    <w:rsid w:val="08CB172F"/>
    <w:rsid w:val="08CB1D92"/>
    <w:rsid w:val="08CC113E"/>
    <w:rsid w:val="08CD6EE3"/>
    <w:rsid w:val="08CF45F2"/>
    <w:rsid w:val="08D02BA5"/>
    <w:rsid w:val="08D0349B"/>
    <w:rsid w:val="08D2453B"/>
    <w:rsid w:val="08D4468A"/>
    <w:rsid w:val="08D5567E"/>
    <w:rsid w:val="08D86D42"/>
    <w:rsid w:val="08DC4C5E"/>
    <w:rsid w:val="08DD09D6"/>
    <w:rsid w:val="08DD2784"/>
    <w:rsid w:val="08DF1698"/>
    <w:rsid w:val="08DF3B38"/>
    <w:rsid w:val="08E12275"/>
    <w:rsid w:val="08E26A3C"/>
    <w:rsid w:val="08E65ADD"/>
    <w:rsid w:val="08E81855"/>
    <w:rsid w:val="08EB4EA1"/>
    <w:rsid w:val="08EB6A17"/>
    <w:rsid w:val="08EC0C19"/>
    <w:rsid w:val="08EC53DD"/>
    <w:rsid w:val="08EF7504"/>
    <w:rsid w:val="08F11838"/>
    <w:rsid w:val="08F35831"/>
    <w:rsid w:val="08F50C8D"/>
    <w:rsid w:val="08F54642"/>
    <w:rsid w:val="08F81F38"/>
    <w:rsid w:val="08F85810"/>
    <w:rsid w:val="08FA0E71"/>
    <w:rsid w:val="08FB74D6"/>
    <w:rsid w:val="08FB7730"/>
    <w:rsid w:val="08FC322B"/>
    <w:rsid w:val="08FC51B4"/>
    <w:rsid w:val="08FD4C21"/>
    <w:rsid w:val="090029E8"/>
    <w:rsid w:val="090038F0"/>
    <w:rsid w:val="09014112"/>
    <w:rsid w:val="090339B5"/>
    <w:rsid w:val="09040CDB"/>
    <w:rsid w:val="090518C8"/>
    <w:rsid w:val="09067F2D"/>
    <w:rsid w:val="090715AF"/>
    <w:rsid w:val="090A578A"/>
    <w:rsid w:val="090B5543"/>
    <w:rsid w:val="090E293E"/>
    <w:rsid w:val="090F3BD9"/>
    <w:rsid w:val="09107C0A"/>
    <w:rsid w:val="09114FA0"/>
    <w:rsid w:val="09173EE8"/>
    <w:rsid w:val="09181A0E"/>
    <w:rsid w:val="091C14FF"/>
    <w:rsid w:val="092142EF"/>
    <w:rsid w:val="09246792"/>
    <w:rsid w:val="09255637"/>
    <w:rsid w:val="09260C87"/>
    <w:rsid w:val="092D370C"/>
    <w:rsid w:val="092D5890"/>
    <w:rsid w:val="092D62F0"/>
    <w:rsid w:val="092E2FE0"/>
    <w:rsid w:val="09303153"/>
    <w:rsid w:val="09303554"/>
    <w:rsid w:val="09304FAA"/>
    <w:rsid w:val="093455B9"/>
    <w:rsid w:val="09375C5F"/>
    <w:rsid w:val="093D3A63"/>
    <w:rsid w:val="093E0C75"/>
    <w:rsid w:val="093F0D49"/>
    <w:rsid w:val="093F6F9B"/>
    <w:rsid w:val="094221DB"/>
    <w:rsid w:val="094445B2"/>
    <w:rsid w:val="094840A2"/>
    <w:rsid w:val="094A13A7"/>
    <w:rsid w:val="094A52F6"/>
    <w:rsid w:val="094E3039"/>
    <w:rsid w:val="094E3682"/>
    <w:rsid w:val="09500FA6"/>
    <w:rsid w:val="09523172"/>
    <w:rsid w:val="09524F20"/>
    <w:rsid w:val="0953573F"/>
    <w:rsid w:val="0955714E"/>
    <w:rsid w:val="095602DC"/>
    <w:rsid w:val="095A6D85"/>
    <w:rsid w:val="095B0389"/>
    <w:rsid w:val="095D32EB"/>
    <w:rsid w:val="096441F2"/>
    <w:rsid w:val="09646104"/>
    <w:rsid w:val="0965366A"/>
    <w:rsid w:val="09677133"/>
    <w:rsid w:val="096802A0"/>
    <w:rsid w:val="09694018"/>
    <w:rsid w:val="096A1E50"/>
    <w:rsid w:val="096B31AD"/>
    <w:rsid w:val="096B60C6"/>
    <w:rsid w:val="096D2D05"/>
    <w:rsid w:val="096D3B08"/>
    <w:rsid w:val="096E1AF0"/>
    <w:rsid w:val="096F24B4"/>
    <w:rsid w:val="096F3AB3"/>
    <w:rsid w:val="096F428E"/>
    <w:rsid w:val="09704607"/>
    <w:rsid w:val="097114FB"/>
    <w:rsid w:val="09722A2B"/>
    <w:rsid w:val="09740E87"/>
    <w:rsid w:val="09760DB5"/>
    <w:rsid w:val="09772BD9"/>
    <w:rsid w:val="09773E24"/>
    <w:rsid w:val="0978425B"/>
    <w:rsid w:val="097867E1"/>
    <w:rsid w:val="097A7FD3"/>
    <w:rsid w:val="097B0432"/>
    <w:rsid w:val="097C2DE9"/>
    <w:rsid w:val="097C60B7"/>
    <w:rsid w:val="097E5D15"/>
    <w:rsid w:val="097E71E5"/>
    <w:rsid w:val="09821F29"/>
    <w:rsid w:val="09824B3E"/>
    <w:rsid w:val="098267F6"/>
    <w:rsid w:val="098552F6"/>
    <w:rsid w:val="0985719E"/>
    <w:rsid w:val="09871336"/>
    <w:rsid w:val="09876BF7"/>
    <w:rsid w:val="098B1B4B"/>
    <w:rsid w:val="098B21E0"/>
    <w:rsid w:val="098B3F8E"/>
    <w:rsid w:val="098C5306"/>
    <w:rsid w:val="098F0433"/>
    <w:rsid w:val="098F7F23"/>
    <w:rsid w:val="09905A49"/>
    <w:rsid w:val="099B14BB"/>
    <w:rsid w:val="099B2942"/>
    <w:rsid w:val="099B68C7"/>
    <w:rsid w:val="099D53F0"/>
    <w:rsid w:val="09A237B6"/>
    <w:rsid w:val="09A3577C"/>
    <w:rsid w:val="09A54DF0"/>
    <w:rsid w:val="09A60DC8"/>
    <w:rsid w:val="09A80165"/>
    <w:rsid w:val="09AB79F4"/>
    <w:rsid w:val="09AC2863"/>
    <w:rsid w:val="09AC2C7C"/>
    <w:rsid w:val="09AC2FB6"/>
    <w:rsid w:val="09B5471F"/>
    <w:rsid w:val="09B554AF"/>
    <w:rsid w:val="09B702C0"/>
    <w:rsid w:val="09B71227"/>
    <w:rsid w:val="09B904A8"/>
    <w:rsid w:val="09B96E8C"/>
    <w:rsid w:val="09BC05EC"/>
    <w:rsid w:val="09BE0A46"/>
    <w:rsid w:val="09BE4D75"/>
    <w:rsid w:val="09BE6D79"/>
    <w:rsid w:val="09BF0A3A"/>
    <w:rsid w:val="09C0632E"/>
    <w:rsid w:val="09C12F73"/>
    <w:rsid w:val="09C41CDB"/>
    <w:rsid w:val="09C556F2"/>
    <w:rsid w:val="09C56173"/>
    <w:rsid w:val="09C6146A"/>
    <w:rsid w:val="09C86F91"/>
    <w:rsid w:val="09CA0A04"/>
    <w:rsid w:val="09CD27F9"/>
    <w:rsid w:val="09CE02F9"/>
    <w:rsid w:val="09CF47C3"/>
    <w:rsid w:val="09D2328D"/>
    <w:rsid w:val="09D4008F"/>
    <w:rsid w:val="09D670BD"/>
    <w:rsid w:val="09D930F6"/>
    <w:rsid w:val="09DA51A9"/>
    <w:rsid w:val="09DB7278"/>
    <w:rsid w:val="09DC7FCE"/>
    <w:rsid w:val="09DE536D"/>
    <w:rsid w:val="09DE76CE"/>
    <w:rsid w:val="09E013D8"/>
    <w:rsid w:val="09E244F6"/>
    <w:rsid w:val="09E4703B"/>
    <w:rsid w:val="09E55D95"/>
    <w:rsid w:val="09E813E1"/>
    <w:rsid w:val="09E97995"/>
    <w:rsid w:val="09EA5159"/>
    <w:rsid w:val="09EB524F"/>
    <w:rsid w:val="09ED6F5A"/>
    <w:rsid w:val="09EF1549"/>
    <w:rsid w:val="09EF276F"/>
    <w:rsid w:val="09EF6897"/>
    <w:rsid w:val="09F14739"/>
    <w:rsid w:val="09F47679"/>
    <w:rsid w:val="09F55070"/>
    <w:rsid w:val="09F636B3"/>
    <w:rsid w:val="09FA0553"/>
    <w:rsid w:val="09FB275E"/>
    <w:rsid w:val="09FC6C3A"/>
    <w:rsid w:val="09FD7A5F"/>
    <w:rsid w:val="09FE0C04"/>
    <w:rsid w:val="0A0124A3"/>
    <w:rsid w:val="0A014251"/>
    <w:rsid w:val="0A05688E"/>
    <w:rsid w:val="0A060033"/>
    <w:rsid w:val="0A083831"/>
    <w:rsid w:val="0A084735"/>
    <w:rsid w:val="0A0E3763"/>
    <w:rsid w:val="0A0F3905"/>
    <w:rsid w:val="0A0F3FB7"/>
    <w:rsid w:val="0A1044B8"/>
    <w:rsid w:val="0A137410"/>
    <w:rsid w:val="0A187F18"/>
    <w:rsid w:val="0A193C90"/>
    <w:rsid w:val="0A195A3E"/>
    <w:rsid w:val="0A1A3D63"/>
    <w:rsid w:val="0A20501F"/>
    <w:rsid w:val="0A2166A1"/>
    <w:rsid w:val="0A222B45"/>
    <w:rsid w:val="0A232419"/>
    <w:rsid w:val="0A2543E3"/>
    <w:rsid w:val="0A256191"/>
    <w:rsid w:val="0A284881"/>
    <w:rsid w:val="0A297390"/>
    <w:rsid w:val="0A2B76E6"/>
    <w:rsid w:val="0A2C0C06"/>
    <w:rsid w:val="0A2D5046"/>
    <w:rsid w:val="0A2E74B8"/>
    <w:rsid w:val="0A314BFF"/>
    <w:rsid w:val="0A342878"/>
    <w:rsid w:val="0A35469B"/>
    <w:rsid w:val="0A357927"/>
    <w:rsid w:val="0A372A9F"/>
    <w:rsid w:val="0A3746B8"/>
    <w:rsid w:val="0A391660"/>
    <w:rsid w:val="0A3A097E"/>
    <w:rsid w:val="0A3D0664"/>
    <w:rsid w:val="0A402FCB"/>
    <w:rsid w:val="0A406EBB"/>
    <w:rsid w:val="0A410AF1"/>
    <w:rsid w:val="0A415719"/>
    <w:rsid w:val="0A467399"/>
    <w:rsid w:val="0A4704BB"/>
    <w:rsid w:val="0A4732E1"/>
    <w:rsid w:val="0A481D88"/>
    <w:rsid w:val="0A4925B9"/>
    <w:rsid w:val="0A4B77A5"/>
    <w:rsid w:val="0A4C1970"/>
    <w:rsid w:val="0A4C1DF8"/>
    <w:rsid w:val="0A4C5E14"/>
    <w:rsid w:val="0A4D1921"/>
    <w:rsid w:val="0A4F605B"/>
    <w:rsid w:val="0A544CC8"/>
    <w:rsid w:val="0A595E3B"/>
    <w:rsid w:val="0A5B7E05"/>
    <w:rsid w:val="0A5C592B"/>
    <w:rsid w:val="0A6071C9"/>
    <w:rsid w:val="0A63147A"/>
    <w:rsid w:val="0A680B90"/>
    <w:rsid w:val="0A6C2012"/>
    <w:rsid w:val="0A6D009A"/>
    <w:rsid w:val="0A6D18E6"/>
    <w:rsid w:val="0A6F44B8"/>
    <w:rsid w:val="0A6F59D8"/>
    <w:rsid w:val="0A71587A"/>
    <w:rsid w:val="0A736689"/>
    <w:rsid w:val="0A764C3F"/>
    <w:rsid w:val="0A77539D"/>
    <w:rsid w:val="0A795728"/>
    <w:rsid w:val="0A7B72A1"/>
    <w:rsid w:val="0A80786B"/>
    <w:rsid w:val="0A821835"/>
    <w:rsid w:val="0A8529AB"/>
    <w:rsid w:val="0A8567BE"/>
    <w:rsid w:val="0A856C30"/>
    <w:rsid w:val="0A861318"/>
    <w:rsid w:val="0A876F46"/>
    <w:rsid w:val="0A886CD4"/>
    <w:rsid w:val="0A895308"/>
    <w:rsid w:val="0A8E1F88"/>
    <w:rsid w:val="0A8F392A"/>
    <w:rsid w:val="0A90209F"/>
    <w:rsid w:val="0A911A78"/>
    <w:rsid w:val="0A933DE7"/>
    <w:rsid w:val="0A943317"/>
    <w:rsid w:val="0A951CC1"/>
    <w:rsid w:val="0A964F7F"/>
    <w:rsid w:val="0A973040"/>
    <w:rsid w:val="0A9B46A5"/>
    <w:rsid w:val="0A9D041D"/>
    <w:rsid w:val="0AA068F7"/>
    <w:rsid w:val="0AA21DCC"/>
    <w:rsid w:val="0AA22760"/>
    <w:rsid w:val="0AA55F46"/>
    <w:rsid w:val="0AA90B70"/>
    <w:rsid w:val="0AA978F7"/>
    <w:rsid w:val="0AAB462C"/>
    <w:rsid w:val="0AAC0816"/>
    <w:rsid w:val="0AAC35CD"/>
    <w:rsid w:val="0AAD02CE"/>
    <w:rsid w:val="0AAE43D8"/>
    <w:rsid w:val="0AB00EA7"/>
    <w:rsid w:val="0AB063A2"/>
    <w:rsid w:val="0AB17872"/>
    <w:rsid w:val="0AB319EF"/>
    <w:rsid w:val="0AB416DB"/>
    <w:rsid w:val="0AB52B74"/>
    <w:rsid w:val="0AB802CA"/>
    <w:rsid w:val="0AB81272"/>
    <w:rsid w:val="0AB84D4F"/>
    <w:rsid w:val="0AB85257"/>
    <w:rsid w:val="0ABA143F"/>
    <w:rsid w:val="0ABA2D7D"/>
    <w:rsid w:val="0ABA32A4"/>
    <w:rsid w:val="0ABA7103"/>
    <w:rsid w:val="0ABB6AF5"/>
    <w:rsid w:val="0ABD5450"/>
    <w:rsid w:val="0AC10946"/>
    <w:rsid w:val="0AC309C6"/>
    <w:rsid w:val="0AC36B4B"/>
    <w:rsid w:val="0AC43BFC"/>
    <w:rsid w:val="0AC736EC"/>
    <w:rsid w:val="0AC77248"/>
    <w:rsid w:val="0AC97009"/>
    <w:rsid w:val="0ACC2AB1"/>
    <w:rsid w:val="0AD02B1E"/>
    <w:rsid w:val="0AD100C7"/>
    <w:rsid w:val="0AD35BED"/>
    <w:rsid w:val="0AD57BB7"/>
    <w:rsid w:val="0AD70FE7"/>
    <w:rsid w:val="0AD72607"/>
    <w:rsid w:val="0ADB0D8E"/>
    <w:rsid w:val="0AE0454C"/>
    <w:rsid w:val="0AE0655C"/>
    <w:rsid w:val="0AE06CDF"/>
    <w:rsid w:val="0AE147AE"/>
    <w:rsid w:val="0AE24082"/>
    <w:rsid w:val="0AE447D7"/>
    <w:rsid w:val="0AE47DFA"/>
    <w:rsid w:val="0AE53B72"/>
    <w:rsid w:val="0AE54D53"/>
    <w:rsid w:val="0AE727EE"/>
    <w:rsid w:val="0AED509B"/>
    <w:rsid w:val="0AEF1EE3"/>
    <w:rsid w:val="0AF12355"/>
    <w:rsid w:val="0AF139A7"/>
    <w:rsid w:val="0AF33DC6"/>
    <w:rsid w:val="0AF4446C"/>
    <w:rsid w:val="0AF65D7F"/>
    <w:rsid w:val="0AF674AA"/>
    <w:rsid w:val="0AF74D4E"/>
    <w:rsid w:val="0AFA123A"/>
    <w:rsid w:val="0AFA13CC"/>
    <w:rsid w:val="0AFB24CA"/>
    <w:rsid w:val="0AFC15E8"/>
    <w:rsid w:val="0AFD00AB"/>
    <w:rsid w:val="0AFF69E2"/>
    <w:rsid w:val="0AFF6E07"/>
    <w:rsid w:val="0B0052A5"/>
    <w:rsid w:val="0B041A88"/>
    <w:rsid w:val="0B065FC2"/>
    <w:rsid w:val="0B071D3B"/>
    <w:rsid w:val="0B093FC6"/>
    <w:rsid w:val="0B0A4727"/>
    <w:rsid w:val="0B0E4788"/>
    <w:rsid w:val="0B0E47A0"/>
    <w:rsid w:val="0B0F299D"/>
    <w:rsid w:val="0B100BEF"/>
    <w:rsid w:val="0B106CAC"/>
    <w:rsid w:val="0B1123B1"/>
    <w:rsid w:val="0B112BB9"/>
    <w:rsid w:val="0B12482A"/>
    <w:rsid w:val="0B161F7E"/>
    <w:rsid w:val="0B183F48"/>
    <w:rsid w:val="0B187BFF"/>
    <w:rsid w:val="0B1B64EB"/>
    <w:rsid w:val="0B1C3A38"/>
    <w:rsid w:val="0B1F18C4"/>
    <w:rsid w:val="0B1F7084"/>
    <w:rsid w:val="0B204A9D"/>
    <w:rsid w:val="0B2239FA"/>
    <w:rsid w:val="0B24469B"/>
    <w:rsid w:val="0B266665"/>
    <w:rsid w:val="0B294C45"/>
    <w:rsid w:val="0B2B1FCE"/>
    <w:rsid w:val="0B2C17A1"/>
    <w:rsid w:val="0B2E5519"/>
    <w:rsid w:val="0B2F6673"/>
    <w:rsid w:val="0B322488"/>
    <w:rsid w:val="0B324867"/>
    <w:rsid w:val="0B332B30"/>
    <w:rsid w:val="0B3443DF"/>
    <w:rsid w:val="0B353A4F"/>
    <w:rsid w:val="0B354AFA"/>
    <w:rsid w:val="0B3568A8"/>
    <w:rsid w:val="0B362DA6"/>
    <w:rsid w:val="0B372620"/>
    <w:rsid w:val="0B3B6003"/>
    <w:rsid w:val="0B3C2631"/>
    <w:rsid w:val="0B3C6DA8"/>
    <w:rsid w:val="0B3F0616"/>
    <w:rsid w:val="0B433AF2"/>
    <w:rsid w:val="0B4A355A"/>
    <w:rsid w:val="0B4A5BCD"/>
    <w:rsid w:val="0B4B60CB"/>
    <w:rsid w:val="0B4E219A"/>
    <w:rsid w:val="0B500328"/>
    <w:rsid w:val="0B505490"/>
    <w:rsid w:val="0B510D02"/>
    <w:rsid w:val="0B51492D"/>
    <w:rsid w:val="0B521208"/>
    <w:rsid w:val="0B562520"/>
    <w:rsid w:val="0B57681E"/>
    <w:rsid w:val="0B5964AA"/>
    <w:rsid w:val="0B5A13F4"/>
    <w:rsid w:val="0B5C3E34"/>
    <w:rsid w:val="0B5C7A80"/>
    <w:rsid w:val="0B5F6506"/>
    <w:rsid w:val="0B6149B5"/>
    <w:rsid w:val="0B626F71"/>
    <w:rsid w:val="0B64718D"/>
    <w:rsid w:val="0B653679"/>
    <w:rsid w:val="0B661A58"/>
    <w:rsid w:val="0B6658BD"/>
    <w:rsid w:val="0B671F05"/>
    <w:rsid w:val="0B6902FF"/>
    <w:rsid w:val="0B6947A3"/>
    <w:rsid w:val="0B6B22C9"/>
    <w:rsid w:val="0B6B5998"/>
    <w:rsid w:val="0B6C7DF0"/>
    <w:rsid w:val="0B6D2CFE"/>
    <w:rsid w:val="0B6E5916"/>
    <w:rsid w:val="0B710F08"/>
    <w:rsid w:val="0B756E97"/>
    <w:rsid w:val="0B7A250D"/>
    <w:rsid w:val="0B7B7B9F"/>
    <w:rsid w:val="0B7D7BCE"/>
    <w:rsid w:val="0B80322F"/>
    <w:rsid w:val="0B810E9E"/>
    <w:rsid w:val="0B8359AC"/>
    <w:rsid w:val="0B8415DD"/>
    <w:rsid w:val="0B8909A2"/>
    <w:rsid w:val="0B89451B"/>
    <w:rsid w:val="0B8C1C46"/>
    <w:rsid w:val="0B8C7D0B"/>
    <w:rsid w:val="0B8E122D"/>
    <w:rsid w:val="0B8E16AB"/>
    <w:rsid w:val="0B8E5FB8"/>
    <w:rsid w:val="0B9065D2"/>
    <w:rsid w:val="0B920097"/>
    <w:rsid w:val="0B9263C7"/>
    <w:rsid w:val="0B927856"/>
    <w:rsid w:val="0B947433"/>
    <w:rsid w:val="0B957346"/>
    <w:rsid w:val="0B97217C"/>
    <w:rsid w:val="0B981389"/>
    <w:rsid w:val="0B9B06C1"/>
    <w:rsid w:val="0BA0204B"/>
    <w:rsid w:val="0BA0772C"/>
    <w:rsid w:val="0BA352FE"/>
    <w:rsid w:val="0BA510D5"/>
    <w:rsid w:val="0BA61553"/>
    <w:rsid w:val="0BA7774D"/>
    <w:rsid w:val="0BA80E28"/>
    <w:rsid w:val="0BA85FE8"/>
    <w:rsid w:val="0BAB0442"/>
    <w:rsid w:val="0BAD28E2"/>
    <w:rsid w:val="0BAD401F"/>
    <w:rsid w:val="0BAF665A"/>
    <w:rsid w:val="0BB023D2"/>
    <w:rsid w:val="0BB3364C"/>
    <w:rsid w:val="0BB35294"/>
    <w:rsid w:val="0BB46F7E"/>
    <w:rsid w:val="0BB643CC"/>
    <w:rsid w:val="0BB664A4"/>
    <w:rsid w:val="0BB73761"/>
    <w:rsid w:val="0BB92D4D"/>
    <w:rsid w:val="0BBC2B25"/>
    <w:rsid w:val="0BBE452D"/>
    <w:rsid w:val="0BBE7A94"/>
    <w:rsid w:val="0BBF6171"/>
    <w:rsid w:val="0BC02D85"/>
    <w:rsid w:val="0BC226DF"/>
    <w:rsid w:val="0BC25AC9"/>
    <w:rsid w:val="0BC63851"/>
    <w:rsid w:val="0BC67F78"/>
    <w:rsid w:val="0BC8278A"/>
    <w:rsid w:val="0BCB2D68"/>
    <w:rsid w:val="0BCB4025"/>
    <w:rsid w:val="0BCC4492"/>
    <w:rsid w:val="0BCD4D32"/>
    <w:rsid w:val="0BCD6AE0"/>
    <w:rsid w:val="0BCE4606"/>
    <w:rsid w:val="0BCF7CA1"/>
    <w:rsid w:val="0BD0413A"/>
    <w:rsid w:val="0BD065D0"/>
    <w:rsid w:val="0BD17250"/>
    <w:rsid w:val="0BD5665C"/>
    <w:rsid w:val="0BD7795F"/>
    <w:rsid w:val="0BDA6398"/>
    <w:rsid w:val="0BDA6660"/>
    <w:rsid w:val="0BDB29CF"/>
    <w:rsid w:val="0BDC0B16"/>
    <w:rsid w:val="0BDE2A9B"/>
    <w:rsid w:val="0BE502CE"/>
    <w:rsid w:val="0BE57F13"/>
    <w:rsid w:val="0BE676B5"/>
    <w:rsid w:val="0BE90522"/>
    <w:rsid w:val="0BEA2470"/>
    <w:rsid w:val="0BEA46B1"/>
    <w:rsid w:val="0BEB51B8"/>
    <w:rsid w:val="0BEB6B55"/>
    <w:rsid w:val="0BEB75B1"/>
    <w:rsid w:val="0BEF2EFA"/>
    <w:rsid w:val="0BEF336F"/>
    <w:rsid w:val="0BEF4CA9"/>
    <w:rsid w:val="0BF00A21"/>
    <w:rsid w:val="0BF105BE"/>
    <w:rsid w:val="0BF40067"/>
    <w:rsid w:val="0BF453A3"/>
    <w:rsid w:val="0BF55E1C"/>
    <w:rsid w:val="0BF91683"/>
    <w:rsid w:val="0BFB189F"/>
    <w:rsid w:val="0BFC54F5"/>
    <w:rsid w:val="0BFC66C8"/>
    <w:rsid w:val="0C0408B4"/>
    <w:rsid w:val="0C041071"/>
    <w:rsid w:val="0C0651AD"/>
    <w:rsid w:val="0C0944D1"/>
    <w:rsid w:val="0C0B585A"/>
    <w:rsid w:val="0C0D6C26"/>
    <w:rsid w:val="0C0E5AEB"/>
    <w:rsid w:val="0C105729"/>
    <w:rsid w:val="0C11189F"/>
    <w:rsid w:val="0C16497C"/>
    <w:rsid w:val="0C185021"/>
    <w:rsid w:val="0C1A4568"/>
    <w:rsid w:val="0C1B3CF0"/>
    <w:rsid w:val="0C1C7A68"/>
    <w:rsid w:val="0C1F363C"/>
    <w:rsid w:val="0C213BB5"/>
    <w:rsid w:val="0C252478"/>
    <w:rsid w:val="0C26093E"/>
    <w:rsid w:val="0C2B3807"/>
    <w:rsid w:val="0C2B47B0"/>
    <w:rsid w:val="0C2D3A23"/>
    <w:rsid w:val="0C2E24BC"/>
    <w:rsid w:val="0C3157FF"/>
    <w:rsid w:val="0C322DE7"/>
    <w:rsid w:val="0C32507C"/>
    <w:rsid w:val="0C332F42"/>
    <w:rsid w:val="0C360952"/>
    <w:rsid w:val="0C372408"/>
    <w:rsid w:val="0C4079B8"/>
    <w:rsid w:val="0C4274CE"/>
    <w:rsid w:val="0C452A2F"/>
    <w:rsid w:val="0C476893"/>
    <w:rsid w:val="0C4843B9"/>
    <w:rsid w:val="0C48517F"/>
    <w:rsid w:val="0C497853"/>
    <w:rsid w:val="0C4A4ECC"/>
    <w:rsid w:val="0C4A7332"/>
    <w:rsid w:val="0C4B5A65"/>
    <w:rsid w:val="0C4C2685"/>
    <w:rsid w:val="0C4D1ADB"/>
    <w:rsid w:val="0C5114BF"/>
    <w:rsid w:val="0C526741"/>
    <w:rsid w:val="0C542D5E"/>
    <w:rsid w:val="0C57284E"/>
    <w:rsid w:val="0C5936DE"/>
    <w:rsid w:val="0C5A3AFD"/>
    <w:rsid w:val="0C5B233E"/>
    <w:rsid w:val="0C601702"/>
    <w:rsid w:val="0C606ACD"/>
    <w:rsid w:val="0C607954"/>
    <w:rsid w:val="0C6236CC"/>
    <w:rsid w:val="0C63136B"/>
    <w:rsid w:val="0C637445"/>
    <w:rsid w:val="0C653200"/>
    <w:rsid w:val="0C654F33"/>
    <w:rsid w:val="0C662A91"/>
    <w:rsid w:val="0C693333"/>
    <w:rsid w:val="0C6D112D"/>
    <w:rsid w:val="0C6D3E1F"/>
    <w:rsid w:val="0C6E3E61"/>
    <w:rsid w:val="0C732EEE"/>
    <w:rsid w:val="0C7451AE"/>
    <w:rsid w:val="0C760F26"/>
    <w:rsid w:val="0C763554"/>
    <w:rsid w:val="0C774464"/>
    <w:rsid w:val="0C7B42D5"/>
    <w:rsid w:val="0C7E414B"/>
    <w:rsid w:val="0C7E7DDA"/>
    <w:rsid w:val="0C82125C"/>
    <w:rsid w:val="0C8317C7"/>
    <w:rsid w:val="0C833643"/>
    <w:rsid w:val="0C847D58"/>
    <w:rsid w:val="0C8573BB"/>
    <w:rsid w:val="0C8621D3"/>
    <w:rsid w:val="0C8A2C23"/>
    <w:rsid w:val="0C8F3D96"/>
    <w:rsid w:val="0C90517B"/>
    <w:rsid w:val="0C906FF5"/>
    <w:rsid w:val="0C92607D"/>
    <w:rsid w:val="0C950B9E"/>
    <w:rsid w:val="0C954ACE"/>
    <w:rsid w:val="0C9668AB"/>
    <w:rsid w:val="0C980C60"/>
    <w:rsid w:val="0C9A5B78"/>
    <w:rsid w:val="0C9C0D05"/>
    <w:rsid w:val="0C9F65F1"/>
    <w:rsid w:val="0CA73F52"/>
    <w:rsid w:val="0CA826EC"/>
    <w:rsid w:val="0CA87D5C"/>
    <w:rsid w:val="0CA95685"/>
    <w:rsid w:val="0CA95984"/>
    <w:rsid w:val="0CAD07AE"/>
    <w:rsid w:val="0CAE6912"/>
    <w:rsid w:val="0CAF0F3D"/>
    <w:rsid w:val="0CB17C12"/>
    <w:rsid w:val="0CB33F28"/>
    <w:rsid w:val="0CB35867"/>
    <w:rsid w:val="0CB35CD6"/>
    <w:rsid w:val="0CB608A8"/>
    <w:rsid w:val="0CB96E09"/>
    <w:rsid w:val="0CBA3508"/>
    <w:rsid w:val="0CBB22AC"/>
    <w:rsid w:val="0CBB4B8B"/>
    <w:rsid w:val="0CC23E2E"/>
    <w:rsid w:val="0CC26892"/>
    <w:rsid w:val="0CC33C1B"/>
    <w:rsid w:val="0CC46135"/>
    <w:rsid w:val="0CC47EE3"/>
    <w:rsid w:val="0CC71781"/>
    <w:rsid w:val="0CC807DA"/>
    <w:rsid w:val="0CC9374C"/>
    <w:rsid w:val="0CCC77DA"/>
    <w:rsid w:val="0CCD2354"/>
    <w:rsid w:val="0CCE224F"/>
    <w:rsid w:val="0CCE3A1E"/>
    <w:rsid w:val="0CCF1E13"/>
    <w:rsid w:val="0CD21ED4"/>
    <w:rsid w:val="0CD32DDF"/>
    <w:rsid w:val="0CD5331C"/>
    <w:rsid w:val="0CD540D5"/>
    <w:rsid w:val="0CD80FB6"/>
    <w:rsid w:val="0CD94122"/>
    <w:rsid w:val="0CD94771"/>
    <w:rsid w:val="0CDB522D"/>
    <w:rsid w:val="0CDD4A4E"/>
    <w:rsid w:val="0CDF2F6F"/>
    <w:rsid w:val="0CE46022"/>
    <w:rsid w:val="0CE5008E"/>
    <w:rsid w:val="0CE71DE0"/>
    <w:rsid w:val="0CE92278"/>
    <w:rsid w:val="0CE9794A"/>
    <w:rsid w:val="0CEF6BD7"/>
    <w:rsid w:val="0CF020E3"/>
    <w:rsid w:val="0CF06F2A"/>
    <w:rsid w:val="0CF236F8"/>
    <w:rsid w:val="0CF34297"/>
    <w:rsid w:val="0CF71B5A"/>
    <w:rsid w:val="0CF9470F"/>
    <w:rsid w:val="0CF97B3D"/>
    <w:rsid w:val="0CFB58CF"/>
    <w:rsid w:val="0D0069DE"/>
    <w:rsid w:val="0D015256"/>
    <w:rsid w:val="0D03679A"/>
    <w:rsid w:val="0D040760"/>
    <w:rsid w:val="0D04104B"/>
    <w:rsid w:val="0D044784"/>
    <w:rsid w:val="0D077DD0"/>
    <w:rsid w:val="0D080EBF"/>
    <w:rsid w:val="0D085D56"/>
    <w:rsid w:val="0D091D9A"/>
    <w:rsid w:val="0D0B1E7C"/>
    <w:rsid w:val="0D0B3D64"/>
    <w:rsid w:val="0D0C188A"/>
    <w:rsid w:val="0D116321"/>
    <w:rsid w:val="0D156991"/>
    <w:rsid w:val="0D166265"/>
    <w:rsid w:val="0D1A7D7B"/>
    <w:rsid w:val="0D1B365A"/>
    <w:rsid w:val="0D1C2595"/>
    <w:rsid w:val="0D1C767F"/>
    <w:rsid w:val="0D2005D6"/>
    <w:rsid w:val="0D2131A7"/>
    <w:rsid w:val="0D2255D2"/>
    <w:rsid w:val="0D232E37"/>
    <w:rsid w:val="0D233491"/>
    <w:rsid w:val="0D23735A"/>
    <w:rsid w:val="0D251429"/>
    <w:rsid w:val="0D270472"/>
    <w:rsid w:val="0D2766C4"/>
    <w:rsid w:val="0D2904C6"/>
    <w:rsid w:val="0D29243C"/>
    <w:rsid w:val="0D2A4259"/>
    <w:rsid w:val="0D301714"/>
    <w:rsid w:val="0D3318E4"/>
    <w:rsid w:val="0D3509E7"/>
    <w:rsid w:val="0D35752C"/>
    <w:rsid w:val="0D3A01A5"/>
    <w:rsid w:val="0D3A3D4E"/>
    <w:rsid w:val="0D3A63F7"/>
    <w:rsid w:val="0D3B7E14"/>
    <w:rsid w:val="0D3C4317"/>
    <w:rsid w:val="0D3E47AD"/>
    <w:rsid w:val="0D3F0603"/>
    <w:rsid w:val="0D3F07F1"/>
    <w:rsid w:val="0D405202"/>
    <w:rsid w:val="0D407866"/>
    <w:rsid w:val="0D415C78"/>
    <w:rsid w:val="0D416D9E"/>
    <w:rsid w:val="0D441024"/>
    <w:rsid w:val="0D464D9C"/>
    <w:rsid w:val="0D470B14"/>
    <w:rsid w:val="0D470D78"/>
    <w:rsid w:val="0D4728C2"/>
    <w:rsid w:val="0D4763E7"/>
    <w:rsid w:val="0D481120"/>
    <w:rsid w:val="0D483201"/>
    <w:rsid w:val="0D4B1CD1"/>
    <w:rsid w:val="0D4B4FD6"/>
    <w:rsid w:val="0D4B5F8A"/>
    <w:rsid w:val="0D4C3EFE"/>
    <w:rsid w:val="0D4F1B22"/>
    <w:rsid w:val="0D4F1CD8"/>
    <w:rsid w:val="0D501596"/>
    <w:rsid w:val="0D501777"/>
    <w:rsid w:val="0D511E4A"/>
    <w:rsid w:val="0D5648B3"/>
    <w:rsid w:val="0D58687D"/>
    <w:rsid w:val="0D5A3338"/>
    <w:rsid w:val="0D5F5E5E"/>
    <w:rsid w:val="0D6014DD"/>
    <w:rsid w:val="0D6115F5"/>
    <w:rsid w:val="0D6452E3"/>
    <w:rsid w:val="0D662D48"/>
    <w:rsid w:val="0D6A409F"/>
    <w:rsid w:val="0D6B65B1"/>
    <w:rsid w:val="0D6C2329"/>
    <w:rsid w:val="0D6C40D7"/>
    <w:rsid w:val="0D6D5D30"/>
    <w:rsid w:val="0D6F0642"/>
    <w:rsid w:val="0D70006B"/>
    <w:rsid w:val="0D7123E9"/>
    <w:rsid w:val="0D7342FE"/>
    <w:rsid w:val="0D7403DE"/>
    <w:rsid w:val="0D754339"/>
    <w:rsid w:val="0D761A1F"/>
    <w:rsid w:val="0D774F56"/>
    <w:rsid w:val="0D7A1990"/>
    <w:rsid w:val="0D7C0F42"/>
    <w:rsid w:val="0D7E7B62"/>
    <w:rsid w:val="0D805053"/>
    <w:rsid w:val="0D817B82"/>
    <w:rsid w:val="0D837D9E"/>
    <w:rsid w:val="0D86163D"/>
    <w:rsid w:val="0D8D4EC5"/>
    <w:rsid w:val="0D8E2BDF"/>
    <w:rsid w:val="0D8F29E4"/>
    <w:rsid w:val="0D913B3D"/>
    <w:rsid w:val="0D915FD5"/>
    <w:rsid w:val="0D935B07"/>
    <w:rsid w:val="0D945FE2"/>
    <w:rsid w:val="0D971E4A"/>
    <w:rsid w:val="0D9765DF"/>
    <w:rsid w:val="0D9A107B"/>
    <w:rsid w:val="0D9B6C4A"/>
    <w:rsid w:val="0D9C7E6A"/>
    <w:rsid w:val="0D9E6986"/>
    <w:rsid w:val="0D9F52BA"/>
    <w:rsid w:val="0DA03D99"/>
    <w:rsid w:val="0DA11B28"/>
    <w:rsid w:val="0DA16476"/>
    <w:rsid w:val="0DA230FC"/>
    <w:rsid w:val="0DA27AF9"/>
    <w:rsid w:val="0DA43871"/>
    <w:rsid w:val="0DA6583B"/>
    <w:rsid w:val="0DA707B9"/>
    <w:rsid w:val="0DA77418"/>
    <w:rsid w:val="0DA907EF"/>
    <w:rsid w:val="0DA90E87"/>
    <w:rsid w:val="0DAC2403"/>
    <w:rsid w:val="0DAD0977"/>
    <w:rsid w:val="0DAE1B89"/>
    <w:rsid w:val="0DB1023D"/>
    <w:rsid w:val="0DB201C0"/>
    <w:rsid w:val="0DB37F58"/>
    <w:rsid w:val="0DB461AA"/>
    <w:rsid w:val="0DB84BA2"/>
    <w:rsid w:val="0DBA05C0"/>
    <w:rsid w:val="0DBE1A50"/>
    <w:rsid w:val="0DC1467A"/>
    <w:rsid w:val="0DC23221"/>
    <w:rsid w:val="0DC3019B"/>
    <w:rsid w:val="0DC33621"/>
    <w:rsid w:val="0DC36651"/>
    <w:rsid w:val="0DC4058F"/>
    <w:rsid w:val="0DC83A03"/>
    <w:rsid w:val="0DC91529"/>
    <w:rsid w:val="0DC9375D"/>
    <w:rsid w:val="0DC9476C"/>
    <w:rsid w:val="0DC97C18"/>
    <w:rsid w:val="0DCA796E"/>
    <w:rsid w:val="0DCA7D52"/>
    <w:rsid w:val="0DCB34F3"/>
    <w:rsid w:val="0DCC024E"/>
    <w:rsid w:val="0DCD44C9"/>
    <w:rsid w:val="0DCD54AC"/>
    <w:rsid w:val="0DCE6B40"/>
    <w:rsid w:val="0DD028B8"/>
    <w:rsid w:val="0DD12DB9"/>
    <w:rsid w:val="0DD141D6"/>
    <w:rsid w:val="0DD248FB"/>
    <w:rsid w:val="0DD51C7C"/>
    <w:rsid w:val="0DD56120"/>
    <w:rsid w:val="0DD73C46"/>
    <w:rsid w:val="0DD816A2"/>
    <w:rsid w:val="0DD81A96"/>
    <w:rsid w:val="0DDA7292"/>
    <w:rsid w:val="0DDB1CC4"/>
    <w:rsid w:val="0DDB6BA9"/>
    <w:rsid w:val="0DDC125D"/>
    <w:rsid w:val="0DDF2AFB"/>
    <w:rsid w:val="0DE243F0"/>
    <w:rsid w:val="0DE66214"/>
    <w:rsid w:val="0DE85E53"/>
    <w:rsid w:val="0DE95727"/>
    <w:rsid w:val="0DE97FB1"/>
    <w:rsid w:val="0DED16BC"/>
    <w:rsid w:val="0DEE0F90"/>
    <w:rsid w:val="0DEE3BAE"/>
    <w:rsid w:val="0DF06AB6"/>
    <w:rsid w:val="0DF465A6"/>
    <w:rsid w:val="0DF476ED"/>
    <w:rsid w:val="0DF546A6"/>
    <w:rsid w:val="0DF73A45"/>
    <w:rsid w:val="0DF826B9"/>
    <w:rsid w:val="0DF83342"/>
    <w:rsid w:val="0DFA7935"/>
    <w:rsid w:val="0DFC36AD"/>
    <w:rsid w:val="0DFC545B"/>
    <w:rsid w:val="0DFC5A94"/>
    <w:rsid w:val="0DFD52D4"/>
    <w:rsid w:val="0DFE4B58"/>
    <w:rsid w:val="0E03425A"/>
    <w:rsid w:val="0E081A5C"/>
    <w:rsid w:val="0E0C1F93"/>
    <w:rsid w:val="0E0D1416"/>
    <w:rsid w:val="0E0E7662"/>
    <w:rsid w:val="0E101EB9"/>
    <w:rsid w:val="0E1409F6"/>
    <w:rsid w:val="0E1704E7"/>
    <w:rsid w:val="0E172295"/>
    <w:rsid w:val="0E173A09"/>
    <w:rsid w:val="0E176AA9"/>
    <w:rsid w:val="0E185C00"/>
    <w:rsid w:val="0E191DFB"/>
    <w:rsid w:val="0E1C10F3"/>
    <w:rsid w:val="0E1C42D0"/>
    <w:rsid w:val="0E1C5AFD"/>
    <w:rsid w:val="0E1D1A69"/>
    <w:rsid w:val="0E1E0331"/>
    <w:rsid w:val="0E1E4D6B"/>
    <w:rsid w:val="0E20502E"/>
    <w:rsid w:val="0E245572"/>
    <w:rsid w:val="0E270499"/>
    <w:rsid w:val="0E273934"/>
    <w:rsid w:val="0E295C2C"/>
    <w:rsid w:val="0E2C2B37"/>
    <w:rsid w:val="0E2D7D0A"/>
    <w:rsid w:val="0E2E7323"/>
    <w:rsid w:val="0E2F3A82"/>
    <w:rsid w:val="0E312C51"/>
    <w:rsid w:val="0E315F77"/>
    <w:rsid w:val="0E3270CE"/>
    <w:rsid w:val="0E3302DF"/>
    <w:rsid w:val="0E3855FA"/>
    <w:rsid w:val="0E3A5F83"/>
    <w:rsid w:val="0E3F25F0"/>
    <w:rsid w:val="0E407A3D"/>
    <w:rsid w:val="0E4137B5"/>
    <w:rsid w:val="0E415563"/>
    <w:rsid w:val="0E426292"/>
    <w:rsid w:val="0E432465"/>
    <w:rsid w:val="0E441439"/>
    <w:rsid w:val="0E442901"/>
    <w:rsid w:val="0E464928"/>
    <w:rsid w:val="0E4768C0"/>
    <w:rsid w:val="0E4F5ED2"/>
    <w:rsid w:val="0E4F734C"/>
    <w:rsid w:val="0E512707"/>
    <w:rsid w:val="0E545297"/>
    <w:rsid w:val="0E566C11"/>
    <w:rsid w:val="0E5704C1"/>
    <w:rsid w:val="0E5B6625"/>
    <w:rsid w:val="0E5C414B"/>
    <w:rsid w:val="0E5E2469"/>
    <w:rsid w:val="0E600FE7"/>
    <w:rsid w:val="0E606097"/>
    <w:rsid w:val="0E613956"/>
    <w:rsid w:val="0E627010"/>
    <w:rsid w:val="0E630180"/>
    <w:rsid w:val="0E644DE1"/>
    <w:rsid w:val="0E653000"/>
    <w:rsid w:val="0E681446"/>
    <w:rsid w:val="0E6850CB"/>
    <w:rsid w:val="0E6911C2"/>
    <w:rsid w:val="0E6F41E3"/>
    <w:rsid w:val="0E707BF7"/>
    <w:rsid w:val="0E715E49"/>
    <w:rsid w:val="0E721A6C"/>
    <w:rsid w:val="0E750700"/>
    <w:rsid w:val="0E75128A"/>
    <w:rsid w:val="0E7964FD"/>
    <w:rsid w:val="0E7A0BCF"/>
    <w:rsid w:val="0E7D2A40"/>
    <w:rsid w:val="0E8027DC"/>
    <w:rsid w:val="0E813BB2"/>
    <w:rsid w:val="0E833DCE"/>
    <w:rsid w:val="0E8365C6"/>
    <w:rsid w:val="0E843AFF"/>
    <w:rsid w:val="0E873ED2"/>
    <w:rsid w:val="0E875836"/>
    <w:rsid w:val="0E883192"/>
    <w:rsid w:val="0E8910BD"/>
    <w:rsid w:val="0E892833"/>
    <w:rsid w:val="0E8973CD"/>
    <w:rsid w:val="0E8A0CB9"/>
    <w:rsid w:val="0E8B5502"/>
    <w:rsid w:val="0E8C2BD9"/>
    <w:rsid w:val="0E8C4899"/>
    <w:rsid w:val="0E903FD6"/>
    <w:rsid w:val="0E941B37"/>
    <w:rsid w:val="0E96765D"/>
    <w:rsid w:val="0E9733D5"/>
    <w:rsid w:val="0E997665"/>
    <w:rsid w:val="0E9B2EC6"/>
    <w:rsid w:val="0E9E29B6"/>
    <w:rsid w:val="0EA0228A"/>
    <w:rsid w:val="0EA115D7"/>
    <w:rsid w:val="0EA16002"/>
    <w:rsid w:val="0EA224A6"/>
    <w:rsid w:val="0EA3062B"/>
    <w:rsid w:val="0EAD7827"/>
    <w:rsid w:val="0EB256CB"/>
    <w:rsid w:val="0EB36461"/>
    <w:rsid w:val="0EB421D9"/>
    <w:rsid w:val="0EB52D6A"/>
    <w:rsid w:val="0EB57808"/>
    <w:rsid w:val="0EB6238A"/>
    <w:rsid w:val="0EB84C8D"/>
    <w:rsid w:val="0EBB3568"/>
    <w:rsid w:val="0EBB5380"/>
    <w:rsid w:val="0EBC4BEA"/>
    <w:rsid w:val="0EC00B7E"/>
    <w:rsid w:val="0EC35A82"/>
    <w:rsid w:val="0EC51CF1"/>
    <w:rsid w:val="0EC63FC1"/>
    <w:rsid w:val="0EC6483A"/>
    <w:rsid w:val="0EC821F7"/>
    <w:rsid w:val="0EC86A0D"/>
    <w:rsid w:val="0ECA573F"/>
    <w:rsid w:val="0ECC16CC"/>
    <w:rsid w:val="0ECD1453"/>
    <w:rsid w:val="0ECD5610"/>
    <w:rsid w:val="0ECE1FF2"/>
    <w:rsid w:val="0ECE6141"/>
    <w:rsid w:val="0ECE702F"/>
    <w:rsid w:val="0ECF0DC1"/>
    <w:rsid w:val="0ED04A7F"/>
    <w:rsid w:val="0ED20AB6"/>
    <w:rsid w:val="0ED353B6"/>
    <w:rsid w:val="0ED46221"/>
    <w:rsid w:val="0ED55183"/>
    <w:rsid w:val="0ED87BB1"/>
    <w:rsid w:val="0EDA02D8"/>
    <w:rsid w:val="0EDB1514"/>
    <w:rsid w:val="0EDB1768"/>
    <w:rsid w:val="0EDD45BC"/>
    <w:rsid w:val="0EDF1AEA"/>
    <w:rsid w:val="0EE037F8"/>
    <w:rsid w:val="0EE55D05"/>
    <w:rsid w:val="0EE634A6"/>
    <w:rsid w:val="0EE72A52"/>
    <w:rsid w:val="0EEF6865"/>
    <w:rsid w:val="0EF3685E"/>
    <w:rsid w:val="0EF67752"/>
    <w:rsid w:val="0EFC4554"/>
    <w:rsid w:val="0EFC5932"/>
    <w:rsid w:val="0EFD592E"/>
    <w:rsid w:val="0EFD76DC"/>
    <w:rsid w:val="0EFF2622"/>
    <w:rsid w:val="0F052A35"/>
    <w:rsid w:val="0F055BCD"/>
    <w:rsid w:val="0F06752C"/>
    <w:rsid w:val="0F0A1DF9"/>
    <w:rsid w:val="0F0E18EA"/>
    <w:rsid w:val="0F0F08D0"/>
    <w:rsid w:val="0F0F77CA"/>
    <w:rsid w:val="0F103C8B"/>
    <w:rsid w:val="0F1113D7"/>
    <w:rsid w:val="0F111FDB"/>
    <w:rsid w:val="0F11369E"/>
    <w:rsid w:val="0F114F36"/>
    <w:rsid w:val="0F115710"/>
    <w:rsid w:val="0F130337"/>
    <w:rsid w:val="0F13113D"/>
    <w:rsid w:val="0F147922"/>
    <w:rsid w:val="0F151F49"/>
    <w:rsid w:val="0F1669F0"/>
    <w:rsid w:val="0F185116"/>
    <w:rsid w:val="0F190C16"/>
    <w:rsid w:val="0F1953E7"/>
    <w:rsid w:val="0F1A74E1"/>
    <w:rsid w:val="0F1B4006"/>
    <w:rsid w:val="0F1B6A72"/>
    <w:rsid w:val="0F1D38DB"/>
    <w:rsid w:val="0F1E3D17"/>
    <w:rsid w:val="0F1F5C14"/>
    <w:rsid w:val="0F204BAE"/>
    <w:rsid w:val="0F211612"/>
    <w:rsid w:val="0F227D2C"/>
    <w:rsid w:val="0F282FC6"/>
    <w:rsid w:val="0F2904D1"/>
    <w:rsid w:val="0F294770"/>
    <w:rsid w:val="0F2C3FDF"/>
    <w:rsid w:val="0F2C5F64"/>
    <w:rsid w:val="0F2D5755"/>
    <w:rsid w:val="0F2D785B"/>
    <w:rsid w:val="0F2E69ED"/>
    <w:rsid w:val="0F2E7896"/>
    <w:rsid w:val="0F301610"/>
    <w:rsid w:val="0F3020DD"/>
    <w:rsid w:val="0F31382A"/>
    <w:rsid w:val="0F337DA7"/>
    <w:rsid w:val="0F380D9A"/>
    <w:rsid w:val="0F3A7390"/>
    <w:rsid w:val="0F3B0205"/>
    <w:rsid w:val="0F3B1FB3"/>
    <w:rsid w:val="0F3C1B01"/>
    <w:rsid w:val="0F3C2F15"/>
    <w:rsid w:val="0F3D439E"/>
    <w:rsid w:val="0F400BA0"/>
    <w:rsid w:val="0F43513D"/>
    <w:rsid w:val="0F450727"/>
    <w:rsid w:val="0F451083"/>
    <w:rsid w:val="0F452E31"/>
    <w:rsid w:val="0F4543A7"/>
    <w:rsid w:val="0F49054D"/>
    <w:rsid w:val="0F49109B"/>
    <w:rsid w:val="0F4C5F6E"/>
    <w:rsid w:val="0F4F6F9D"/>
    <w:rsid w:val="0F501F02"/>
    <w:rsid w:val="0F506F98"/>
    <w:rsid w:val="0F5546E2"/>
    <w:rsid w:val="0F566DED"/>
    <w:rsid w:val="0F583699"/>
    <w:rsid w:val="0F5C437C"/>
    <w:rsid w:val="0F5C6D10"/>
    <w:rsid w:val="0F5D157F"/>
    <w:rsid w:val="0F5F5CA1"/>
    <w:rsid w:val="0F601A19"/>
    <w:rsid w:val="0F625A7E"/>
    <w:rsid w:val="0F644205"/>
    <w:rsid w:val="0F651213"/>
    <w:rsid w:val="0F6609D1"/>
    <w:rsid w:val="0F67278C"/>
    <w:rsid w:val="0F6B0B12"/>
    <w:rsid w:val="0F6B3041"/>
    <w:rsid w:val="0F6B50CB"/>
    <w:rsid w:val="0F6E5418"/>
    <w:rsid w:val="0F7423F2"/>
    <w:rsid w:val="0F7A0D2D"/>
    <w:rsid w:val="0F7B412C"/>
    <w:rsid w:val="0F7B6853"/>
    <w:rsid w:val="0F817E76"/>
    <w:rsid w:val="0F827BE2"/>
    <w:rsid w:val="0F847388"/>
    <w:rsid w:val="0F851480"/>
    <w:rsid w:val="0F86109D"/>
    <w:rsid w:val="0F8728B5"/>
    <w:rsid w:val="0F8932E2"/>
    <w:rsid w:val="0F8A5DC2"/>
    <w:rsid w:val="0F8D6973"/>
    <w:rsid w:val="0F8E2A2A"/>
    <w:rsid w:val="0F931ED3"/>
    <w:rsid w:val="0F953DB9"/>
    <w:rsid w:val="0F974E41"/>
    <w:rsid w:val="0F9811B3"/>
    <w:rsid w:val="0F995910"/>
    <w:rsid w:val="0F9F1332"/>
    <w:rsid w:val="0FA011D9"/>
    <w:rsid w:val="0FA062BA"/>
    <w:rsid w:val="0FA21C1C"/>
    <w:rsid w:val="0FA91612"/>
    <w:rsid w:val="0FAB538A"/>
    <w:rsid w:val="0FAB64D8"/>
    <w:rsid w:val="0FAF50EA"/>
    <w:rsid w:val="0FB21B7D"/>
    <w:rsid w:val="0FB6156B"/>
    <w:rsid w:val="0FB6788B"/>
    <w:rsid w:val="0FB72B2B"/>
    <w:rsid w:val="0FB770C1"/>
    <w:rsid w:val="0FB86925"/>
    <w:rsid w:val="0FB95FF5"/>
    <w:rsid w:val="0FBB73C9"/>
    <w:rsid w:val="0FBC0EA0"/>
    <w:rsid w:val="0FBE0A70"/>
    <w:rsid w:val="0FBE191F"/>
    <w:rsid w:val="0FBF0D10"/>
    <w:rsid w:val="0FBF36B0"/>
    <w:rsid w:val="0FBF4992"/>
    <w:rsid w:val="0FBF64FF"/>
    <w:rsid w:val="0FC03B56"/>
    <w:rsid w:val="0FC1070A"/>
    <w:rsid w:val="0FC235BB"/>
    <w:rsid w:val="0FC31E03"/>
    <w:rsid w:val="0FC41FA8"/>
    <w:rsid w:val="0FC4644C"/>
    <w:rsid w:val="0FC538A0"/>
    <w:rsid w:val="0FC87CEA"/>
    <w:rsid w:val="0FC91CB4"/>
    <w:rsid w:val="0FCA42ED"/>
    <w:rsid w:val="0FCA717D"/>
    <w:rsid w:val="0FCB1589"/>
    <w:rsid w:val="0FCC70AF"/>
    <w:rsid w:val="0FCF0AB2"/>
    <w:rsid w:val="0FD1151F"/>
    <w:rsid w:val="0FD146C5"/>
    <w:rsid w:val="0FD15D51"/>
    <w:rsid w:val="0FD213D0"/>
    <w:rsid w:val="0FD3139E"/>
    <w:rsid w:val="0FD33ADA"/>
    <w:rsid w:val="0FD53874"/>
    <w:rsid w:val="0FD71945"/>
    <w:rsid w:val="0FD85593"/>
    <w:rsid w:val="0FDA30C2"/>
    <w:rsid w:val="0FDD12BC"/>
    <w:rsid w:val="0FDE5FC9"/>
    <w:rsid w:val="0FE003EF"/>
    <w:rsid w:val="0FE30324"/>
    <w:rsid w:val="0FE54723"/>
    <w:rsid w:val="0FE60171"/>
    <w:rsid w:val="0FE61225"/>
    <w:rsid w:val="0FE648B0"/>
    <w:rsid w:val="0FE65715"/>
    <w:rsid w:val="0FEA3180"/>
    <w:rsid w:val="0FEB17EC"/>
    <w:rsid w:val="0FF22FB9"/>
    <w:rsid w:val="0FF24EFF"/>
    <w:rsid w:val="0FF360CA"/>
    <w:rsid w:val="0FF47CB4"/>
    <w:rsid w:val="0FF764C3"/>
    <w:rsid w:val="0FF82429"/>
    <w:rsid w:val="0FF90784"/>
    <w:rsid w:val="0FFA1E6E"/>
    <w:rsid w:val="0FFC5BE6"/>
    <w:rsid w:val="0FFF56D6"/>
    <w:rsid w:val="1006368A"/>
    <w:rsid w:val="10066A65"/>
    <w:rsid w:val="10067155"/>
    <w:rsid w:val="10116031"/>
    <w:rsid w:val="10120392"/>
    <w:rsid w:val="101426E0"/>
    <w:rsid w:val="10142805"/>
    <w:rsid w:val="101807E7"/>
    <w:rsid w:val="101A0738"/>
    <w:rsid w:val="101D790A"/>
    <w:rsid w:val="101E298A"/>
    <w:rsid w:val="101F7844"/>
    <w:rsid w:val="1021389E"/>
    <w:rsid w:val="102173FB"/>
    <w:rsid w:val="102440D3"/>
    <w:rsid w:val="10246EEB"/>
    <w:rsid w:val="102559E2"/>
    <w:rsid w:val="102723E9"/>
    <w:rsid w:val="10280789"/>
    <w:rsid w:val="10282537"/>
    <w:rsid w:val="10284C2D"/>
    <w:rsid w:val="102A36D7"/>
    <w:rsid w:val="102B472A"/>
    <w:rsid w:val="102F6733"/>
    <w:rsid w:val="102F7CF9"/>
    <w:rsid w:val="10305890"/>
    <w:rsid w:val="1034300F"/>
    <w:rsid w:val="1035205D"/>
    <w:rsid w:val="10370D3B"/>
    <w:rsid w:val="10376C1E"/>
    <w:rsid w:val="10390BE8"/>
    <w:rsid w:val="10392996"/>
    <w:rsid w:val="10394744"/>
    <w:rsid w:val="103955ED"/>
    <w:rsid w:val="103C23A9"/>
    <w:rsid w:val="103C2486"/>
    <w:rsid w:val="103C67AC"/>
    <w:rsid w:val="103E61FE"/>
    <w:rsid w:val="10507CE0"/>
    <w:rsid w:val="10516984"/>
    <w:rsid w:val="10533984"/>
    <w:rsid w:val="10545A22"/>
    <w:rsid w:val="10594AB2"/>
    <w:rsid w:val="105A46BB"/>
    <w:rsid w:val="105C6685"/>
    <w:rsid w:val="105D5087"/>
    <w:rsid w:val="105F0AD7"/>
    <w:rsid w:val="105F3B5C"/>
    <w:rsid w:val="10612472"/>
    <w:rsid w:val="10635C65"/>
    <w:rsid w:val="10637A13"/>
    <w:rsid w:val="1064392C"/>
    <w:rsid w:val="10645539"/>
    <w:rsid w:val="1066051D"/>
    <w:rsid w:val="10660B9E"/>
    <w:rsid w:val="10667503"/>
    <w:rsid w:val="1069097D"/>
    <w:rsid w:val="106A1E0A"/>
    <w:rsid w:val="106D0892"/>
    <w:rsid w:val="106F460A"/>
    <w:rsid w:val="10713B5C"/>
    <w:rsid w:val="107157D1"/>
    <w:rsid w:val="107264E9"/>
    <w:rsid w:val="10727C56"/>
    <w:rsid w:val="10741C20"/>
    <w:rsid w:val="1074577C"/>
    <w:rsid w:val="107756B1"/>
    <w:rsid w:val="107A4E46"/>
    <w:rsid w:val="10802373"/>
    <w:rsid w:val="10847E39"/>
    <w:rsid w:val="10853E2D"/>
    <w:rsid w:val="108743E5"/>
    <w:rsid w:val="108A0980"/>
    <w:rsid w:val="108A14D5"/>
    <w:rsid w:val="108B0D18"/>
    <w:rsid w:val="108D2CE2"/>
    <w:rsid w:val="108D2F4B"/>
    <w:rsid w:val="108F25B6"/>
    <w:rsid w:val="109202F8"/>
    <w:rsid w:val="109E37A6"/>
    <w:rsid w:val="109F26A5"/>
    <w:rsid w:val="10A02A15"/>
    <w:rsid w:val="10A122E9"/>
    <w:rsid w:val="10A23824"/>
    <w:rsid w:val="10A2678D"/>
    <w:rsid w:val="10A451BD"/>
    <w:rsid w:val="10A51DDA"/>
    <w:rsid w:val="10A818CA"/>
    <w:rsid w:val="10A822C0"/>
    <w:rsid w:val="10A82B01"/>
    <w:rsid w:val="10AC13BA"/>
    <w:rsid w:val="10AD2085"/>
    <w:rsid w:val="10AD6194"/>
    <w:rsid w:val="10AE3A08"/>
    <w:rsid w:val="10AE3DF1"/>
    <w:rsid w:val="10AF2C58"/>
    <w:rsid w:val="10B03702"/>
    <w:rsid w:val="10B04957"/>
    <w:rsid w:val="10B14C22"/>
    <w:rsid w:val="10B244F7"/>
    <w:rsid w:val="10B332E3"/>
    <w:rsid w:val="10B44742"/>
    <w:rsid w:val="10B60B86"/>
    <w:rsid w:val="10B62B1B"/>
    <w:rsid w:val="10B93DC2"/>
    <w:rsid w:val="10B97633"/>
    <w:rsid w:val="10BB784F"/>
    <w:rsid w:val="10BD35C7"/>
    <w:rsid w:val="10BE10ED"/>
    <w:rsid w:val="10BE2E9B"/>
    <w:rsid w:val="10BE733F"/>
    <w:rsid w:val="10C53C9A"/>
    <w:rsid w:val="10C55FD8"/>
    <w:rsid w:val="10C6734C"/>
    <w:rsid w:val="10C7077C"/>
    <w:rsid w:val="10C7119F"/>
    <w:rsid w:val="10C761F4"/>
    <w:rsid w:val="10C81F6C"/>
    <w:rsid w:val="10C85AC8"/>
    <w:rsid w:val="10CA4C2E"/>
    <w:rsid w:val="10CD1330"/>
    <w:rsid w:val="10CD7E52"/>
    <w:rsid w:val="10CE0248"/>
    <w:rsid w:val="10CE519D"/>
    <w:rsid w:val="10CE7DDB"/>
    <w:rsid w:val="10D03DBD"/>
    <w:rsid w:val="10D07F53"/>
    <w:rsid w:val="10D10FCE"/>
    <w:rsid w:val="10D76236"/>
    <w:rsid w:val="10D7678C"/>
    <w:rsid w:val="10DB5AF0"/>
    <w:rsid w:val="10DB6058"/>
    <w:rsid w:val="10DE1CA4"/>
    <w:rsid w:val="10DF0AE1"/>
    <w:rsid w:val="10E05AAF"/>
    <w:rsid w:val="10E24DDC"/>
    <w:rsid w:val="10E33EE2"/>
    <w:rsid w:val="10E433A4"/>
    <w:rsid w:val="10E53A8D"/>
    <w:rsid w:val="10E548CC"/>
    <w:rsid w:val="10E637F4"/>
    <w:rsid w:val="10E82B6D"/>
    <w:rsid w:val="10E94AC2"/>
    <w:rsid w:val="10EA1A0B"/>
    <w:rsid w:val="10EE4F14"/>
    <w:rsid w:val="10EF574B"/>
    <w:rsid w:val="10EF5D73"/>
    <w:rsid w:val="10EF799B"/>
    <w:rsid w:val="10F01DC4"/>
    <w:rsid w:val="10F1501F"/>
    <w:rsid w:val="10F37004"/>
    <w:rsid w:val="10F552CE"/>
    <w:rsid w:val="10F9273A"/>
    <w:rsid w:val="10FB1715"/>
    <w:rsid w:val="10FB5E9E"/>
    <w:rsid w:val="10FC434A"/>
    <w:rsid w:val="10FD3C99"/>
    <w:rsid w:val="11000E15"/>
    <w:rsid w:val="11017E6E"/>
    <w:rsid w:val="11036AF9"/>
    <w:rsid w:val="11036B00"/>
    <w:rsid w:val="11044600"/>
    <w:rsid w:val="110C32DA"/>
    <w:rsid w:val="110C4E62"/>
    <w:rsid w:val="110F1949"/>
    <w:rsid w:val="1113360D"/>
    <w:rsid w:val="11160F29"/>
    <w:rsid w:val="11185A98"/>
    <w:rsid w:val="11187FE8"/>
    <w:rsid w:val="111A6C61"/>
    <w:rsid w:val="111E393A"/>
    <w:rsid w:val="11203B56"/>
    <w:rsid w:val="11206FB7"/>
    <w:rsid w:val="11207143"/>
    <w:rsid w:val="1122342A"/>
    <w:rsid w:val="11233241"/>
    <w:rsid w:val="112453F4"/>
    <w:rsid w:val="11275EC4"/>
    <w:rsid w:val="112A6783"/>
    <w:rsid w:val="112F5B47"/>
    <w:rsid w:val="11301F04"/>
    <w:rsid w:val="113028E2"/>
    <w:rsid w:val="11302B08"/>
    <w:rsid w:val="11305B15"/>
    <w:rsid w:val="11327C27"/>
    <w:rsid w:val="11333889"/>
    <w:rsid w:val="11346F8C"/>
    <w:rsid w:val="11365AD1"/>
    <w:rsid w:val="113759C4"/>
    <w:rsid w:val="11380EA0"/>
    <w:rsid w:val="113B0990"/>
    <w:rsid w:val="113C22BB"/>
    <w:rsid w:val="11411D58"/>
    <w:rsid w:val="114159F0"/>
    <w:rsid w:val="1141750D"/>
    <w:rsid w:val="114335B5"/>
    <w:rsid w:val="11433763"/>
    <w:rsid w:val="1145536B"/>
    <w:rsid w:val="11473D3D"/>
    <w:rsid w:val="11486BF0"/>
    <w:rsid w:val="114B136B"/>
    <w:rsid w:val="114C2114"/>
    <w:rsid w:val="11501B34"/>
    <w:rsid w:val="11511160"/>
    <w:rsid w:val="11531CF9"/>
    <w:rsid w:val="11540B03"/>
    <w:rsid w:val="115630D4"/>
    <w:rsid w:val="1156394B"/>
    <w:rsid w:val="11574FD2"/>
    <w:rsid w:val="1159577D"/>
    <w:rsid w:val="115C4694"/>
    <w:rsid w:val="115D7AAA"/>
    <w:rsid w:val="115F2023"/>
    <w:rsid w:val="115F7F76"/>
    <w:rsid w:val="116100B9"/>
    <w:rsid w:val="11636299"/>
    <w:rsid w:val="11683AAE"/>
    <w:rsid w:val="11692E07"/>
    <w:rsid w:val="116A32BE"/>
    <w:rsid w:val="116A6B7F"/>
    <w:rsid w:val="116B17C8"/>
    <w:rsid w:val="116C1308"/>
    <w:rsid w:val="116C6DD9"/>
    <w:rsid w:val="116F2B2A"/>
    <w:rsid w:val="11754CFE"/>
    <w:rsid w:val="11763776"/>
    <w:rsid w:val="1179579B"/>
    <w:rsid w:val="117D02F0"/>
    <w:rsid w:val="117D3A12"/>
    <w:rsid w:val="117F21AD"/>
    <w:rsid w:val="117F5254"/>
    <w:rsid w:val="11811267"/>
    <w:rsid w:val="1183141E"/>
    <w:rsid w:val="11837FA6"/>
    <w:rsid w:val="11845E93"/>
    <w:rsid w:val="11866A0B"/>
    <w:rsid w:val="11875983"/>
    <w:rsid w:val="11876972"/>
    <w:rsid w:val="11893031"/>
    <w:rsid w:val="1189484A"/>
    <w:rsid w:val="118A0FD0"/>
    <w:rsid w:val="118C679D"/>
    <w:rsid w:val="118D631F"/>
    <w:rsid w:val="118E5E8D"/>
    <w:rsid w:val="118F0496"/>
    <w:rsid w:val="11917669"/>
    <w:rsid w:val="11965BC6"/>
    <w:rsid w:val="11967BAD"/>
    <w:rsid w:val="119D1656"/>
    <w:rsid w:val="119F737E"/>
    <w:rsid w:val="11A01F9C"/>
    <w:rsid w:val="11AA3420"/>
    <w:rsid w:val="11AB6A8E"/>
    <w:rsid w:val="11AC0F46"/>
    <w:rsid w:val="11AC53EA"/>
    <w:rsid w:val="11B00C21"/>
    <w:rsid w:val="11B01B7C"/>
    <w:rsid w:val="11B102A4"/>
    <w:rsid w:val="11B322D4"/>
    <w:rsid w:val="11B5429E"/>
    <w:rsid w:val="11B81FE1"/>
    <w:rsid w:val="11B84D73"/>
    <w:rsid w:val="11BA7B07"/>
    <w:rsid w:val="11BB35CF"/>
    <w:rsid w:val="11BD7880"/>
    <w:rsid w:val="11C36303"/>
    <w:rsid w:val="11C42733"/>
    <w:rsid w:val="11C72ECF"/>
    <w:rsid w:val="11C921BB"/>
    <w:rsid w:val="11C97D4A"/>
    <w:rsid w:val="11CB34A5"/>
    <w:rsid w:val="11CB5870"/>
    <w:rsid w:val="11CC783A"/>
    <w:rsid w:val="11D01DAF"/>
    <w:rsid w:val="11D35F7C"/>
    <w:rsid w:val="11D81D3B"/>
    <w:rsid w:val="11DA45F7"/>
    <w:rsid w:val="11DA5698"/>
    <w:rsid w:val="11DB01A5"/>
    <w:rsid w:val="11DC615E"/>
    <w:rsid w:val="11DD1A47"/>
    <w:rsid w:val="11DE4C73"/>
    <w:rsid w:val="11DF131B"/>
    <w:rsid w:val="11DF1890"/>
    <w:rsid w:val="11E105A8"/>
    <w:rsid w:val="11E608FC"/>
    <w:rsid w:val="11E701D0"/>
    <w:rsid w:val="11E852D6"/>
    <w:rsid w:val="11E905CC"/>
    <w:rsid w:val="11E959DE"/>
    <w:rsid w:val="11EB4164"/>
    <w:rsid w:val="11EB462D"/>
    <w:rsid w:val="11EE155E"/>
    <w:rsid w:val="11EE77B0"/>
    <w:rsid w:val="11EF0C93"/>
    <w:rsid w:val="11F04D89"/>
    <w:rsid w:val="11F12DFD"/>
    <w:rsid w:val="11F2192F"/>
    <w:rsid w:val="11F80006"/>
    <w:rsid w:val="11F87E50"/>
    <w:rsid w:val="11F95EB5"/>
    <w:rsid w:val="11FA3CA4"/>
    <w:rsid w:val="11FC0DFE"/>
    <w:rsid w:val="11FD4E7C"/>
    <w:rsid w:val="11FE5F87"/>
    <w:rsid w:val="120045B9"/>
    <w:rsid w:val="1202325C"/>
    <w:rsid w:val="120328B4"/>
    <w:rsid w:val="12042B30"/>
    <w:rsid w:val="120445BB"/>
    <w:rsid w:val="12060D00"/>
    <w:rsid w:val="12074165"/>
    <w:rsid w:val="12081C36"/>
    <w:rsid w:val="120B3B89"/>
    <w:rsid w:val="120B5C57"/>
    <w:rsid w:val="120C39D2"/>
    <w:rsid w:val="120C48EC"/>
    <w:rsid w:val="120D18C3"/>
    <w:rsid w:val="120F1EA3"/>
    <w:rsid w:val="120F6523"/>
    <w:rsid w:val="12117DB8"/>
    <w:rsid w:val="12121331"/>
    <w:rsid w:val="12135469"/>
    <w:rsid w:val="12140944"/>
    <w:rsid w:val="12150342"/>
    <w:rsid w:val="1215360D"/>
    <w:rsid w:val="12173E38"/>
    <w:rsid w:val="12176D07"/>
    <w:rsid w:val="121865DB"/>
    <w:rsid w:val="121C3A86"/>
    <w:rsid w:val="121C7959"/>
    <w:rsid w:val="121D0370"/>
    <w:rsid w:val="121D5F1E"/>
    <w:rsid w:val="122049AD"/>
    <w:rsid w:val="122132F3"/>
    <w:rsid w:val="12223864"/>
    <w:rsid w:val="12244590"/>
    <w:rsid w:val="12247EBB"/>
    <w:rsid w:val="12296716"/>
    <w:rsid w:val="122A10DC"/>
    <w:rsid w:val="122B630F"/>
    <w:rsid w:val="122D46DF"/>
    <w:rsid w:val="122F5A80"/>
    <w:rsid w:val="12305DC1"/>
    <w:rsid w:val="123258EF"/>
    <w:rsid w:val="123509AA"/>
    <w:rsid w:val="12354DC5"/>
    <w:rsid w:val="12365173"/>
    <w:rsid w:val="12374CB3"/>
    <w:rsid w:val="123B5AEC"/>
    <w:rsid w:val="123C65D5"/>
    <w:rsid w:val="124039AB"/>
    <w:rsid w:val="124043EC"/>
    <w:rsid w:val="124113DA"/>
    <w:rsid w:val="12413CE6"/>
    <w:rsid w:val="12415356"/>
    <w:rsid w:val="12415B32"/>
    <w:rsid w:val="12443874"/>
    <w:rsid w:val="12487DEA"/>
    <w:rsid w:val="12493E7B"/>
    <w:rsid w:val="124B1CB9"/>
    <w:rsid w:val="124D097B"/>
    <w:rsid w:val="124D46AA"/>
    <w:rsid w:val="124D485B"/>
    <w:rsid w:val="124E6F34"/>
    <w:rsid w:val="124E72A0"/>
    <w:rsid w:val="124F7F37"/>
    <w:rsid w:val="12505070"/>
    <w:rsid w:val="12530C56"/>
    <w:rsid w:val="125352C6"/>
    <w:rsid w:val="12577F66"/>
    <w:rsid w:val="12582E7C"/>
    <w:rsid w:val="125C04F9"/>
    <w:rsid w:val="125C2646"/>
    <w:rsid w:val="125C6E10"/>
    <w:rsid w:val="125E4936"/>
    <w:rsid w:val="125F245C"/>
    <w:rsid w:val="125F420A"/>
    <w:rsid w:val="1260229D"/>
    <w:rsid w:val="12612E3B"/>
    <w:rsid w:val="12617F82"/>
    <w:rsid w:val="12620F04"/>
    <w:rsid w:val="12633CFA"/>
    <w:rsid w:val="12661A3D"/>
    <w:rsid w:val="12670304"/>
    <w:rsid w:val="12675D51"/>
    <w:rsid w:val="126805D2"/>
    <w:rsid w:val="12695B70"/>
    <w:rsid w:val="12696E37"/>
    <w:rsid w:val="126B77EA"/>
    <w:rsid w:val="126C57AE"/>
    <w:rsid w:val="12715F93"/>
    <w:rsid w:val="12746C43"/>
    <w:rsid w:val="12750005"/>
    <w:rsid w:val="12771554"/>
    <w:rsid w:val="1278774A"/>
    <w:rsid w:val="127A5769"/>
    <w:rsid w:val="127A7296"/>
    <w:rsid w:val="127A7556"/>
    <w:rsid w:val="127C6D88"/>
    <w:rsid w:val="127D7762"/>
    <w:rsid w:val="127E28E2"/>
    <w:rsid w:val="12807CE9"/>
    <w:rsid w:val="12837EF9"/>
    <w:rsid w:val="12874320"/>
    <w:rsid w:val="128952E0"/>
    <w:rsid w:val="128D4E55"/>
    <w:rsid w:val="12916400"/>
    <w:rsid w:val="12922832"/>
    <w:rsid w:val="12933991"/>
    <w:rsid w:val="12971BF6"/>
    <w:rsid w:val="129917CE"/>
    <w:rsid w:val="1299424E"/>
    <w:rsid w:val="1299596E"/>
    <w:rsid w:val="1299771C"/>
    <w:rsid w:val="129A5602"/>
    <w:rsid w:val="129D174E"/>
    <w:rsid w:val="129D3338"/>
    <w:rsid w:val="129E12BF"/>
    <w:rsid w:val="12A008D9"/>
    <w:rsid w:val="12A00B8E"/>
    <w:rsid w:val="12A00F82"/>
    <w:rsid w:val="12A46BBF"/>
    <w:rsid w:val="12A61E39"/>
    <w:rsid w:val="12AA751F"/>
    <w:rsid w:val="12B04A66"/>
    <w:rsid w:val="12B11C20"/>
    <w:rsid w:val="12B13117"/>
    <w:rsid w:val="12B202C5"/>
    <w:rsid w:val="12B21DF1"/>
    <w:rsid w:val="12B6302C"/>
    <w:rsid w:val="12B67858"/>
    <w:rsid w:val="12B75DF4"/>
    <w:rsid w:val="12B96010"/>
    <w:rsid w:val="12BA53EE"/>
    <w:rsid w:val="12BA7692"/>
    <w:rsid w:val="12BC12D2"/>
    <w:rsid w:val="12BE716A"/>
    <w:rsid w:val="12C0114D"/>
    <w:rsid w:val="12C14EC5"/>
    <w:rsid w:val="12C461D2"/>
    <w:rsid w:val="12C56763"/>
    <w:rsid w:val="12C66037"/>
    <w:rsid w:val="12C84054"/>
    <w:rsid w:val="12CC371E"/>
    <w:rsid w:val="12CC5D44"/>
    <w:rsid w:val="12CD45BC"/>
    <w:rsid w:val="12D04D8E"/>
    <w:rsid w:val="12D30A20"/>
    <w:rsid w:val="12D4518B"/>
    <w:rsid w:val="12D6260F"/>
    <w:rsid w:val="12D76496"/>
    <w:rsid w:val="12DA1AE3"/>
    <w:rsid w:val="12DD25BE"/>
    <w:rsid w:val="12DE582B"/>
    <w:rsid w:val="12E03024"/>
    <w:rsid w:val="12E12E71"/>
    <w:rsid w:val="12E3308D"/>
    <w:rsid w:val="12E50BB3"/>
    <w:rsid w:val="12E70326"/>
    <w:rsid w:val="12EA61CA"/>
    <w:rsid w:val="12EB0728"/>
    <w:rsid w:val="12ED4198"/>
    <w:rsid w:val="12EF3A78"/>
    <w:rsid w:val="12EF558E"/>
    <w:rsid w:val="12F13FA9"/>
    <w:rsid w:val="12F72695"/>
    <w:rsid w:val="12FA2ACD"/>
    <w:rsid w:val="12FD414F"/>
    <w:rsid w:val="12FF1F53"/>
    <w:rsid w:val="130306AC"/>
    <w:rsid w:val="13030C10"/>
    <w:rsid w:val="13054DB2"/>
    <w:rsid w:val="13062DF3"/>
    <w:rsid w:val="13076D7C"/>
    <w:rsid w:val="130848A2"/>
    <w:rsid w:val="13092230"/>
    <w:rsid w:val="130A686C"/>
    <w:rsid w:val="130D010A"/>
    <w:rsid w:val="130D35FE"/>
    <w:rsid w:val="130F0518"/>
    <w:rsid w:val="13100C86"/>
    <w:rsid w:val="131228B9"/>
    <w:rsid w:val="13124349"/>
    <w:rsid w:val="131359A0"/>
    <w:rsid w:val="13143247"/>
    <w:rsid w:val="1319295F"/>
    <w:rsid w:val="131B4080"/>
    <w:rsid w:val="131D659F"/>
    <w:rsid w:val="131E7C21"/>
    <w:rsid w:val="131F5627"/>
    <w:rsid w:val="131F6DE2"/>
    <w:rsid w:val="132150AB"/>
    <w:rsid w:val="13223BB5"/>
    <w:rsid w:val="1323532F"/>
    <w:rsid w:val="13284B0B"/>
    <w:rsid w:val="132C0590"/>
    <w:rsid w:val="132F3F4B"/>
    <w:rsid w:val="13315BA7"/>
    <w:rsid w:val="133438E9"/>
    <w:rsid w:val="13347D10"/>
    <w:rsid w:val="133728C5"/>
    <w:rsid w:val="133819D7"/>
    <w:rsid w:val="13394454"/>
    <w:rsid w:val="133D4C82"/>
    <w:rsid w:val="133E02C4"/>
    <w:rsid w:val="133E2072"/>
    <w:rsid w:val="13404ED0"/>
    <w:rsid w:val="134078C5"/>
    <w:rsid w:val="13417A5D"/>
    <w:rsid w:val="13421B62"/>
    <w:rsid w:val="13460D42"/>
    <w:rsid w:val="13497394"/>
    <w:rsid w:val="134A0A16"/>
    <w:rsid w:val="134A17F3"/>
    <w:rsid w:val="134A3724"/>
    <w:rsid w:val="134B170C"/>
    <w:rsid w:val="135112BC"/>
    <w:rsid w:val="13513E01"/>
    <w:rsid w:val="13515B86"/>
    <w:rsid w:val="135252F0"/>
    <w:rsid w:val="13545D39"/>
    <w:rsid w:val="13561AB1"/>
    <w:rsid w:val="13581C4E"/>
    <w:rsid w:val="135A1DCA"/>
    <w:rsid w:val="135B0E75"/>
    <w:rsid w:val="135B28FA"/>
    <w:rsid w:val="135F33AF"/>
    <w:rsid w:val="135F6D12"/>
    <w:rsid w:val="136033A5"/>
    <w:rsid w:val="136216A5"/>
    <w:rsid w:val="136339C5"/>
    <w:rsid w:val="13641B1C"/>
    <w:rsid w:val="1364201A"/>
    <w:rsid w:val="13662F80"/>
    <w:rsid w:val="13664CF2"/>
    <w:rsid w:val="13682AE6"/>
    <w:rsid w:val="136C3083"/>
    <w:rsid w:val="136D537D"/>
    <w:rsid w:val="136E4165"/>
    <w:rsid w:val="136F1AA4"/>
    <w:rsid w:val="136F23AB"/>
    <w:rsid w:val="13702B73"/>
    <w:rsid w:val="13723DD3"/>
    <w:rsid w:val="1372792E"/>
    <w:rsid w:val="137311EF"/>
    <w:rsid w:val="13737CD0"/>
    <w:rsid w:val="13737F6D"/>
    <w:rsid w:val="13741CAE"/>
    <w:rsid w:val="13750189"/>
    <w:rsid w:val="1376180B"/>
    <w:rsid w:val="13773C1D"/>
    <w:rsid w:val="137837D5"/>
    <w:rsid w:val="137913E6"/>
    <w:rsid w:val="13792F9E"/>
    <w:rsid w:val="1379754E"/>
    <w:rsid w:val="137C39E2"/>
    <w:rsid w:val="137C59C3"/>
    <w:rsid w:val="137D5290"/>
    <w:rsid w:val="137E4BF0"/>
    <w:rsid w:val="13826402"/>
    <w:rsid w:val="13826B52"/>
    <w:rsid w:val="138500D6"/>
    <w:rsid w:val="13857CA0"/>
    <w:rsid w:val="1387515A"/>
    <w:rsid w:val="13893C35"/>
    <w:rsid w:val="13897328"/>
    <w:rsid w:val="138A175B"/>
    <w:rsid w:val="138A52B7"/>
    <w:rsid w:val="138E124B"/>
    <w:rsid w:val="13901E1C"/>
    <w:rsid w:val="13906D71"/>
    <w:rsid w:val="13912AE9"/>
    <w:rsid w:val="139158EF"/>
    <w:rsid w:val="1392150C"/>
    <w:rsid w:val="13960100"/>
    <w:rsid w:val="139634F5"/>
    <w:rsid w:val="13975A19"/>
    <w:rsid w:val="13985C26"/>
    <w:rsid w:val="139A5C80"/>
    <w:rsid w:val="139B20B6"/>
    <w:rsid w:val="139B6A1A"/>
    <w:rsid w:val="139D2E84"/>
    <w:rsid w:val="139F52BA"/>
    <w:rsid w:val="13A02A34"/>
    <w:rsid w:val="13A229E5"/>
    <w:rsid w:val="13A237E3"/>
    <w:rsid w:val="13A26AA4"/>
    <w:rsid w:val="13A62096"/>
    <w:rsid w:val="13A91BE1"/>
    <w:rsid w:val="13A9398F"/>
    <w:rsid w:val="13AA7707"/>
    <w:rsid w:val="13AB6AFA"/>
    <w:rsid w:val="13AD12D3"/>
    <w:rsid w:val="13AE0EC3"/>
    <w:rsid w:val="13AE369B"/>
    <w:rsid w:val="13AE5449"/>
    <w:rsid w:val="13AE71F7"/>
    <w:rsid w:val="13B25C29"/>
    <w:rsid w:val="13B84DED"/>
    <w:rsid w:val="13B87923"/>
    <w:rsid w:val="13B91121"/>
    <w:rsid w:val="13BA02E9"/>
    <w:rsid w:val="13BE3795"/>
    <w:rsid w:val="13BF7953"/>
    <w:rsid w:val="13C04D1D"/>
    <w:rsid w:val="13C163CF"/>
    <w:rsid w:val="13C31A90"/>
    <w:rsid w:val="13C46A1B"/>
    <w:rsid w:val="13C50D8E"/>
    <w:rsid w:val="13C5585C"/>
    <w:rsid w:val="13C63668"/>
    <w:rsid w:val="13C77592"/>
    <w:rsid w:val="13C945E3"/>
    <w:rsid w:val="13CA50FE"/>
    <w:rsid w:val="13CA5182"/>
    <w:rsid w:val="13CC096A"/>
    <w:rsid w:val="13CE1DAC"/>
    <w:rsid w:val="13CF3182"/>
    <w:rsid w:val="13D9109B"/>
    <w:rsid w:val="13DA3C79"/>
    <w:rsid w:val="13DC750E"/>
    <w:rsid w:val="13DD5297"/>
    <w:rsid w:val="13DE01AE"/>
    <w:rsid w:val="13DF1AA7"/>
    <w:rsid w:val="13E10C14"/>
    <w:rsid w:val="13E13AD1"/>
    <w:rsid w:val="13E1581F"/>
    <w:rsid w:val="13E175CD"/>
    <w:rsid w:val="13E26419"/>
    <w:rsid w:val="13E34684"/>
    <w:rsid w:val="13E360E3"/>
    <w:rsid w:val="13E40912"/>
    <w:rsid w:val="13E57B0C"/>
    <w:rsid w:val="13E72648"/>
    <w:rsid w:val="13E744B7"/>
    <w:rsid w:val="13E76BAD"/>
    <w:rsid w:val="13EA5A86"/>
    <w:rsid w:val="13EB3FA7"/>
    <w:rsid w:val="13ED41C3"/>
    <w:rsid w:val="13EE54F1"/>
    <w:rsid w:val="13F033FE"/>
    <w:rsid w:val="13F13588"/>
    <w:rsid w:val="13F228E1"/>
    <w:rsid w:val="13F2494B"/>
    <w:rsid w:val="13FE2B7B"/>
    <w:rsid w:val="1403484E"/>
    <w:rsid w:val="14045069"/>
    <w:rsid w:val="140557CC"/>
    <w:rsid w:val="14072DAB"/>
    <w:rsid w:val="14090816"/>
    <w:rsid w:val="140A1203"/>
    <w:rsid w:val="140C03C2"/>
    <w:rsid w:val="140D5923"/>
    <w:rsid w:val="140E071C"/>
    <w:rsid w:val="140E413A"/>
    <w:rsid w:val="141121D0"/>
    <w:rsid w:val="14113D6E"/>
    <w:rsid w:val="14115C0D"/>
    <w:rsid w:val="14117786"/>
    <w:rsid w:val="141235D4"/>
    <w:rsid w:val="14125909"/>
    <w:rsid w:val="14131750"/>
    <w:rsid w:val="141539BD"/>
    <w:rsid w:val="141677C0"/>
    <w:rsid w:val="14172F0F"/>
    <w:rsid w:val="141A7667"/>
    <w:rsid w:val="141D05A9"/>
    <w:rsid w:val="141F26FB"/>
    <w:rsid w:val="1422039F"/>
    <w:rsid w:val="1422126B"/>
    <w:rsid w:val="142257E9"/>
    <w:rsid w:val="14263231"/>
    <w:rsid w:val="142E30D0"/>
    <w:rsid w:val="14301B0C"/>
    <w:rsid w:val="14302FFD"/>
    <w:rsid w:val="14303CF6"/>
    <w:rsid w:val="14303ED1"/>
    <w:rsid w:val="14336886"/>
    <w:rsid w:val="14342850"/>
    <w:rsid w:val="14356DDF"/>
    <w:rsid w:val="143C1CA6"/>
    <w:rsid w:val="143F2545"/>
    <w:rsid w:val="14407B8F"/>
    <w:rsid w:val="14411525"/>
    <w:rsid w:val="144341B7"/>
    <w:rsid w:val="14445DAD"/>
    <w:rsid w:val="1444680B"/>
    <w:rsid w:val="14470E31"/>
    <w:rsid w:val="14474028"/>
    <w:rsid w:val="144941FD"/>
    <w:rsid w:val="14494C31"/>
    <w:rsid w:val="144B722E"/>
    <w:rsid w:val="144B72F6"/>
    <w:rsid w:val="144B75DF"/>
    <w:rsid w:val="144E09DA"/>
    <w:rsid w:val="14503D50"/>
    <w:rsid w:val="14506500"/>
    <w:rsid w:val="14532851"/>
    <w:rsid w:val="14544B04"/>
    <w:rsid w:val="1457163D"/>
    <w:rsid w:val="1457491F"/>
    <w:rsid w:val="14585A0B"/>
    <w:rsid w:val="14587163"/>
    <w:rsid w:val="14593065"/>
    <w:rsid w:val="145A4D9A"/>
    <w:rsid w:val="145D29CB"/>
    <w:rsid w:val="145D78E2"/>
    <w:rsid w:val="145E01B4"/>
    <w:rsid w:val="145F6743"/>
    <w:rsid w:val="14603640"/>
    <w:rsid w:val="14627FE2"/>
    <w:rsid w:val="146401FE"/>
    <w:rsid w:val="14641516"/>
    <w:rsid w:val="1464699A"/>
    <w:rsid w:val="14657879"/>
    <w:rsid w:val="1467633E"/>
    <w:rsid w:val="1468384A"/>
    <w:rsid w:val="146B6818"/>
    <w:rsid w:val="146B7D9A"/>
    <w:rsid w:val="146E50FA"/>
    <w:rsid w:val="14703E00"/>
    <w:rsid w:val="14704EB4"/>
    <w:rsid w:val="14731246"/>
    <w:rsid w:val="14761AB0"/>
    <w:rsid w:val="14782116"/>
    <w:rsid w:val="147977BC"/>
    <w:rsid w:val="147A373C"/>
    <w:rsid w:val="147A532B"/>
    <w:rsid w:val="147F611E"/>
    <w:rsid w:val="14810CCD"/>
    <w:rsid w:val="14821ECE"/>
    <w:rsid w:val="148264B3"/>
    <w:rsid w:val="14854B65"/>
    <w:rsid w:val="148604FB"/>
    <w:rsid w:val="148B12E6"/>
    <w:rsid w:val="148C5F1B"/>
    <w:rsid w:val="148F7029"/>
    <w:rsid w:val="1490670C"/>
    <w:rsid w:val="14933FC5"/>
    <w:rsid w:val="14952EAD"/>
    <w:rsid w:val="1496293B"/>
    <w:rsid w:val="14972381"/>
    <w:rsid w:val="14973315"/>
    <w:rsid w:val="14976753"/>
    <w:rsid w:val="14977C8B"/>
    <w:rsid w:val="14983A03"/>
    <w:rsid w:val="14991C55"/>
    <w:rsid w:val="14997EA7"/>
    <w:rsid w:val="149B1E11"/>
    <w:rsid w:val="149C1D25"/>
    <w:rsid w:val="149C34F4"/>
    <w:rsid w:val="149C5646"/>
    <w:rsid w:val="14A25FF6"/>
    <w:rsid w:val="14A44477"/>
    <w:rsid w:val="14A73E19"/>
    <w:rsid w:val="14AA5A8B"/>
    <w:rsid w:val="14AB1C41"/>
    <w:rsid w:val="14AD4E8A"/>
    <w:rsid w:val="14B338CD"/>
    <w:rsid w:val="14B35405"/>
    <w:rsid w:val="14B46A8F"/>
    <w:rsid w:val="14B60A59"/>
    <w:rsid w:val="14B82AB5"/>
    <w:rsid w:val="14B940A6"/>
    <w:rsid w:val="14BC34EF"/>
    <w:rsid w:val="14BC7AEF"/>
    <w:rsid w:val="14BD72BC"/>
    <w:rsid w:val="14BE12A4"/>
    <w:rsid w:val="14C04112"/>
    <w:rsid w:val="14C24725"/>
    <w:rsid w:val="14C31059"/>
    <w:rsid w:val="14C67172"/>
    <w:rsid w:val="14C8253B"/>
    <w:rsid w:val="14CD2064"/>
    <w:rsid w:val="14CD5DA3"/>
    <w:rsid w:val="14CD7B51"/>
    <w:rsid w:val="14D42C8D"/>
    <w:rsid w:val="14D441CB"/>
    <w:rsid w:val="14D62EA9"/>
    <w:rsid w:val="14D64D96"/>
    <w:rsid w:val="14D67542"/>
    <w:rsid w:val="14D86C89"/>
    <w:rsid w:val="14DA401C"/>
    <w:rsid w:val="14DC5FE6"/>
    <w:rsid w:val="14DF1632"/>
    <w:rsid w:val="14E1184E"/>
    <w:rsid w:val="14E15962"/>
    <w:rsid w:val="14E530ED"/>
    <w:rsid w:val="14E56E5D"/>
    <w:rsid w:val="14E804E7"/>
    <w:rsid w:val="14E86F37"/>
    <w:rsid w:val="14EC25CE"/>
    <w:rsid w:val="14ED3A5E"/>
    <w:rsid w:val="14EE33E6"/>
    <w:rsid w:val="14F00091"/>
    <w:rsid w:val="14F0383F"/>
    <w:rsid w:val="14F05A03"/>
    <w:rsid w:val="14F101A5"/>
    <w:rsid w:val="14F450DE"/>
    <w:rsid w:val="14F74BCE"/>
    <w:rsid w:val="14FA57F5"/>
    <w:rsid w:val="14FB46BE"/>
    <w:rsid w:val="14FB74F2"/>
    <w:rsid w:val="14FC0436"/>
    <w:rsid w:val="14FD1E12"/>
    <w:rsid w:val="14FD6764"/>
    <w:rsid w:val="14FE7D0A"/>
    <w:rsid w:val="1501709E"/>
    <w:rsid w:val="15040B10"/>
    <w:rsid w:val="15057266"/>
    <w:rsid w:val="15080B89"/>
    <w:rsid w:val="15086912"/>
    <w:rsid w:val="150B5600"/>
    <w:rsid w:val="150C16A4"/>
    <w:rsid w:val="151054B7"/>
    <w:rsid w:val="15114EE9"/>
    <w:rsid w:val="15146592"/>
    <w:rsid w:val="1514752E"/>
    <w:rsid w:val="15147E02"/>
    <w:rsid w:val="151544BD"/>
    <w:rsid w:val="1516690C"/>
    <w:rsid w:val="15170610"/>
    <w:rsid w:val="15173980"/>
    <w:rsid w:val="15196AB7"/>
    <w:rsid w:val="151A7A3F"/>
    <w:rsid w:val="151F3448"/>
    <w:rsid w:val="15200185"/>
    <w:rsid w:val="15233C15"/>
    <w:rsid w:val="152440BA"/>
    <w:rsid w:val="1525173B"/>
    <w:rsid w:val="15252ECA"/>
    <w:rsid w:val="15261399"/>
    <w:rsid w:val="152623AC"/>
    <w:rsid w:val="152754B3"/>
    <w:rsid w:val="15282FD9"/>
    <w:rsid w:val="152A0AFF"/>
    <w:rsid w:val="152B05E3"/>
    <w:rsid w:val="152B389A"/>
    <w:rsid w:val="152E1728"/>
    <w:rsid w:val="152F25BA"/>
    <w:rsid w:val="152F63E2"/>
    <w:rsid w:val="15321257"/>
    <w:rsid w:val="153224C3"/>
    <w:rsid w:val="15325BC7"/>
    <w:rsid w:val="153712EA"/>
    <w:rsid w:val="15396F94"/>
    <w:rsid w:val="153D4CD7"/>
    <w:rsid w:val="153D68B5"/>
    <w:rsid w:val="153E02D1"/>
    <w:rsid w:val="153E7B26"/>
    <w:rsid w:val="154020D1"/>
    <w:rsid w:val="15406182"/>
    <w:rsid w:val="15407032"/>
    <w:rsid w:val="15451DDD"/>
    <w:rsid w:val="15455A37"/>
    <w:rsid w:val="1545703E"/>
    <w:rsid w:val="154614B1"/>
    <w:rsid w:val="1546436C"/>
    <w:rsid w:val="15475B55"/>
    <w:rsid w:val="154812D6"/>
    <w:rsid w:val="154A48C6"/>
    <w:rsid w:val="154D1B14"/>
    <w:rsid w:val="15502A51"/>
    <w:rsid w:val="15502B4A"/>
    <w:rsid w:val="1551616F"/>
    <w:rsid w:val="15520056"/>
    <w:rsid w:val="15525771"/>
    <w:rsid w:val="15543DCE"/>
    <w:rsid w:val="1555346D"/>
    <w:rsid w:val="15554FFD"/>
    <w:rsid w:val="1556325C"/>
    <w:rsid w:val="15565D98"/>
    <w:rsid w:val="15575627"/>
    <w:rsid w:val="155A22B1"/>
    <w:rsid w:val="155A291F"/>
    <w:rsid w:val="155B33AF"/>
    <w:rsid w:val="155D40D0"/>
    <w:rsid w:val="155D7127"/>
    <w:rsid w:val="15602773"/>
    <w:rsid w:val="156048FD"/>
    <w:rsid w:val="15621C78"/>
    <w:rsid w:val="15632263"/>
    <w:rsid w:val="156524EC"/>
    <w:rsid w:val="156564B1"/>
    <w:rsid w:val="15686601"/>
    <w:rsid w:val="15695999"/>
    <w:rsid w:val="15695C1E"/>
    <w:rsid w:val="156A1844"/>
    <w:rsid w:val="156A53A0"/>
    <w:rsid w:val="156D6C93"/>
    <w:rsid w:val="1570027A"/>
    <w:rsid w:val="15704A83"/>
    <w:rsid w:val="15705528"/>
    <w:rsid w:val="15727AA1"/>
    <w:rsid w:val="157306F8"/>
    <w:rsid w:val="1578138A"/>
    <w:rsid w:val="1579432B"/>
    <w:rsid w:val="157B135B"/>
    <w:rsid w:val="157B1387"/>
    <w:rsid w:val="157B57FF"/>
    <w:rsid w:val="157C32A8"/>
    <w:rsid w:val="157D6AC5"/>
    <w:rsid w:val="157F6C1B"/>
    <w:rsid w:val="15804BC3"/>
    <w:rsid w:val="15805B8E"/>
    <w:rsid w:val="158346B4"/>
    <w:rsid w:val="15842905"/>
    <w:rsid w:val="1584502B"/>
    <w:rsid w:val="1585220E"/>
    <w:rsid w:val="15862255"/>
    <w:rsid w:val="15866F2A"/>
    <w:rsid w:val="15884E79"/>
    <w:rsid w:val="158858A3"/>
    <w:rsid w:val="15891CCA"/>
    <w:rsid w:val="158D0C08"/>
    <w:rsid w:val="158E5532"/>
    <w:rsid w:val="158F5EB7"/>
    <w:rsid w:val="159132E8"/>
    <w:rsid w:val="159266A5"/>
    <w:rsid w:val="15932B49"/>
    <w:rsid w:val="15947B15"/>
    <w:rsid w:val="15976877"/>
    <w:rsid w:val="15976E40"/>
    <w:rsid w:val="1598015F"/>
    <w:rsid w:val="15995C85"/>
    <w:rsid w:val="159A3ED7"/>
    <w:rsid w:val="159B37AB"/>
    <w:rsid w:val="15A00DC2"/>
    <w:rsid w:val="15A050F7"/>
    <w:rsid w:val="15A07014"/>
    <w:rsid w:val="15A216E8"/>
    <w:rsid w:val="15A465EE"/>
    <w:rsid w:val="15A61E76"/>
    <w:rsid w:val="15A72150"/>
    <w:rsid w:val="15A922C4"/>
    <w:rsid w:val="15AE1730"/>
    <w:rsid w:val="15B3129F"/>
    <w:rsid w:val="15B517FA"/>
    <w:rsid w:val="15B52D1C"/>
    <w:rsid w:val="15B73666"/>
    <w:rsid w:val="15B93563"/>
    <w:rsid w:val="15BB2A37"/>
    <w:rsid w:val="15BC38F3"/>
    <w:rsid w:val="15BD7BC5"/>
    <w:rsid w:val="15BE02B0"/>
    <w:rsid w:val="15BE6635"/>
    <w:rsid w:val="15C131C6"/>
    <w:rsid w:val="15C63646"/>
    <w:rsid w:val="15C7252E"/>
    <w:rsid w:val="15C918AE"/>
    <w:rsid w:val="15C93DA0"/>
    <w:rsid w:val="15CD76EC"/>
    <w:rsid w:val="15CD7EBA"/>
    <w:rsid w:val="15CF0577"/>
    <w:rsid w:val="15CF16A7"/>
    <w:rsid w:val="15D03B17"/>
    <w:rsid w:val="15D12865"/>
    <w:rsid w:val="15D145A9"/>
    <w:rsid w:val="15D1541F"/>
    <w:rsid w:val="15D45246"/>
    <w:rsid w:val="15D55C6E"/>
    <w:rsid w:val="15D66FEB"/>
    <w:rsid w:val="15D67299"/>
    <w:rsid w:val="15D72415"/>
    <w:rsid w:val="15DA2525"/>
    <w:rsid w:val="15DB6377"/>
    <w:rsid w:val="15DC6B01"/>
    <w:rsid w:val="15DD3DC4"/>
    <w:rsid w:val="15DE2644"/>
    <w:rsid w:val="15E158B9"/>
    <w:rsid w:val="15E17C25"/>
    <w:rsid w:val="15E2587E"/>
    <w:rsid w:val="15E2762C"/>
    <w:rsid w:val="15E300E0"/>
    <w:rsid w:val="15E476A1"/>
    <w:rsid w:val="15E52C78"/>
    <w:rsid w:val="15E56205"/>
    <w:rsid w:val="15E60DD6"/>
    <w:rsid w:val="15E6711C"/>
    <w:rsid w:val="15E80718"/>
    <w:rsid w:val="15E8291D"/>
    <w:rsid w:val="15E83887"/>
    <w:rsid w:val="15EA028F"/>
    <w:rsid w:val="15EA18AC"/>
    <w:rsid w:val="15EA654A"/>
    <w:rsid w:val="15EC4007"/>
    <w:rsid w:val="15EE7A56"/>
    <w:rsid w:val="15F45A54"/>
    <w:rsid w:val="15F51685"/>
    <w:rsid w:val="15F630D7"/>
    <w:rsid w:val="15FA2BC8"/>
    <w:rsid w:val="15FB06EE"/>
    <w:rsid w:val="15FB181A"/>
    <w:rsid w:val="15FB4C34"/>
    <w:rsid w:val="15FB52FC"/>
    <w:rsid w:val="15FE3F29"/>
    <w:rsid w:val="16002E0D"/>
    <w:rsid w:val="16053813"/>
    <w:rsid w:val="160868AC"/>
    <w:rsid w:val="16087DF0"/>
    <w:rsid w:val="16091C34"/>
    <w:rsid w:val="160C46A9"/>
    <w:rsid w:val="160E6673"/>
    <w:rsid w:val="1611794F"/>
    <w:rsid w:val="16141C14"/>
    <w:rsid w:val="16146821"/>
    <w:rsid w:val="161964B9"/>
    <w:rsid w:val="161A5018"/>
    <w:rsid w:val="161C0D90"/>
    <w:rsid w:val="161F0733"/>
    <w:rsid w:val="161F0F67"/>
    <w:rsid w:val="161F262E"/>
    <w:rsid w:val="16215455"/>
    <w:rsid w:val="162278E8"/>
    <w:rsid w:val="16253AC2"/>
    <w:rsid w:val="16257519"/>
    <w:rsid w:val="162714E3"/>
    <w:rsid w:val="162B4B2F"/>
    <w:rsid w:val="162B4B9C"/>
    <w:rsid w:val="162B4ED3"/>
    <w:rsid w:val="162B5273"/>
    <w:rsid w:val="162C3FA5"/>
    <w:rsid w:val="162D33AE"/>
    <w:rsid w:val="162D4D4B"/>
    <w:rsid w:val="162D56C8"/>
    <w:rsid w:val="162E0AC3"/>
    <w:rsid w:val="162F02D3"/>
    <w:rsid w:val="16306051"/>
    <w:rsid w:val="16322899"/>
    <w:rsid w:val="16351A71"/>
    <w:rsid w:val="16353C00"/>
    <w:rsid w:val="16370C3B"/>
    <w:rsid w:val="163A65CC"/>
    <w:rsid w:val="163C5519"/>
    <w:rsid w:val="163D0D06"/>
    <w:rsid w:val="163D191F"/>
    <w:rsid w:val="163D2AB4"/>
    <w:rsid w:val="163D52D2"/>
    <w:rsid w:val="16405702"/>
    <w:rsid w:val="16412E71"/>
    <w:rsid w:val="16415E64"/>
    <w:rsid w:val="1642631D"/>
    <w:rsid w:val="16443613"/>
    <w:rsid w:val="1645269A"/>
    <w:rsid w:val="1648106B"/>
    <w:rsid w:val="16493207"/>
    <w:rsid w:val="164A3F23"/>
    <w:rsid w:val="164A7E47"/>
    <w:rsid w:val="164C6E0D"/>
    <w:rsid w:val="164D33AB"/>
    <w:rsid w:val="164E02F9"/>
    <w:rsid w:val="164F3E57"/>
    <w:rsid w:val="16526656"/>
    <w:rsid w:val="1653246C"/>
    <w:rsid w:val="16547244"/>
    <w:rsid w:val="16565924"/>
    <w:rsid w:val="16567608"/>
    <w:rsid w:val="16592AB5"/>
    <w:rsid w:val="16597D82"/>
    <w:rsid w:val="165A5414"/>
    <w:rsid w:val="165B2F3A"/>
    <w:rsid w:val="165C2F30"/>
    <w:rsid w:val="165D6CB3"/>
    <w:rsid w:val="16612C47"/>
    <w:rsid w:val="166242C9"/>
    <w:rsid w:val="16645B4A"/>
    <w:rsid w:val="1666200B"/>
    <w:rsid w:val="16673E9F"/>
    <w:rsid w:val="16686D07"/>
    <w:rsid w:val="166A3AC7"/>
    <w:rsid w:val="166C69FB"/>
    <w:rsid w:val="166D339A"/>
    <w:rsid w:val="166F67F7"/>
    <w:rsid w:val="16704907"/>
    <w:rsid w:val="16730C17"/>
    <w:rsid w:val="16777D74"/>
    <w:rsid w:val="1679289C"/>
    <w:rsid w:val="16795661"/>
    <w:rsid w:val="167A5AB7"/>
    <w:rsid w:val="167A7865"/>
    <w:rsid w:val="167C5C05"/>
    <w:rsid w:val="167C6C93"/>
    <w:rsid w:val="167F32C8"/>
    <w:rsid w:val="167F42A3"/>
    <w:rsid w:val="1680730F"/>
    <w:rsid w:val="168138B0"/>
    <w:rsid w:val="168229B3"/>
    <w:rsid w:val="16832492"/>
    <w:rsid w:val="16835E00"/>
    <w:rsid w:val="168406E3"/>
    <w:rsid w:val="168626AD"/>
    <w:rsid w:val="1686445B"/>
    <w:rsid w:val="16875174"/>
    <w:rsid w:val="168B08DF"/>
    <w:rsid w:val="168B1A72"/>
    <w:rsid w:val="168D7598"/>
    <w:rsid w:val="16901BB2"/>
    <w:rsid w:val="169052DA"/>
    <w:rsid w:val="16920C33"/>
    <w:rsid w:val="1695644C"/>
    <w:rsid w:val="16992D04"/>
    <w:rsid w:val="169C3C7F"/>
    <w:rsid w:val="169E53F2"/>
    <w:rsid w:val="169F1079"/>
    <w:rsid w:val="169F2025"/>
    <w:rsid w:val="169F7B22"/>
    <w:rsid w:val="16A26AA0"/>
    <w:rsid w:val="16A42B33"/>
    <w:rsid w:val="16A448E1"/>
    <w:rsid w:val="16A65C51"/>
    <w:rsid w:val="16A9014A"/>
    <w:rsid w:val="16AA639C"/>
    <w:rsid w:val="16AB5474"/>
    <w:rsid w:val="16AB5C70"/>
    <w:rsid w:val="16AD21B4"/>
    <w:rsid w:val="16AF2B4C"/>
    <w:rsid w:val="16B20DAC"/>
    <w:rsid w:val="16B217CE"/>
    <w:rsid w:val="16B234A2"/>
    <w:rsid w:val="16B32408"/>
    <w:rsid w:val="16B84434"/>
    <w:rsid w:val="16B849F9"/>
    <w:rsid w:val="16BA2357"/>
    <w:rsid w:val="16BC0B32"/>
    <w:rsid w:val="16BF29DA"/>
    <w:rsid w:val="16BF34C9"/>
    <w:rsid w:val="16BF6B65"/>
    <w:rsid w:val="16BF796D"/>
    <w:rsid w:val="16C1151A"/>
    <w:rsid w:val="16C17241"/>
    <w:rsid w:val="16C308CC"/>
    <w:rsid w:val="16C40A2B"/>
    <w:rsid w:val="16C60CFC"/>
    <w:rsid w:val="16C62AAA"/>
    <w:rsid w:val="16C86822"/>
    <w:rsid w:val="16C900C0"/>
    <w:rsid w:val="16CA23F2"/>
    <w:rsid w:val="16CA788B"/>
    <w:rsid w:val="16CE195E"/>
    <w:rsid w:val="16CF5E02"/>
    <w:rsid w:val="16D01B7A"/>
    <w:rsid w:val="16D03928"/>
    <w:rsid w:val="16D276A1"/>
    <w:rsid w:val="16D31016"/>
    <w:rsid w:val="16D3646B"/>
    <w:rsid w:val="16D36859"/>
    <w:rsid w:val="16D43DC5"/>
    <w:rsid w:val="16D734AA"/>
    <w:rsid w:val="16D927DD"/>
    <w:rsid w:val="16D94548"/>
    <w:rsid w:val="16DA4390"/>
    <w:rsid w:val="16DA6555"/>
    <w:rsid w:val="16DB4B63"/>
    <w:rsid w:val="16DE0A1B"/>
    <w:rsid w:val="16E3540A"/>
    <w:rsid w:val="16E828D0"/>
    <w:rsid w:val="16E82A20"/>
    <w:rsid w:val="16EA2306"/>
    <w:rsid w:val="16EA2C3C"/>
    <w:rsid w:val="16EA49EA"/>
    <w:rsid w:val="16ED4BAD"/>
    <w:rsid w:val="16F00564"/>
    <w:rsid w:val="16F24EF2"/>
    <w:rsid w:val="16F37B9A"/>
    <w:rsid w:val="16F44397"/>
    <w:rsid w:val="16F72C63"/>
    <w:rsid w:val="16F75359"/>
    <w:rsid w:val="16FA5038"/>
    <w:rsid w:val="16FC296F"/>
    <w:rsid w:val="16FC7F0C"/>
    <w:rsid w:val="16FE3FF2"/>
    <w:rsid w:val="17011D34"/>
    <w:rsid w:val="17015CD7"/>
    <w:rsid w:val="17030D88"/>
    <w:rsid w:val="17032D1F"/>
    <w:rsid w:val="17057572"/>
    <w:rsid w:val="170627D4"/>
    <w:rsid w:val="17062BBD"/>
    <w:rsid w:val="17065BA4"/>
    <w:rsid w:val="17071882"/>
    <w:rsid w:val="17092996"/>
    <w:rsid w:val="170A0735"/>
    <w:rsid w:val="170A4468"/>
    <w:rsid w:val="170A6E3A"/>
    <w:rsid w:val="170B23B0"/>
    <w:rsid w:val="170D2A25"/>
    <w:rsid w:val="171061BB"/>
    <w:rsid w:val="171B154F"/>
    <w:rsid w:val="171E6442"/>
    <w:rsid w:val="1720040C"/>
    <w:rsid w:val="17231CAA"/>
    <w:rsid w:val="17251F3E"/>
    <w:rsid w:val="172872C1"/>
    <w:rsid w:val="172A5E91"/>
    <w:rsid w:val="172B20D9"/>
    <w:rsid w:val="17300C86"/>
    <w:rsid w:val="17306175"/>
    <w:rsid w:val="17324B4A"/>
    <w:rsid w:val="17345C65"/>
    <w:rsid w:val="1735777E"/>
    <w:rsid w:val="17375756"/>
    <w:rsid w:val="173A1B89"/>
    <w:rsid w:val="173C0E4E"/>
    <w:rsid w:val="173C2D6C"/>
    <w:rsid w:val="173E684C"/>
    <w:rsid w:val="174000D5"/>
    <w:rsid w:val="1743234C"/>
    <w:rsid w:val="17435896"/>
    <w:rsid w:val="1743632B"/>
    <w:rsid w:val="1746031E"/>
    <w:rsid w:val="17463BEB"/>
    <w:rsid w:val="1746582E"/>
    <w:rsid w:val="17497E61"/>
    <w:rsid w:val="174A36DB"/>
    <w:rsid w:val="174B7793"/>
    <w:rsid w:val="174C1201"/>
    <w:rsid w:val="174F08C5"/>
    <w:rsid w:val="174F3A55"/>
    <w:rsid w:val="17504FE0"/>
    <w:rsid w:val="17521041"/>
    <w:rsid w:val="17525B6D"/>
    <w:rsid w:val="17556281"/>
    <w:rsid w:val="175723F4"/>
    <w:rsid w:val="175812AF"/>
    <w:rsid w:val="175A5AAF"/>
    <w:rsid w:val="175E3CFD"/>
    <w:rsid w:val="175E5BA2"/>
    <w:rsid w:val="175E6E30"/>
    <w:rsid w:val="175E7186"/>
    <w:rsid w:val="1761097E"/>
    <w:rsid w:val="176355FF"/>
    <w:rsid w:val="1767428D"/>
    <w:rsid w:val="176B4C9A"/>
    <w:rsid w:val="176C53FF"/>
    <w:rsid w:val="176C6BB0"/>
    <w:rsid w:val="176E58C9"/>
    <w:rsid w:val="176F3141"/>
    <w:rsid w:val="176F6C9D"/>
    <w:rsid w:val="177267F9"/>
    <w:rsid w:val="177414B4"/>
    <w:rsid w:val="17742506"/>
    <w:rsid w:val="1776627E"/>
    <w:rsid w:val="177711B5"/>
    <w:rsid w:val="1779334B"/>
    <w:rsid w:val="17797B1C"/>
    <w:rsid w:val="177B098D"/>
    <w:rsid w:val="177B0B01"/>
    <w:rsid w:val="177B6F70"/>
    <w:rsid w:val="17804C49"/>
    <w:rsid w:val="17822E75"/>
    <w:rsid w:val="17824C23"/>
    <w:rsid w:val="178269DF"/>
    <w:rsid w:val="17880A22"/>
    <w:rsid w:val="178A7656"/>
    <w:rsid w:val="178B0713"/>
    <w:rsid w:val="178C01A7"/>
    <w:rsid w:val="178C589D"/>
    <w:rsid w:val="178D024F"/>
    <w:rsid w:val="1790125C"/>
    <w:rsid w:val="179070A8"/>
    <w:rsid w:val="17910E7C"/>
    <w:rsid w:val="179326F1"/>
    <w:rsid w:val="17944162"/>
    <w:rsid w:val="17972B46"/>
    <w:rsid w:val="1799478D"/>
    <w:rsid w:val="179B17C4"/>
    <w:rsid w:val="179E3A27"/>
    <w:rsid w:val="17A032FB"/>
    <w:rsid w:val="17A113EA"/>
    <w:rsid w:val="17A15BBE"/>
    <w:rsid w:val="17A1683C"/>
    <w:rsid w:val="17A5319A"/>
    <w:rsid w:val="17A63328"/>
    <w:rsid w:val="17A70B2D"/>
    <w:rsid w:val="17A83E93"/>
    <w:rsid w:val="17A96653"/>
    <w:rsid w:val="17AA4179"/>
    <w:rsid w:val="17AA42B4"/>
    <w:rsid w:val="17AA5F28"/>
    <w:rsid w:val="17AB270B"/>
    <w:rsid w:val="17AB7911"/>
    <w:rsid w:val="17AC050B"/>
    <w:rsid w:val="17AD77C6"/>
    <w:rsid w:val="17AF79E2"/>
    <w:rsid w:val="17B15A0B"/>
    <w:rsid w:val="17B172B6"/>
    <w:rsid w:val="17B56841"/>
    <w:rsid w:val="17B81587"/>
    <w:rsid w:val="17B9167F"/>
    <w:rsid w:val="17B939A8"/>
    <w:rsid w:val="17B9616B"/>
    <w:rsid w:val="17BA0323"/>
    <w:rsid w:val="17BC0000"/>
    <w:rsid w:val="17BE19D3"/>
    <w:rsid w:val="17BF1702"/>
    <w:rsid w:val="17C1762F"/>
    <w:rsid w:val="17C251D2"/>
    <w:rsid w:val="17C265F3"/>
    <w:rsid w:val="17C31E94"/>
    <w:rsid w:val="17C3523B"/>
    <w:rsid w:val="17CA0EC3"/>
    <w:rsid w:val="17CD1C16"/>
    <w:rsid w:val="17CD5330"/>
    <w:rsid w:val="17D336D0"/>
    <w:rsid w:val="17D35235"/>
    <w:rsid w:val="17D4404E"/>
    <w:rsid w:val="17DB2585"/>
    <w:rsid w:val="17E018B3"/>
    <w:rsid w:val="17E049CF"/>
    <w:rsid w:val="17E07532"/>
    <w:rsid w:val="17E07B9B"/>
    <w:rsid w:val="17E26979"/>
    <w:rsid w:val="17E317AF"/>
    <w:rsid w:val="17E53404"/>
    <w:rsid w:val="17E54C2E"/>
    <w:rsid w:val="17E62C77"/>
    <w:rsid w:val="17EA27C8"/>
    <w:rsid w:val="17EA5807"/>
    <w:rsid w:val="17EE050A"/>
    <w:rsid w:val="17EF7DDE"/>
    <w:rsid w:val="17F21810"/>
    <w:rsid w:val="17F23C73"/>
    <w:rsid w:val="17F6116D"/>
    <w:rsid w:val="17F62A85"/>
    <w:rsid w:val="17F673BF"/>
    <w:rsid w:val="17FD699F"/>
    <w:rsid w:val="18023FB5"/>
    <w:rsid w:val="180243D1"/>
    <w:rsid w:val="1803764E"/>
    <w:rsid w:val="18055854"/>
    <w:rsid w:val="18070047"/>
    <w:rsid w:val="18092605"/>
    <w:rsid w:val="18092816"/>
    <w:rsid w:val="180A0B93"/>
    <w:rsid w:val="180D41B3"/>
    <w:rsid w:val="180D7409"/>
    <w:rsid w:val="180F222F"/>
    <w:rsid w:val="1812110F"/>
    <w:rsid w:val="18175250"/>
    <w:rsid w:val="18184642"/>
    <w:rsid w:val="18196E79"/>
    <w:rsid w:val="181A010C"/>
    <w:rsid w:val="181A12FF"/>
    <w:rsid w:val="181B0BD3"/>
    <w:rsid w:val="181B2951"/>
    <w:rsid w:val="181B6DAA"/>
    <w:rsid w:val="181D1777"/>
    <w:rsid w:val="18216B7B"/>
    <w:rsid w:val="18251A52"/>
    <w:rsid w:val="18253800"/>
    <w:rsid w:val="18267A03"/>
    <w:rsid w:val="182806D7"/>
    <w:rsid w:val="18284982"/>
    <w:rsid w:val="1828759F"/>
    <w:rsid w:val="18297794"/>
    <w:rsid w:val="18297A22"/>
    <w:rsid w:val="182C16F0"/>
    <w:rsid w:val="182C4B8E"/>
    <w:rsid w:val="182E3CE3"/>
    <w:rsid w:val="182E6B48"/>
    <w:rsid w:val="182F467F"/>
    <w:rsid w:val="183121A5"/>
    <w:rsid w:val="183152E1"/>
    <w:rsid w:val="18331EBF"/>
    <w:rsid w:val="18340258"/>
    <w:rsid w:val="18340ADF"/>
    <w:rsid w:val="1835170E"/>
    <w:rsid w:val="18363C5F"/>
    <w:rsid w:val="18397E11"/>
    <w:rsid w:val="183A3CF4"/>
    <w:rsid w:val="183A7A89"/>
    <w:rsid w:val="183D29BE"/>
    <w:rsid w:val="183D7A94"/>
    <w:rsid w:val="1840688C"/>
    <w:rsid w:val="18414ADE"/>
    <w:rsid w:val="1842196E"/>
    <w:rsid w:val="184536BA"/>
    <w:rsid w:val="1846064A"/>
    <w:rsid w:val="184620F4"/>
    <w:rsid w:val="18491BE4"/>
    <w:rsid w:val="184B14B9"/>
    <w:rsid w:val="184B2762"/>
    <w:rsid w:val="184C184A"/>
    <w:rsid w:val="184E35FA"/>
    <w:rsid w:val="185179D2"/>
    <w:rsid w:val="18553FC8"/>
    <w:rsid w:val="1855641B"/>
    <w:rsid w:val="185760AF"/>
    <w:rsid w:val="18583BD5"/>
    <w:rsid w:val="185A16FC"/>
    <w:rsid w:val="185B536B"/>
    <w:rsid w:val="185B5474"/>
    <w:rsid w:val="185C1918"/>
    <w:rsid w:val="185D6922"/>
    <w:rsid w:val="185F5297"/>
    <w:rsid w:val="185F6D12"/>
    <w:rsid w:val="18622CA6"/>
    <w:rsid w:val="1864640A"/>
    <w:rsid w:val="1867206B"/>
    <w:rsid w:val="18691561"/>
    <w:rsid w:val="1869193F"/>
    <w:rsid w:val="18695DE3"/>
    <w:rsid w:val="186E4D58"/>
    <w:rsid w:val="186F4511"/>
    <w:rsid w:val="186F6708"/>
    <w:rsid w:val="18700F1F"/>
    <w:rsid w:val="1871105F"/>
    <w:rsid w:val="18714100"/>
    <w:rsid w:val="18721A3A"/>
    <w:rsid w:val="18733059"/>
    <w:rsid w:val="18736C61"/>
    <w:rsid w:val="18742E70"/>
    <w:rsid w:val="18754787"/>
    <w:rsid w:val="187730D3"/>
    <w:rsid w:val="1879283F"/>
    <w:rsid w:val="187A28C7"/>
    <w:rsid w:val="187C5B16"/>
    <w:rsid w:val="187D003A"/>
    <w:rsid w:val="187D1248"/>
    <w:rsid w:val="18801C85"/>
    <w:rsid w:val="18816F98"/>
    <w:rsid w:val="18842C1C"/>
    <w:rsid w:val="188624F1"/>
    <w:rsid w:val="1887694C"/>
    <w:rsid w:val="1888270D"/>
    <w:rsid w:val="1889035F"/>
    <w:rsid w:val="188E5C84"/>
    <w:rsid w:val="188E7B1E"/>
    <w:rsid w:val="18904801"/>
    <w:rsid w:val="18932754"/>
    <w:rsid w:val="18942F6A"/>
    <w:rsid w:val="18952734"/>
    <w:rsid w:val="18964231"/>
    <w:rsid w:val="18977CDC"/>
    <w:rsid w:val="189A2794"/>
    <w:rsid w:val="189C72A3"/>
    <w:rsid w:val="189C7F66"/>
    <w:rsid w:val="189D1AA1"/>
    <w:rsid w:val="189E1BC5"/>
    <w:rsid w:val="18A1557C"/>
    <w:rsid w:val="18A159F8"/>
    <w:rsid w:val="18A15EA0"/>
    <w:rsid w:val="18A17538"/>
    <w:rsid w:val="18A848F2"/>
    <w:rsid w:val="18AA6D5C"/>
    <w:rsid w:val="18AB39C5"/>
    <w:rsid w:val="18AB63FB"/>
    <w:rsid w:val="18AE1A47"/>
    <w:rsid w:val="18AE7C99"/>
    <w:rsid w:val="18AF5EEB"/>
    <w:rsid w:val="18B07A55"/>
    <w:rsid w:val="18B136E0"/>
    <w:rsid w:val="18B6251A"/>
    <w:rsid w:val="18B83CF9"/>
    <w:rsid w:val="18BC70D4"/>
    <w:rsid w:val="18BE54B4"/>
    <w:rsid w:val="18C15C1F"/>
    <w:rsid w:val="18C272A1"/>
    <w:rsid w:val="18C37286"/>
    <w:rsid w:val="18C93658"/>
    <w:rsid w:val="18C94AD3"/>
    <w:rsid w:val="18C965C0"/>
    <w:rsid w:val="18C96C41"/>
    <w:rsid w:val="18CA2E04"/>
    <w:rsid w:val="18CE2AA5"/>
    <w:rsid w:val="18CF0D54"/>
    <w:rsid w:val="18D06E6E"/>
    <w:rsid w:val="18D07033"/>
    <w:rsid w:val="18D07D4F"/>
    <w:rsid w:val="18D70F9E"/>
    <w:rsid w:val="18D86AC4"/>
    <w:rsid w:val="18D92F68"/>
    <w:rsid w:val="18D93A6F"/>
    <w:rsid w:val="18DA44C2"/>
    <w:rsid w:val="18DB0C36"/>
    <w:rsid w:val="18DC65B5"/>
    <w:rsid w:val="18DE380C"/>
    <w:rsid w:val="18E11E1D"/>
    <w:rsid w:val="18E5190D"/>
    <w:rsid w:val="18E54337"/>
    <w:rsid w:val="18EB2DBB"/>
    <w:rsid w:val="18EB4A4A"/>
    <w:rsid w:val="18EC0939"/>
    <w:rsid w:val="18ED09BE"/>
    <w:rsid w:val="18F070EC"/>
    <w:rsid w:val="18F41B50"/>
    <w:rsid w:val="18F554CB"/>
    <w:rsid w:val="18F55BF5"/>
    <w:rsid w:val="18F74FD6"/>
    <w:rsid w:val="18F7519C"/>
    <w:rsid w:val="18F95898"/>
    <w:rsid w:val="18FA4C8D"/>
    <w:rsid w:val="18FA7FC6"/>
    <w:rsid w:val="18FC7A94"/>
    <w:rsid w:val="18FE1C7E"/>
    <w:rsid w:val="18FE29CF"/>
    <w:rsid w:val="18FF04F5"/>
    <w:rsid w:val="18FF22A3"/>
    <w:rsid w:val="19023E8D"/>
    <w:rsid w:val="19025818"/>
    <w:rsid w:val="19026976"/>
    <w:rsid w:val="19034BF0"/>
    <w:rsid w:val="19035340"/>
    <w:rsid w:val="19045B0B"/>
    <w:rsid w:val="19053D5D"/>
    <w:rsid w:val="19070402"/>
    <w:rsid w:val="19084A78"/>
    <w:rsid w:val="19094ED0"/>
    <w:rsid w:val="190951B2"/>
    <w:rsid w:val="190E0109"/>
    <w:rsid w:val="190F1F0F"/>
    <w:rsid w:val="191123A0"/>
    <w:rsid w:val="19115D22"/>
    <w:rsid w:val="19120228"/>
    <w:rsid w:val="1914213E"/>
    <w:rsid w:val="19170418"/>
    <w:rsid w:val="191B56A1"/>
    <w:rsid w:val="191C10A7"/>
    <w:rsid w:val="191E4DAD"/>
    <w:rsid w:val="191F46F3"/>
    <w:rsid w:val="192012CB"/>
    <w:rsid w:val="192042D9"/>
    <w:rsid w:val="19213B4A"/>
    <w:rsid w:val="19222CB8"/>
    <w:rsid w:val="19235F91"/>
    <w:rsid w:val="19257F5C"/>
    <w:rsid w:val="19267830"/>
    <w:rsid w:val="19277601"/>
    <w:rsid w:val="192835A8"/>
    <w:rsid w:val="192A5572"/>
    <w:rsid w:val="192B12EA"/>
    <w:rsid w:val="192C2B12"/>
    <w:rsid w:val="192E13A8"/>
    <w:rsid w:val="192E75F5"/>
    <w:rsid w:val="192E7960"/>
    <w:rsid w:val="19303E00"/>
    <w:rsid w:val="19306EAA"/>
    <w:rsid w:val="19353F17"/>
    <w:rsid w:val="19357983"/>
    <w:rsid w:val="193A17DB"/>
    <w:rsid w:val="193B188B"/>
    <w:rsid w:val="1941466A"/>
    <w:rsid w:val="19436634"/>
    <w:rsid w:val="19460C23"/>
    <w:rsid w:val="19476AB2"/>
    <w:rsid w:val="19483077"/>
    <w:rsid w:val="194B1768"/>
    <w:rsid w:val="194B7296"/>
    <w:rsid w:val="194D237F"/>
    <w:rsid w:val="194D39A7"/>
    <w:rsid w:val="194F0FA0"/>
    <w:rsid w:val="194F322A"/>
    <w:rsid w:val="194F5DE6"/>
    <w:rsid w:val="19524AC9"/>
    <w:rsid w:val="19542872"/>
    <w:rsid w:val="195473CA"/>
    <w:rsid w:val="19575C3B"/>
    <w:rsid w:val="19582CDE"/>
    <w:rsid w:val="19595E51"/>
    <w:rsid w:val="195A00D0"/>
    <w:rsid w:val="195E6FCA"/>
    <w:rsid w:val="196071E6"/>
    <w:rsid w:val="1962667C"/>
    <w:rsid w:val="19650358"/>
    <w:rsid w:val="196547FC"/>
    <w:rsid w:val="19670574"/>
    <w:rsid w:val="1968700C"/>
    <w:rsid w:val="196B0C11"/>
    <w:rsid w:val="196B559B"/>
    <w:rsid w:val="196B6F5D"/>
    <w:rsid w:val="196D545F"/>
    <w:rsid w:val="196E434F"/>
    <w:rsid w:val="196F1E19"/>
    <w:rsid w:val="19715B13"/>
    <w:rsid w:val="19717795"/>
    <w:rsid w:val="19722A75"/>
    <w:rsid w:val="19726F19"/>
    <w:rsid w:val="19747A66"/>
    <w:rsid w:val="19783FF3"/>
    <w:rsid w:val="197A3AD0"/>
    <w:rsid w:val="197C67F9"/>
    <w:rsid w:val="197D6BE5"/>
    <w:rsid w:val="19835D08"/>
    <w:rsid w:val="19836A30"/>
    <w:rsid w:val="19851547"/>
    <w:rsid w:val="19887B32"/>
    <w:rsid w:val="198C16D7"/>
    <w:rsid w:val="198D5B01"/>
    <w:rsid w:val="198D78AF"/>
    <w:rsid w:val="198E13B4"/>
    <w:rsid w:val="198F7ACB"/>
    <w:rsid w:val="199030F5"/>
    <w:rsid w:val="19940EB6"/>
    <w:rsid w:val="19946E8F"/>
    <w:rsid w:val="1995007C"/>
    <w:rsid w:val="19952FDA"/>
    <w:rsid w:val="1999412A"/>
    <w:rsid w:val="199D05C1"/>
    <w:rsid w:val="199D1859"/>
    <w:rsid w:val="199E1ABC"/>
    <w:rsid w:val="199E7FC6"/>
    <w:rsid w:val="19A03529"/>
    <w:rsid w:val="19A213F5"/>
    <w:rsid w:val="19A81450"/>
    <w:rsid w:val="19AA46A8"/>
    <w:rsid w:val="19AA5E17"/>
    <w:rsid w:val="19AB7AFD"/>
    <w:rsid w:val="19AC5F87"/>
    <w:rsid w:val="19AC6690"/>
    <w:rsid w:val="19AE7848"/>
    <w:rsid w:val="19AF3B81"/>
    <w:rsid w:val="19B06A01"/>
    <w:rsid w:val="19B112F0"/>
    <w:rsid w:val="19B17A41"/>
    <w:rsid w:val="19B337B9"/>
    <w:rsid w:val="19B65058"/>
    <w:rsid w:val="19B73661"/>
    <w:rsid w:val="19B77D33"/>
    <w:rsid w:val="19B85D2B"/>
    <w:rsid w:val="19B91523"/>
    <w:rsid w:val="19B93EAC"/>
    <w:rsid w:val="19BA55B6"/>
    <w:rsid w:val="19BB04E7"/>
    <w:rsid w:val="19BB4B61"/>
    <w:rsid w:val="19BD0194"/>
    <w:rsid w:val="19BD16CC"/>
    <w:rsid w:val="19C21571"/>
    <w:rsid w:val="19C67738"/>
    <w:rsid w:val="19C72DC1"/>
    <w:rsid w:val="19C86B39"/>
    <w:rsid w:val="19CB07AB"/>
    <w:rsid w:val="19CD414F"/>
    <w:rsid w:val="19CE05F3"/>
    <w:rsid w:val="19CE23A1"/>
    <w:rsid w:val="19D144C1"/>
    <w:rsid w:val="19D24AA5"/>
    <w:rsid w:val="19D70106"/>
    <w:rsid w:val="19D9345F"/>
    <w:rsid w:val="19DB061A"/>
    <w:rsid w:val="19DB686C"/>
    <w:rsid w:val="19DD0836"/>
    <w:rsid w:val="19DD25E4"/>
    <w:rsid w:val="19DE210A"/>
    <w:rsid w:val="19E25E4D"/>
    <w:rsid w:val="19E25E5C"/>
    <w:rsid w:val="19E576EB"/>
    <w:rsid w:val="19E75211"/>
    <w:rsid w:val="19E80F89"/>
    <w:rsid w:val="19E96C61"/>
    <w:rsid w:val="19E971DB"/>
    <w:rsid w:val="19EA6CD0"/>
    <w:rsid w:val="19ED0C23"/>
    <w:rsid w:val="19EE47F1"/>
    <w:rsid w:val="19EF3246"/>
    <w:rsid w:val="19F00251"/>
    <w:rsid w:val="19F17E3E"/>
    <w:rsid w:val="19F23513"/>
    <w:rsid w:val="19F25F57"/>
    <w:rsid w:val="19F3005A"/>
    <w:rsid w:val="19F57468"/>
    <w:rsid w:val="19F60B34"/>
    <w:rsid w:val="19F70438"/>
    <w:rsid w:val="19F811CC"/>
    <w:rsid w:val="19F8741E"/>
    <w:rsid w:val="19FA13E8"/>
    <w:rsid w:val="19FB200D"/>
    <w:rsid w:val="19FB2A6A"/>
    <w:rsid w:val="19FD67E3"/>
    <w:rsid w:val="19FE65B7"/>
    <w:rsid w:val="19FF69FF"/>
    <w:rsid w:val="1A002777"/>
    <w:rsid w:val="1A01018F"/>
    <w:rsid w:val="1A0101DD"/>
    <w:rsid w:val="1A020324"/>
    <w:rsid w:val="1A02204B"/>
    <w:rsid w:val="1A042476"/>
    <w:rsid w:val="1A057D8D"/>
    <w:rsid w:val="1A070E5E"/>
    <w:rsid w:val="1A09162B"/>
    <w:rsid w:val="1A0918A1"/>
    <w:rsid w:val="1A0A1B7B"/>
    <w:rsid w:val="1A0B1C7C"/>
    <w:rsid w:val="1A0B2DAD"/>
    <w:rsid w:val="1A0B5EB1"/>
    <w:rsid w:val="1A0C3B4D"/>
    <w:rsid w:val="1A100AFF"/>
    <w:rsid w:val="1A100C0A"/>
    <w:rsid w:val="1A134258"/>
    <w:rsid w:val="1A134D66"/>
    <w:rsid w:val="1A134FCE"/>
    <w:rsid w:val="1A170C47"/>
    <w:rsid w:val="1A180CC7"/>
    <w:rsid w:val="1A182A48"/>
    <w:rsid w:val="1A18588D"/>
    <w:rsid w:val="1A1A55E6"/>
    <w:rsid w:val="1A1A7931"/>
    <w:rsid w:val="1A1B5DEF"/>
    <w:rsid w:val="1A1D601A"/>
    <w:rsid w:val="1A1F2BFD"/>
    <w:rsid w:val="1A2152A5"/>
    <w:rsid w:val="1A240213"/>
    <w:rsid w:val="1A246465"/>
    <w:rsid w:val="1A2620E0"/>
    <w:rsid w:val="1A26491F"/>
    <w:rsid w:val="1A295205"/>
    <w:rsid w:val="1A2B6082"/>
    <w:rsid w:val="1A2B77F4"/>
    <w:rsid w:val="1A2F0966"/>
    <w:rsid w:val="1A3379F8"/>
    <w:rsid w:val="1A352420"/>
    <w:rsid w:val="1A390F2F"/>
    <w:rsid w:val="1A3C2B07"/>
    <w:rsid w:val="1A3D267B"/>
    <w:rsid w:val="1A3E78C3"/>
    <w:rsid w:val="1A404F4F"/>
    <w:rsid w:val="1A4068C7"/>
    <w:rsid w:val="1A4160EC"/>
    <w:rsid w:val="1A423B81"/>
    <w:rsid w:val="1A433DA7"/>
    <w:rsid w:val="1A4408B5"/>
    <w:rsid w:val="1A444411"/>
    <w:rsid w:val="1A472154"/>
    <w:rsid w:val="1A486E61"/>
    <w:rsid w:val="1A490F86"/>
    <w:rsid w:val="1A4A6513"/>
    <w:rsid w:val="1A4F0ED2"/>
    <w:rsid w:val="1A4F2DB6"/>
    <w:rsid w:val="1A501060"/>
    <w:rsid w:val="1A515AD2"/>
    <w:rsid w:val="1A5440FF"/>
    <w:rsid w:val="1A562313"/>
    <w:rsid w:val="1A5664B6"/>
    <w:rsid w:val="1A580C7C"/>
    <w:rsid w:val="1A5B5200"/>
    <w:rsid w:val="1A5D3725"/>
    <w:rsid w:val="1A5F2FF9"/>
    <w:rsid w:val="1A6227C5"/>
    <w:rsid w:val="1A65095C"/>
    <w:rsid w:val="1A666AF1"/>
    <w:rsid w:val="1A673E98"/>
    <w:rsid w:val="1A68166C"/>
    <w:rsid w:val="1A6938AB"/>
    <w:rsid w:val="1A6C2303"/>
    <w:rsid w:val="1A6C3968"/>
    <w:rsid w:val="1A6D1F86"/>
    <w:rsid w:val="1A6E23F3"/>
    <w:rsid w:val="1A6E7488"/>
    <w:rsid w:val="1A7016AA"/>
    <w:rsid w:val="1A710F7F"/>
    <w:rsid w:val="1A732F49"/>
    <w:rsid w:val="1A733830"/>
    <w:rsid w:val="1A7348E4"/>
    <w:rsid w:val="1A75598D"/>
    <w:rsid w:val="1A7604C0"/>
    <w:rsid w:val="1A7647E7"/>
    <w:rsid w:val="1A787533"/>
    <w:rsid w:val="1A7C2724"/>
    <w:rsid w:val="1A7D7923"/>
    <w:rsid w:val="1A7E3F9C"/>
    <w:rsid w:val="1A7F369B"/>
    <w:rsid w:val="1A7F48CC"/>
    <w:rsid w:val="1A7F5A3D"/>
    <w:rsid w:val="1A8121C7"/>
    <w:rsid w:val="1A81780F"/>
    <w:rsid w:val="1A82318C"/>
    <w:rsid w:val="1A840CB2"/>
    <w:rsid w:val="1A850BA8"/>
    <w:rsid w:val="1A89276C"/>
    <w:rsid w:val="1A8D32D2"/>
    <w:rsid w:val="1A8F28CF"/>
    <w:rsid w:val="1A93162D"/>
    <w:rsid w:val="1A935AD8"/>
    <w:rsid w:val="1A9515A4"/>
    <w:rsid w:val="1A960F3D"/>
    <w:rsid w:val="1A962296"/>
    <w:rsid w:val="1A992EF2"/>
    <w:rsid w:val="1A9B675D"/>
    <w:rsid w:val="1A9D3217"/>
    <w:rsid w:val="1A9D32A1"/>
    <w:rsid w:val="1A9D69B7"/>
    <w:rsid w:val="1AA16254"/>
    <w:rsid w:val="1AA650CC"/>
    <w:rsid w:val="1AAB623F"/>
    <w:rsid w:val="1AAC38DB"/>
    <w:rsid w:val="1AAD1E42"/>
    <w:rsid w:val="1AAE3F81"/>
    <w:rsid w:val="1AAF1AE0"/>
    <w:rsid w:val="1AB0025A"/>
    <w:rsid w:val="1AB04D6D"/>
    <w:rsid w:val="1AB05F4B"/>
    <w:rsid w:val="1AB32D49"/>
    <w:rsid w:val="1AB44EC5"/>
    <w:rsid w:val="1AB570BD"/>
    <w:rsid w:val="1AB835BF"/>
    <w:rsid w:val="1AB967D1"/>
    <w:rsid w:val="1ABE2B63"/>
    <w:rsid w:val="1AC21052"/>
    <w:rsid w:val="1AC45552"/>
    <w:rsid w:val="1AC473D9"/>
    <w:rsid w:val="1AC57F78"/>
    <w:rsid w:val="1AC60D6B"/>
    <w:rsid w:val="1AC92B69"/>
    <w:rsid w:val="1AC94BF8"/>
    <w:rsid w:val="1ACD087B"/>
    <w:rsid w:val="1ACE755A"/>
    <w:rsid w:val="1AD11A1D"/>
    <w:rsid w:val="1AD339E7"/>
    <w:rsid w:val="1AD84FB0"/>
    <w:rsid w:val="1AD85287"/>
    <w:rsid w:val="1ADA4D76"/>
    <w:rsid w:val="1ADD3E4A"/>
    <w:rsid w:val="1ADE4866"/>
    <w:rsid w:val="1ADF133B"/>
    <w:rsid w:val="1AE17406"/>
    <w:rsid w:val="1AE331E5"/>
    <w:rsid w:val="1AE34E1B"/>
    <w:rsid w:val="1AE37CBC"/>
    <w:rsid w:val="1AE432BF"/>
    <w:rsid w:val="1AE52796"/>
    <w:rsid w:val="1AE856E5"/>
    <w:rsid w:val="1AE96D67"/>
    <w:rsid w:val="1AEC7A4D"/>
    <w:rsid w:val="1AEC7CC5"/>
    <w:rsid w:val="1AED2CFB"/>
    <w:rsid w:val="1AED4AA9"/>
    <w:rsid w:val="1AEF6A73"/>
    <w:rsid w:val="1AF42138"/>
    <w:rsid w:val="1AF43848"/>
    <w:rsid w:val="1AF5395E"/>
    <w:rsid w:val="1AF61F4B"/>
    <w:rsid w:val="1AF82066"/>
    <w:rsid w:val="1AFF658A"/>
    <w:rsid w:val="1B0047E9"/>
    <w:rsid w:val="1B062571"/>
    <w:rsid w:val="1B082845"/>
    <w:rsid w:val="1B0870E5"/>
    <w:rsid w:val="1B090296"/>
    <w:rsid w:val="1B0911B7"/>
    <w:rsid w:val="1B09181A"/>
    <w:rsid w:val="1B0E46B7"/>
    <w:rsid w:val="1B0E4A1F"/>
    <w:rsid w:val="1B1307F5"/>
    <w:rsid w:val="1B162551"/>
    <w:rsid w:val="1B1C6DF9"/>
    <w:rsid w:val="1B1D63FF"/>
    <w:rsid w:val="1B1E6C15"/>
    <w:rsid w:val="1B1F16D0"/>
    <w:rsid w:val="1B210BF7"/>
    <w:rsid w:val="1B2132E0"/>
    <w:rsid w:val="1B22677B"/>
    <w:rsid w:val="1B22700D"/>
    <w:rsid w:val="1B280C01"/>
    <w:rsid w:val="1B2829E9"/>
    <w:rsid w:val="1B2B0DD5"/>
    <w:rsid w:val="1B2B737F"/>
    <w:rsid w:val="1B2C6005"/>
    <w:rsid w:val="1B2E1DC4"/>
    <w:rsid w:val="1B2E4BA0"/>
    <w:rsid w:val="1B2F50C2"/>
    <w:rsid w:val="1B312B15"/>
    <w:rsid w:val="1B375D9A"/>
    <w:rsid w:val="1B3A12C9"/>
    <w:rsid w:val="1B3A3A66"/>
    <w:rsid w:val="1B3C333B"/>
    <w:rsid w:val="1B3C77DE"/>
    <w:rsid w:val="1B432BEF"/>
    <w:rsid w:val="1B444488"/>
    <w:rsid w:val="1B45155F"/>
    <w:rsid w:val="1B481CDF"/>
    <w:rsid w:val="1B486183"/>
    <w:rsid w:val="1B495A57"/>
    <w:rsid w:val="1B4A1127"/>
    <w:rsid w:val="1B4A403C"/>
    <w:rsid w:val="1B4B2131"/>
    <w:rsid w:val="1B4B249D"/>
    <w:rsid w:val="1B4B7A22"/>
    <w:rsid w:val="1B4E54C5"/>
    <w:rsid w:val="1B51078E"/>
    <w:rsid w:val="1B522B5E"/>
    <w:rsid w:val="1B527002"/>
    <w:rsid w:val="1B584E1A"/>
    <w:rsid w:val="1B590390"/>
    <w:rsid w:val="1B5B5EB7"/>
    <w:rsid w:val="1B5D2549"/>
    <w:rsid w:val="1B5D385B"/>
    <w:rsid w:val="1B5D7B73"/>
    <w:rsid w:val="1B5E1503"/>
    <w:rsid w:val="1B6066F9"/>
    <w:rsid w:val="1B61791B"/>
    <w:rsid w:val="1B636B19"/>
    <w:rsid w:val="1B645D19"/>
    <w:rsid w:val="1B656D35"/>
    <w:rsid w:val="1B6706BA"/>
    <w:rsid w:val="1B682381"/>
    <w:rsid w:val="1B68711F"/>
    <w:rsid w:val="1B6D1746"/>
    <w:rsid w:val="1B6D7998"/>
    <w:rsid w:val="1B6E7987"/>
    <w:rsid w:val="1B701236"/>
    <w:rsid w:val="1B705779"/>
    <w:rsid w:val="1B705953"/>
    <w:rsid w:val="1B726045"/>
    <w:rsid w:val="1B745C72"/>
    <w:rsid w:val="1B754FA0"/>
    <w:rsid w:val="1B755865"/>
    <w:rsid w:val="1B76302D"/>
    <w:rsid w:val="1B767DF6"/>
    <w:rsid w:val="1B770817"/>
    <w:rsid w:val="1B7915ED"/>
    <w:rsid w:val="1B7A6E69"/>
    <w:rsid w:val="1B7B2FBF"/>
    <w:rsid w:val="1B7D583C"/>
    <w:rsid w:val="1B7E5B89"/>
    <w:rsid w:val="1B804BC9"/>
    <w:rsid w:val="1B8151F1"/>
    <w:rsid w:val="1B826703"/>
    <w:rsid w:val="1B83548B"/>
    <w:rsid w:val="1B8362F0"/>
    <w:rsid w:val="1B851185"/>
    <w:rsid w:val="1B852F33"/>
    <w:rsid w:val="1B86647D"/>
    <w:rsid w:val="1B876BD4"/>
    <w:rsid w:val="1B8B42C2"/>
    <w:rsid w:val="1B8C2C7D"/>
    <w:rsid w:val="1B8E47F2"/>
    <w:rsid w:val="1B8F285A"/>
    <w:rsid w:val="1B8F790E"/>
    <w:rsid w:val="1B912E98"/>
    <w:rsid w:val="1B9273FE"/>
    <w:rsid w:val="1B930ED5"/>
    <w:rsid w:val="1B950C9D"/>
    <w:rsid w:val="1B9617EB"/>
    <w:rsid w:val="1B984DD4"/>
    <w:rsid w:val="1B9B0F97"/>
    <w:rsid w:val="1B9F4B59"/>
    <w:rsid w:val="1B9F6838"/>
    <w:rsid w:val="1BA013E4"/>
    <w:rsid w:val="1BA1262E"/>
    <w:rsid w:val="1BA350A1"/>
    <w:rsid w:val="1BA36333"/>
    <w:rsid w:val="1BA37ABD"/>
    <w:rsid w:val="1BA57132"/>
    <w:rsid w:val="1BA710FC"/>
    <w:rsid w:val="1BA848CE"/>
    <w:rsid w:val="1BAA62E3"/>
    <w:rsid w:val="1BAC4CA0"/>
    <w:rsid w:val="1BAD4238"/>
    <w:rsid w:val="1BAF6202"/>
    <w:rsid w:val="1BAF7FB0"/>
    <w:rsid w:val="1BB06B7B"/>
    <w:rsid w:val="1BB35E28"/>
    <w:rsid w:val="1BB35FDF"/>
    <w:rsid w:val="1BB366AF"/>
    <w:rsid w:val="1BBA3BF3"/>
    <w:rsid w:val="1BBB6955"/>
    <w:rsid w:val="1BBF488C"/>
    <w:rsid w:val="1BC10824"/>
    <w:rsid w:val="1BC44343"/>
    <w:rsid w:val="1BC60522"/>
    <w:rsid w:val="1BC6130A"/>
    <w:rsid w:val="1BC74CD4"/>
    <w:rsid w:val="1BC83471"/>
    <w:rsid w:val="1BC85F8B"/>
    <w:rsid w:val="1BCD0942"/>
    <w:rsid w:val="1BCD15A0"/>
    <w:rsid w:val="1BCE7C72"/>
    <w:rsid w:val="1BCF5827"/>
    <w:rsid w:val="1BD1433D"/>
    <w:rsid w:val="1BD364E4"/>
    <w:rsid w:val="1BD367B0"/>
    <w:rsid w:val="1BD60356"/>
    <w:rsid w:val="1BD6378F"/>
    <w:rsid w:val="1BD6553D"/>
    <w:rsid w:val="1BD9502D"/>
    <w:rsid w:val="1BDA07CF"/>
    <w:rsid w:val="1BDC5D91"/>
    <w:rsid w:val="1BDF1618"/>
    <w:rsid w:val="1BE45B3F"/>
    <w:rsid w:val="1BE539D2"/>
    <w:rsid w:val="1BE85F5C"/>
    <w:rsid w:val="1BE97F3E"/>
    <w:rsid w:val="1BEA0AC8"/>
    <w:rsid w:val="1BEC6B0F"/>
    <w:rsid w:val="1BF14D03"/>
    <w:rsid w:val="1BF62AF5"/>
    <w:rsid w:val="1BF8447F"/>
    <w:rsid w:val="1BF87169"/>
    <w:rsid w:val="1BF9122C"/>
    <w:rsid w:val="1BFB4FA4"/>
    <w:rsid w:val="1BFD436D"/>
    <w:rsid w:val="1BFE06BA"/>
    <w:rsid w:val="1BFE2CE6"/>
    <w:rsid w:val="1BFE6D62"/>
    <w:rsid w:val="1C045F84"/>
    <w:rsid w:val="1C046376"/>
    <w:rsid w:val="1C085539"/>
    <w:rsid w:val="1C094D92"/>
    <w:rsid w:val="1C0A42A2"/>
    <w:rsid w:val="1C0E2F29"/>
    <w:rsid w:val="1C111D0E"/>
    <w:rsid w:val="1C113C73"/>
    <w:rsid w:val="1C136BED"/>
    <w:rsid w:val="1C14797D"/>
    <w:rsid w:val="1C15432D"/>
    <w:rsid w:val="1C163702"/>
    <w:rsid w:val="1C163F7C"/>
    <w:rsid w:val="1C164ECA"/>
    <w:rsid w:val="1C166655"/>
    <w:rsid w:val="1C182755"/>
    <w:rsid w:val="1C1A7418"/>
    <w:rsid w:val="1C1B3898"/>
    <w:rsid w:val="1C1B73F4"/>
    <w:rsid w:val="1C1C324D"/>
    <w:rsid w:val="1C1E6277"/>
    <w:rsid w:val="1C1F23FA"/>
    <w:rsid w:val="1C1F2F3D"/>
    <w:rsid w:val="1C202C5C"/>
    <w:rsid w:val="1C215282"/>
    <w:rsid w:val="1C221D82"/>
    <w:rsid w:val="1C24274C"/>
    <w:rsid w:val="1C2522E5"/>
    <w:rsid w:val="1C255351"/>
    <w:rsid w:val="1C2A5889"/>
    <w:rsid w:val="1C2C457B"/>
    <w:rsid w:val="1C2F127F"/>
    <w:rsid w:val="1C2F2E9F"/>
    <w:rsid w:val="1C30275C"/>
    <w:rsid w:val="1C302C76"/>
    <w:rsid w:val="1C326E0B"/>
    <w:rsid w:val="1C33298F"/>
    <w:rsid w:val="1C34389B"/>
    <w:rsid w:val="1C34594F"/>
    <w:rsid w:val="1C376C95"/>
    <w:rsid w:val="1C381441"/>
    <w:rsid w:val="1C3A3EBF"/>
    <w:rsid w:val="1C3B5CE8"/>
    <w:rsid w:val="1C3C6EBF"/>
    <w:rsid w:val="1C3E2C90"/>
    <w:rsid w:val="1C3F4120"/>
    <w:rsid w:val="1C4032FE"/>
    <w:rsid w:val="1C406E5A"/>
    <w:rsid w:val="1C424981"/>
    <w:rsid w:val="1C441FDC"/>
    <w:rsid w:val="1C454724"/>
    <w:rsid w:val="1C47468D"/>
    <w:rsid w:val="1C477973"/>
    <w:rsid w:val="1C4A005A"/>
    <w:rsid w:val="1C4A1A87"/>
    <w:rsid w:val="1C4A1ECF"/>
    <w:rsid w:val="1C4E0CFD"/>
    <w:rsid w:val="1C4E5A1B"/>
    <w:rsid w:val="1C4E76DF"/>
    <w:rsid w:val="1C4F02F8"/>
    <w:rsid w:val="1C4F52EF"/>
    <w:rsid w:val="1C52017C"/>
    <w:rsid w:val="1C524832"/>
    <w:rsid w:val="1C536B8E"/>
    <w:rsid w:val="1C545DD7"/>
    <w:rsid w:val="1C586408"/>
    <w:rsid w:val="1C597F1C"/>
    <w:rsid w:val="1C5A1E28"/>
    <w:rsid w:val="1C5A43C0"/>
    <w:rsid w:val="1C5D06D2"/>
    <w:rsid w:val="1C5D6BD4"/>
    <w:rsid w:val="1C61646F"/>
    <w:rsid w:val="1C674A6D"/>
    <w:rsid w:val="1C676ADD"/>
    <w:rsid w:val="1C680E35"/>
    <w:rsid w:val="1C6A49F1"/>
    <w:rsid w:val="1C6A4A04"/>
    <w:rsid w:val="1C6C5EA1"/>
    <w:rsid w:val="1C6F336E"/>
    <w:rsid w:val="1C6F6B5E"/>
    <w:rsid w:val="1C755A82"/>
    <w:rsid w:val="1C767B21"/>
    <w:rsid w:val="1C770915"/>
    <w:rsid w:val="1C784846"/>
    <w:rsid w:val="1C7B48DB"/>
    <w:rsid w:val="1C8261A0"/>
    <w:rsid w:val="1C850D11"/>
    <w:rsid w:val="1C890801"/>
    <w:rsid w:val="1C8925AF"/>
    <w:rsid w:val="1C8978F1"/>
    <w:rsid w:val="1C8979E1"/>
    <w:rsid w:val="1C897E07"/>
    <w:rsid w:val="1C8B457A"/>
    <w:rsid w:val="1C8B58EF"/>
    <w:rsid w:val="1C8E406A"/>
    <w:rsid w:val="1C8E757F"/>
    <w:rsid w:val="1C940F54"/>
    <w:rsid w:val="1C9471D5"/>
    <w:rsid w:val="1C965A39"/>
    <w:rsid w:val="1C974AED"/>
    <w:rsid w:val="1C9B4E27"/>
    <w:rsid w:val="1C9C6787"/>
    <w:rsid w:val="1C9D27BC"/>
    <w:rsid w:val="1C9E6D2C"/>
    <w:rsid w:val="1C9F6277"/>
    <w:rsid w:val="1CA04BFE"/>
    <w:rsid w:val="1CA078F9"/>
    <w:rsid w:val="1CA12143"/>
    <w:rsid w:val="1CA13876"/>
    <w:rsid w:val="1CA55491"/>
    <w:rsid w:val="1CA57546"/>
    <w:rsid w:val="1CA61F02"/>
    <w:rsid w:val="1CA701B4"/>
    <w:rsid w:val="1CA86516"/>
    <w:rsid w:val="1CA90EA4"/>
    <w:rsid w:val="1CAA5C0C"/>
    <w:rsid w:val="1CAC3784"/>
    <w:rsid w:val="1CAC44F0"/>
    <w:rsid w:val="1CAE2EC4"/>
    <w:rsid w:val="1CAE7E25"/>
    <w:rsid w:val="1CAF3599"/>
    <w:rsid w:val="1CB03FE0"/>
    <w:rsid w:val="1CB12360"/>
    <w:rsid w:val="1CB231CF"/>
    <w:rsid w:val="1CB23861"/>
    <w:rsid w:val="1CB56179"/>
    <w:rsid w:val="1CB57A86"/>
    <w:rsid w:val="1CBA09E3"/>
    <w:rsid w:val="1CBD66FD"/>
    <w:rsid w:val="1CBE4D59"/>
    <w:rsid w:val="1CC06D9D"/>
    <w:rsid w:val="1CC07398"/>
    <w:rsid w:val="1CC23D13"/>
    <w:rsid w:val="1CC26B08"/>
    <w:rsid w:val="1CC31152"/>
    <w:rsid w:val="1CC56BA8"/>
    <w:rsid w:val="1CC96E50"/>
    <w:rsid w:val="1CCD6C87"/>
    <w:rsid w:val="1CCE0733"/>
    <w:rsid w:val="1CCE4466"/>
    <w:rsid w:val="1CCE6AC3"/>
    <w:rsid w:val="1CD12F9C"/>
    <w:rsid w:val="1CD221A8"/>
    <w:rsid w:val="1CD542E7"/>
    <w:rsid w:val="1CDA105D"/>
    <w:rsid w:val="1CDF0421"/>
    <w:rsid w:val="1CDF3D40"/>
    <w:rsid w:val="1CE02245"/>
    <w:rsid w:val="1CE335B0"/>
    <w:rsid w:val="1CE35E40"/>
    <w:rsid w:val="1CE4386B"/>
    <w:rsid w:val="1CE74925"/>
    <w:rsid w:val="1CE81077"/>
    <w:rsid w:val="1CE93C09"/>
    <w:rsid w:val="1CF06D0A"/>
    <w:rsid w:val="1CF11D6B"/>
    <w:rsid w:val="1CF245F9"/>
    <w:rsid w:val="1CF33ECD"/>
    <w:rsid w:val="1CF75B24"/>
    <w:rsid w:val="1CF9709D"/>
    <w:rsid w:val="1CFA1018"/>
    <w:rsid w:val="1CFA1B63"/>
    <w:rsid w:val="1CFA72E1"/>
    <w:rsid w:val="1CFB7FEB"/>
    <w:rsid w:val="1CFC0128"/>
    <w:rsid w:val="1CFC2692"/>
    <w:rsid w:val="1CFD15B8"/>
    <w:rsid w:val="1D01483C"/>
    <w:rsid w:val="1D0202E4"/>
    <w:rsid w:val="1D05373D"/>
    <w:rsid w:val="1D0936F0"/>
    <w:rsid w:val="1D0A048B"/>
    <w:rsid w:val="1D0A2953"/>
    <w:rsid w:val="1D0E6058"/>
    <w:rsid w:val="1D0F659E"/>
    <w:rsid w:val="1D134DB7"/>
    <w:rsid w:val="1D14035E"/>
    <w:rsid w:val="1D152095"/>
    <w:rsid w:val="1D156539"/>
    <w:rsid w:val="1D1B6577"/>
    <w:rsid w:val="1D1C4A8E"/>
    <w:rsid w:val="1D1D0F4A"/>
    <w:rsid w:val="1D1D198D"/>
    <w:rsid w:val="1D1E6063"/>
    <w:rsid w:val="1D1F2F14"/>
    <w:rsid w:val="1D225EE4"/>
    <w:rsid w:val="1D24052A"/>
    <w:rsid w:val="1D243200"/>
    <w:rsid w:val="1D293D92"/>
    <w:rsid w:val="1D2A251D"/>
    <w:rsid w:val="1D2B0317"/>
    <w:rsid w:val="1D2C5AC6"/>
    <w:rsid w:val="1D300C7D"/>
    <w:rsid w:val="1D30340C"/>
    <w:rsid w:val="1D30774C"/>
    <w:rsid w:val="1D310BD7"/>
    <w:rsid w:val="1D33076D"/>
    <w:rsid w:val="1D3544E5"/>
    <w:rsid w:val="1D3739B0"/>
    <w:rsid w:val="1D385D84"/>
    <w:rsid w:val="1D3958CF"/>
    <w:rsid w:val="1D3A41E1"/>
    <w:rsid w:val="1D3A5FA0"/>
    <w:rsid w:val="1D3C3AC6"/>
    <w:rsid w:val="1D3E15EC"/>
    <w:rsid w:val="1D41019F"/>
    <w:rsid w:val="1D411974"/>
    <w:rsid w:val="1D4171CC"/>
    <w:rsid w:val="1D424591"/>
    <w:rsid w:val="1D44260C"/>
    <w:rsid w:val="1D44297A"/>
    <w:rsid w:val="1D4622ED"/>
    <w:rsid w:val="1D484444"/>
    <w:rsid w:val="1D4E5AB1"/>
    <w:rsid w:val="1D533C1F"/>
    <w:rsid w:val="1D554E04"/>
    <w:rsid w:val="1D56371B"/>
    <w:rsid w:val="1D5721C3"/>
    <w:rsid w:val="1D5A03F0"/>
    <w:rsid w:val="1D5A6425"/>
    <w:rsid w:val="1D5B3170"/>
    <w:rsid w:val="1D5D57EA"/>
    <w:rsid w:val="1D5D716E"/>
    <w:rsid w:val="1D5E1C8E"/>
    <w:rsid w:val="1D5F7214"/>
    <w:rsid w:val="1D5F76BA"/>
    <w:rsid w:val="1D631084"/>
    <w:rsid w:val="1D63222D"/>
    <w:rsid w:val="1D633229"/>
    <w:rsid w:val="1D635B8E"/>
    <w:rsid w:val="1D645145"/>
    <w:rsid w:val="1D6456AD"/>
    <w:rsid w:val="1D666D95"/>
    <w:rsid w:val="1D672E53"/>
    <w:rsid w:val="1D6B659B"/>
    <w:rsid w:val="1D6F4110"/>
    <w:rsid w:val="1D6F5768"/>
    <w:rsid w:val="1D730DF9"/>
    <w:rsid w:val="1D756FD8"/>
    <w:rsid w:val="1D7842C5"/>
    <w:rsid w:val="1D796AC8"/>
    <w:rsid w:val="1D7C4ED0"/>
    <w:rsid w:val="1D80259F"/>
    <w:rsid w:val="1D807E56"/>
    <w:rsid w:val="1D853701"/>
    <w:rsid w:val="1D8702AF"/>
    <w:rsid w:val="1D8913C6"/>
    <w:rsid w:val="1D8B0431"/>
    <w:rsid w:val="1D8B2357"/>
    <w:rsid w:val="1D8D10A2"/>
    <w:rsid w:val="1D8D60CF"/>
    <w:rsid w:val="1D8E3BF5"/>
    <w:rsid w:val="1D8E3FE2"/>
    <w:rsid w:val="1D8F1E47"/>
    <w:rsid w:val="1D8F2B9E"/>
    <w:rsid w:val="1D903E12"/>
    <w:rsid w:val="1D90796E"/>
    <w:rsid w:val="1D9236E6"/>
    <w:rsid w:val="1D935A4C"/>
    <w:rsid w:val="1D9403E7"/>
    <w:rsid w:val="1D9476AD"/>
    <w:rsid w:val="1D9531D6"/>
    <w:rsid w:val="1D954F84"/>
    <w:rsid w:val="1D955E6C"/>
    <w:rsid w:val="1D9672F6"/>
    <w:rsid w:val="1D99056E"/>
    <w:rsid w:val="1D990F18"/>
    <w:rsid w:val="1D993E82"/>
    <w:rsid w:val="1D9D3ED0"/>
    <w:rsid w:val="1D9E65CA"/>
    <w:rsid w:val="1D9E73FE"/>
    <w:rsid w:val="1DA54D2A"/>
    <w:rsid w:val="1DA72649"/>
    <w:rsid w:val="1DA74931"/>
    <w:rsid w:val="1DA862E9"/>
    <w:rsid w:val="1DA97D6B"/>
    <w:rsid w:val="1DAA6C81"/>
    <w:rsid w:val="1DAB2744"/>
    <w:rsid w:val="1DAB70EE"/>
    <w:rsid w:val="1DAF4B38"/>
    <w:rsid w:val="1DAF6732"/>
    <w:rsid w:val="1DB00010"/>
    <w:rsid w:val="1DB02F15"/>
    <w:rsid w:val="1DB31368"/>
    <w:rsid w:val="1DB356EE"/>
    <w:rsid w:val="1DB377EF"/>
    <w:rsid w:val="1DB60FA6"/>
    <w:rsid w:val="1DB624A5"/>
    <w:rsid w:val="1DB775F0"/>
    <w:rsid w:val="1DB95831"/>
    <w:rsid w:val="1DB96EC4"/>
    <w:rsid w:val="1DBA2C3C"/>
    <w:rsid w:val="1DBB5310"/>
    <w:rsid w:val="1DBC17D6"/>
    <w:rsid w:val="1DC13FCB"/>
    <w:rsid w:val="1DC37908"/>
    <w:rsid w:val="1DC55869"/>
    <w:rsid w:val="1DC97914"/>
    <w:rsid w:val="1DCA10D2"/>
    <w:rsid w:val="1DCD471E"/>
    <w:rsid w:val="1DCF66E8"/>
    <w:rsid w:val="1DD01C2C"/>
    <w:rsid w:val="1DD04C16"/>
    <w:rsid w:val="1DD06BEC"/>
    <w:rsid w:val="1DD109F2"/>
    <w:rsid w:val="1DD12B31"/>
    <w:rsid w:val="1DD22E3C"/>
    <w:rsid w:val="1DD26E1C"/>
    <w:rsid w:val="1DD351C5"/>
    <w:rsid w:val="1DD44A27"/>
    <w:rsid w:val="1DD76A8D"/>
    <w:rsid w:val="1DD8524D"/>
    <w:rsid w:val="1DD959F6"/>
    <w:rsid w:val="1DDE37AE"/>
    <w:rsid w:val="1DE201DA"/>
    <w:rsid w:val="1DE303E5"/>
    <w:rsid w:val="1DE3308C"/>
    <w:rsid w:val="1DE63A32"/>
    <w:rsid w:val="1DE72618"/>
    <w:rsid w:val="1DE90653"/>
    <w:rsid w:val="1DEA6CE6"/>
    <w:rsid w:val="1DEF0B38"/>
    <w:rsid w:val="1DF04200"/>
    <w:rsid w:val="1DF054D4"/>
    <w:rsid w:val="1DF0665E"/>
    <w:rsid w:val="1DF12B02"/>
    <w:rsid w:val="1DF2160F"/>
    <w:rsid w:val="1DF223D6"/>
    <w:rsid w:val="1DF32B81"/>
    <w:rsid w:val="1DF42526"/>
    <w:rsid w:val="1DF72992"/>
    <w:rsid w:val="1DF779ED"/>
    <w:rsid w:val="1DFB2460"/>
    <w:rsid w:val="1DFB4D49"/>
    <w:rsid w:val="1DFE646B"/>
    <w:rsid w:val="1E0000E6"/>
    <w:rsid w:val="1E007351"/>
    <w:rsid w:val="1E023F59"/>
    <w:rsid w:val="1E031111"/>
    <w:rsid w:val="1E0345E3"/>
    <w:rsid w:val="1E0448D1"/>
    <w:rsid w:val="1E081BFA"/>
    <w:rsid w:val="1E0C13CE"/>
    <w:rsid w:val="1E0C16EA"/>
    <w:rsid w:val="1E0D0FBE"/>
    <w:rsid w:val="1E0E61D6"/>
    <w:rsid w:val="1E136627"/>
    <w:rsid w:val="1E1719D0"/>
    <w:rsid w:val="1E1B36DB"/>
    <w:rsid w:val="1E1D56A5"/>
    <w:rsid w:val="1E1F1AF5"/>
    <w:rsid w:val="1E1F6FD4"/>
    <w:rsid w:val="1E206F43"/>
    <w:rsid w:val="1E207D37"/>
    <w:rsid w:val="1E23065A"/>
    <w:rsid w:val="1E284E14"/>
    <w:rsid w:val="1E2C7696"/>
    <w:rsid w:val="1E312EFF"/>
    <w:rsid w:val="1E334F42"/>
    <w:rsid w:val="1E354AED"/>
    <w:rsid w:val="1E3638C9"/>
    <w:rsid w:val="1E387C04"/>
    <w:rsid w:val="1E3C6438"/>
    <w:rsid w:val="1E3D10C6"/>
    <w:rsid w:val="1E3D2556"/>
    <w:rsid w:val="1E3D7AF5"/>
    <w:rsid w:val="1E3E1D60"/>
    <w:rsid w:val="1E4076DD"/>
    <w:rsid w:val="1E44457D"/>
    <w:rsid w:val="1E4569AA"/>
    <w:rsid w:val="1E465629"/>
    <w:rsid w:val="1E4659A1"/>
    <w:rsid w:val="1E4861D9"/>
    <w:rsid w:val="1E4B0DCA"/>
    <w:rsid w:val="1E4B3A49"/>
    <w:rsid w:val="1E4E2AE5"/>
    <w:rsid w:val="1E501303"/>
    <w:rsid w:val="1E537319"/>
    <w:rsid w:val="1E560BB7"/>
    <w:rsid w:val="1E57048B"/>
    <w:rsid w:val="1E5E6B54"/>
    <w:rsid w:val="1E5E7A6C"/>
    <w:rsid w:val="1E641526"/>
    <w:rsid w:val="1E6502D1"/>
    <w:rsid w:val="1E696B3C"/>
    <w:rsid w:val="1E6A4438"/>
    <w:rsid w:val="1E6C3F37"/>
    <w:rsid w:val="1E6F31D5"/>
    <w:rsid w:val="1E7456E8"/>
    <w:rsid w:val="1E766B63"/>
    <w:rsid w:val="1E7815F7"/>
    <w:rsid w:val="1E7948A6"/>
    <w:rsid w:val="1E7B4163"/>
    <w:rsid w:val="1E7D4409"/>
    <w:rsid w:val="1E7E3C6A"/>
    <w:rsid w:val="1E7E5A26"/>
    <w:rsid w:val="1E7E5F31"/>
    <w:rsid w:val="1E7F010E"/>
    <w:rsid w:val="1E7F2308"/>
    <w:rsid w:val="1E8349E3"/>
    <w:rsid w:val="1E8474D2"/>
    <w:rsid w:val="1E85324A"/>
    <w:rsid w:val="1E85617A"/>
    <w:rsid w:val="1E8618AA"/>
    <w:rsid w:val="1E876FC3"/>
    <w:rsid w:val="1E890F8D"/>
    <w:rsid w:val="1E892D3B"/>
    <w:rsid w:val="1E8C6387"/>
    <w:rsid w:val="1E8F6DDD"/>
    <w:rsid w:val="1E90231B"/>
    <w:rsid w:val="1E911BEF"/>
    <w:rsid w:val="1E91399D"/>
    <w:rsid w:val="1E9162F8"/>
    <w:rsid w:val="1E924C49"/>
    <w:rsid w:val="1E92548C"/>
    <w:rsid w:val="1E93220F"/>
    <w:rsid w:val="1E967206"/>
    <w:rsid w:val="1E983180"/>
    <w:rsid w:val="1E9A6CF6"/>
    <w:rsid w:val="1E9B21D3"/>
    <w:rsid w:val="1E9F255E"/>
    <w:rsid w:val="1EA07D33"/>
    <w:rsid w:val="1EA10F7E"/>
    <w:rsid w:val="1EA2204E"/>
    <w:rsid w:val="1EA22F52"/>
    <w:rsid w:val="1EA336D1"/>
    <w:rsid w:val="1EA44AC3"/>
    <w:rsid w:val="1EA638ED"/>
    <w:rsid w:val="1EA77665"/>
    <w:rsid w:val="1EAA2CB1"/>
    <w:rsid w:val="1EAB2AFC"/>
    <w:rsid w:val="1EAC07D7"/>
    <w:rsid w:val="1EAC272A"/>
    <w:rsid w:val="1EAC6854"/>
    <w:rsid w:val="1EAC6A29"/>
    <w:rsid w:val="1EAD03A6"/>
    <w:rsid w:val="1EAE0C12"/>
    <w:rsid w:val="1EAF02C7"/>
    <w:rsid w:val="1EB0258C"/>
    <w:rsid w:val="1EB15F68"/>
    <w:rsid w:val="1EB4768C"/>
    <w:rsid w:val="1EB600BC"/>
    <w:rsid w:val="1EBA5319"/>
    <w:rsid w:val="1EBC0E1A"/>
    <w:rsid w:val="1EC02C39"/>
    <w:rsid w:val="1EC1007E"/>
    <w:rsid w:val="1EC137FC"/>
    <w:rsid w:val="1EC31840"/>
    <w:rsid w:val="1EC415FD"/>
    <w:rsid w:val="1EC53DE0"/>
    <w:rsid w:val="1EC64DA3"/>
    <w:rsid w:val="1EC90198"/>
    <w:rsid w:val="1ECA2E8E"/>
    <w:rsid w:val="1ECA65F0"/>
    <w:rsid w:val="1ECA6EAF"/>
    <w:rsid w:val="1ECB2E77"/>
    <w:rsid w:val="1ECB3353"/>
    <w:rsid w:val="1ECC56B6"/>
    <w:rsid w:val="1ECE074D"/>
    <w:rsid w:val="1ED0096A"/>
    <w:rsid w:val="1ED16490"/>
    <w:rsid w:val="1ED20F1D"/>
    <w:rsid w:val="1ED24356"/>
    <w:rsid w:val="1ED3045A"/>
    <w:rsid w:val="1ED52813"/>
    <w:rsid w:val="1ED54DF8"/>
    <w:rsid w:val="1ED73417"/>
    <w:rsid w:val="1ED86FC5"/>
    <w:rsid w:val="1ED975BC"/>
    <w:rsid w:val="1ED97614"/>
    <w:rsid w:val="1EDC0E9B"/>
    <w:rsid w:val="1EE12B77"/>
    <w:rsid w:val="1EE44415"/>
    <w:rsid w:val="1EE46CA1"/>
    <w:rsid w:val="1EE6018D"/>
    <w:rsid w:val="1EE64087"/>
    <w:rsid w:val="1EE75CB3"/>
    <w:rsid w:val="1EE77B62"/>
    <w:rsid w:val="1EE82024"/>
    <w:rsid w:val="1EE92861"/>
    <w:rsid w:val="1EE93DB3"/>
    <w:rsid w:val="1EE94580"/>
    <w:rsid w:val="1EEC7EF9"/>
    <w:rsid w:val="1EED5728"/>
    <w:rsid w:val="1EF009BC"/>
    <w:rsid w:val="1EF02CEE"/>
    <w:rsid w:val="1EF02D51"/>
    <w:rsid w:val="1EF05139"/>
    <w:rsid w:val="1EF503D0"/>
    <w:rsid w:val="1EF63B7C"/>
    <w:rsid w:val="1EF8106D"/>
    <w:rsid w:val="1EF81C6E"/>
    <w:rsid w:val="1EF921F1"/>
    <w:rsid w:val="1EF95283"/>
    <w:rsid w:val="1EFD3C33"/>
    <w:rsid w:val="1F011E8E"/>
    <w:rsid w:val="1F022AED"/>
    <w:rsid w:val="1F031CF9"/>
    <w:rsid w:val="1F061279"/>
    <w:rsid w:val="1F065805"/>
    <w:rsid w:val="1F086AFE"/>
    <w:rsid w:val="1F086CB4"/>
    <w:rsid w:val="1F0A1722"/>
    <w:rsid w:val="1F0A618D"/>
    <w:rsid w:val="1F0A6E39"/>
    <w:rsid w:val="1F0C7999"/>
    <w:rsid w:val="1F0D0973"/>
    <w:rsid w:val="1F0D396C"/>
    <w:rsid w:val="1F0D6046"/>
    <w:rsid w:val="1F0F2E35"/>
    <w:rsid w:val="1F120F82"/>
    <w:rsid w:val="1F14549A"/>
    <w:rsid w:val="1F164D67"/>
    <w:rsid w:val="1F1A7E37"/>
    <w:rsid w:val="1F1C1B35"/>
    <w:rsid w:val="1F1D3483"/>
    <w:rsid w:val="1F201354"/>
    <w:rsid w:val="1F2208FE"/>
    <w:rsid w:val="1F226CEB"/>
    <w:rsid w:val="1F233B1B"/>
    <w:rsid w:val="1F262338"/>
    <w:rsid w:val="1F2667DB"/>
    <w:rsid w:val="1F275615"/>
    <w:rsid w:val="1F28778E"/>
    <w:rsid w:val="1F2927A9"/>
    <w:rsid w:val="1F29753E"/>
    <w:rsid w:val="1F324C3C"/>
    <w:rsid w:val="1F3454E9"/>
    <w:rsid w:val="1F3531AD"/>
    <w:rsid w:val="1F3A4035"/>
    <w:rsid w:val="1F3D4BD0"/>
    <w:rsid w:val="1F3D624F"/>
    <w:rsid w:val="1F3D7747"/>
    <w:rsid w:val="1F3F30D1"/>
    <w:rsid w:val="1F3F5AEF"/>
    <w:rsid w:val="1F415CBA"/>
    <w:rsid w:val="1F417171"/>
    <w:rsid w:val="1F42195B"/>
    <w:rsid w:val="1F443FFF"/>
    <w:rsid w:val="1F444EB4"/>
    <w:rsid w:val="1F4560C7"/>
    <w:rsid w:val="1F4713AC"/>
    <w:rsid w:val="1F4849A4"/>
    <w:rsid w:val="1F4A18F5"/>
    <w:rsid w:val="1F4B6E97"/>
    <w:rsid w:val="1F4C3617"/>
    <w:rsid w:val="1F4C6CAF"/>
    <w:rsid w:val="1F4D2260"/>
    <w:rsid w:val="1F4E3244"/>
    <w:rsid w:val="1F4E5FA7"/>
    <w:rsid w:val="1F501AAA"/>
    <w:rsid w:val="1F503046"/>
    <w:rsid w:val="1F505606"/>
    <w:rsid w:val="1F523B54"/>
    <w:rsid w:val="1F566EB8"/>
    <w:rsid w:val="1F570348"/>
    <w:rsid w:val="1F5B0159"/>
    <w:rsid w:val="1F5C2306"/>
    <w:rsid w:val="1F5E2F55"/>
    <w:rsid w:val="1F5E5F75"/>
    <w:rsid w:val="1F5E781E"/>
    <w:rsid w:val="1F5F4784"/>
    <w:rsid w:val="1F6115C2"/>
    <w:rsid w:val="1F66307C"/>
    <w:rsid w:val="1F686DF4"/>
    <w:rsid w:val="1F6939EE"/>
    <w:rsid w:val="1F6A3E3B"/>
    <w:rsid w:val="1F6E1F30"/>
    <w:rsid w:val="1F6E4150"/>
    <w:rsid w:val="1F6E6F9B"/>
    <w:rsid w:val="1F6F1B37"/>
    <w:rsid w:val="1F6F5AB9"/>
    <w:rsid w:val="1F6F7262"/>
    <w:rsid w:val="1F70339C"/>
    <w:rsid w:val="1F706B55"/>
    <w:rsid w:val="1F706B96"/>
    <w:rsid w:val="1F721A21"/>
    <w:rsid w:val="1F72557D"/>
    <w:rsid w:val="1F7742B3"/>
    <w:rsid w:val="1F780F64"/>
    <w:rsid w:val="1F782B0C"/>
    <w:rsid w:val="1F7A106F"/>
    <w:rsid w:val="1F7A6B27"/>
    <w:rsid w:val="1F7C289F"/>
    <w:rsid w:val="1F7F413E"/>
    <w:rsid w:val="1F8451F6"/>
    <w:rsid w:val="1F8654CC"/>
    <w:rsid w:val="1F867DD7"/>
    <w:rsid w:val="1F8766E7"/>
    <w:rsid w:val="1F882FF2"/>
    <w:rsid w:val="1F8C74AA"/>
    <w:rsid w:val="1F8D70B7"/>
    <w:rsid w:val="1F8F60E9"/>
    <w:rsid w:val="1F90555B"/>
    <w:rsid w:val="1F9361DA"/>
    <w:rsid w:val="1F950A5B"/>
    <w:rsid w:val="1F971487"/>
    <w:rsid w:val="1F9951FF"/>
    <w:rsid w:val="1F9A0F77"/>
    <w:rsid w:val="1F9C5282"/>
    <w:rsid w:val="1F9C6A9E"/>
    <w:rsid w:val="1F9D59EC"/>
    <w:rsid w:val="1F9D7ED4"/>
    <w:rsid w:val="1F9E52DB"/>
    <w:rsid w:val="1FA12306"/>
    <w:rsid w:val="1FA14FDC"/>
    <w:rsid w:val="1FA507E8"/>
    <w:rsid w:val="1FA75F79"/>
    <w:rsid w:val="1FA912D2"/>
    <w:rsid w:val="1FA94D17"/>
    <w:rsid w:val="1FAA1E71"/>
    <w:rsid w:val="1FAC3B55"/>
    <w:rsid w:val="1FAD742D"/>
    <w:rsid w:val="1FAE057F"/>
    <w:rsid w:val="1FAE2773"/>
    <w:rsid w:val="1FB00BE2"/>
    <w:rsid w:val="1FB042F7"/>
    <w:rsid w:val="1FB66AD8"/>
    <w:rsid w:val="1FB75686"/>
    <w:rsid w:val="1FB84454"/>
    <w:rsid w:val="1FBA67C9"/>
    <w:rsid w:val="1FC16A5D"/>
    <w:rsid w:val="1FC23CA6"/>
    <w:rsid w:val="1FC34680"/>
    <w:rsid w:val="1FC63231"/>
    <w:rsid w:val="1FCD4EA9"/>
    <w:rsid w:val="1FCE7E9C"/>
    <w:rsid w:val="1FCF0C21"/>
    <w:rsid w:val="1FCF29CF"/>
    <w:rsid w:val="1FD20711"/>
    <w:rsid w:val="1FD224BF"/>
    <w:rsid w:val="1FD2426D"/>
    <w:rsid w:val="1FD3016F"/>
    <w:rsid w:val="1FD35FEC"/>
    <w:rsid w:val="1FD44489"/>
    <w:rsid w:val="1FD77693"/>
    <w:rsid w:val="1FD955FC"/>
    <w:rsid w:val="1FD96771"/>
    <w:rsid w:val="1FDA015E"/>
    <w:rsid w:val="1FDA3E25"/>
    <w:rsid w:val="1FDC4240"/>
    <w:rsid w:val="1FDE1C21"/>
    <w:rsid w:val="1FE10954"/>
    <w:rsid w:val="1FE25010"/>
    <w:rsid w:val="1FE3006F"/>
    <w:rsid w:val="1FE43FA1"/>
    <w:rsid w:val="1FE553C2"/>
    <w:rsid w:val="1FE66B94"/>
    <w:rsid w:val="1FE741BD"/>
    <w:rsid w:val="1FE7623B"/>
    <w:rsid w:val="1FE83A91"/>
    <w:rsid w:val="1FEC17D3"/>
    <w:rsid w:val="1FED1911"/>
    <w:rsid w:val="1FEE40BC"/>
    <w:rsid w:val="1FF00B97"/>
    <w:rsid w:val="1FF62A1D"/>
    <w:rsid w:val="1FF66C49"/>
    <w:rsid w:val="1FF74980"/>
    <w:rsid w:val="1FFC60C1"/>
    <w:rsid w:val="1FFC753C"/>
    <w:rsid w:val="1FFD4E88"/>
    <w:rsid w:val="2000527E"/>
    <w:rsid w:val="20014E02"/>
    <w:rsid w:val="200603BB"/>
    <w:rsid w:val="2007523A"/>
    <w:rsid w:val="20086288"/>
    <w:rsid w:val="20094D58"/>
    <w:rsid w:val="200A1C59"/>
    <w:rsid w:val="200B6C9D"/>
    <w:rsid w:val="200D1749"/>
    <w:rsid w:val="20112FE8"/>
    <w:rsid w:val="2011428E"/>
    <w:rsid w:val="20126D60"/>
    <w:rsid w:val="201365A5"/>
    <w:rsid w:val="20141EC7"/>
    <w:rsid w:val="20144886"/>
    <w:rsid w:val="20174376"/>
    <w:rsid w:val="201A55F1"/>
    <w:rsid w:val="201B0EB3"/>
    <w:rsid w:val="201B5C14"/>
    <w:rsid w:val="201B6BB8"/>
    <w:rsid w:val="201C0736"/>
    <w:rsid w:val="201E7F9E"/>
    <w:rsid w:val="2023248F"/>
    <w:rsid w:val="20235CE4"/>
    <w:rsid w:val="2025043D"/>
    <w:rsid w:val="20252982"/>
    <w:rsid w:val="20253BE5"/>
    <w:rsid w:val="202549B6"/>
    <w:rsid w:val="2026550C"/>
    <w:rsid w:val="20270A5D"/>
    <w:rsid w:val="202A0DCA"/>
    <w:rsid w:val="202C7E22"/>
    <w:rsid w:val="202D32CC"/>
    <w:rsid w:val="202D6BDD"/>
    <w:rsid w:val="202D76F6"/>
    <w:rsid w:val="202F12A0"/>
    <w:rsid w:val="202F24B7"/>
    <w:rsid w:val="203062AB"/>
    <w:rsid w:val="203171E6"/>
    <w:rsid w:val="20322614"/>
    <w:rsid w:val="203327BF"/>
    <w:rsid w:val="203521EF"/>
    <w:rsid w:val="203776EA"/>
    <w:rsid w:val="20387FBD"/>
    <w:rsid w:val="2039091B"/>
    <w:rsid w:val="2039790D"/>
    <w:rsid w:val="203A6D77"/>
    <w:rsid w:val="203B391C"/>
    <w:rsid w:val="203E5DA7"/>
    <w:rsid w:val="20411092"/>
    <w:rsid w:val="20432809"/>
    <w:rsid w:val="204333BD"/>
    <w:rsid w:val="20444C98"/>
    <w:rsid w:val="204470B3"/>
    <w:rsid w:val="20462D25"/>
    <w:rsid w:val="20474C5B"/>
    <w:rsid w:val="204C78C3"/>
    <w:rsid w:val="204F1D62"/>
    <w:rsid w:val="205253AE"/>
    <w:rsid w:val="2054498F"/>
    <w:rsid w:val="205630F0"/>
    <w:rsid w:val="20580931"/>
    <w:rsid w:val="2058186A"/>
    <w:rsid w:val="20590F53"/>
    <w:rsid w:val="205A1343"/>
    <w:rsid w:val="205B24B5"/>
    <w:rsid w:val="205E52B6"/>
    <w:rsid w:val="206122BB"/>
    <w:rsid w:val="206433F0"/>
    <w:rsid w:val="206842B6"/>
    <w:rsid w:val="206D21E8"/>
    <w:rsid w:val="206F5F60"/>
    <w:rsid w:val="207128B9"/>
    <w:rsid w:val="20751766"/>
    <w:rsid w:val="20752723"/>
    <w:rsid w:val="20757A1D"/>
    <w:rsid w:val="2076109D"/>
    <w:rsid w:val="20784E15"/>
    <w:rsid w:val="20794EEE"/>
    <w:rsid w:val="207D4F74"/>
    <w:rsid w:val="2080016D"/>
    <w:rsid w:val="20847881"/>
    <w:rsid w:val="20866C6D"/>
    <w:rsid w:val="208714FC"/>
    <w:rsid w:val="20880DD0"/>
    <w:rsid w:val="208A4B48"/>
    <w:rsid w:val="20935F0E"/>
    <w:rsid w:val="20971013"/>
    <w:rsid w:val="20981A12"/>
    <w:rsid w:val="2099253B"/>
    <w:rsid w:val="20992E7B"/>
    <w:rsid w:val="209E2F65"/>
    <w:rsid w:val="20A011F8"/>
    <w:rsid w:val="20A24ABD"/>
    <w:rsid w:val="20A350FE"/>
    <w:rsid w:val="20A420AE"/>
    <w:rsid w:val="20A8243A"/>
    <w:rsid w:val="20A83220"/>
    <w:rsid w:val="20AC0F62"/>
    <w:rsid w:val="20AD5E53"/>
    <w:rsid w:val="20AE6A88"/>
    <w:rsid w:val="20AF1856"/>
    <w:rsid w:val="20B0627C"/>
    <w:rsid w:val="20B135CD"/>
    <w:rsid w:val="20B147CB"/>
    <w:rsid w:val="20B230EF"/>
    <w:rsid w:val="20B41BC5"/>
    <w:rsid w:val="20B772A1"/>
    <w:rsid w:val="20B81DBE"/>
    <w:rsid w:val="20B8306E"/>
    <w:rsid w:val="20B83463"/>
    <w:rsid w:val="20B93CDD"/>
    <w:rsid w:val="20BB73F7"/>
    <w:rsid w:val="20BC2891"/>
    <w:rsid w:val="20BD38E3"/>
    <w:rsid w:val="20BF540A"/>
    <w:rsid w:val="20C05A8A"/>
    <w:rsid w:val="20C43AB7"/>
    <w:rsid w:val="20C462AC"/>
    <w:rsid w:val="20C73087"/>
    <w:rsid w:val="20C9133D"/>
    <w:rsid w:val="20C95670"/>
    <w:rsid w:val="20CA68E8"/>
    <w:rsid w:val="20CA763A"/>
    <w:rsid w:val="20CB71D8"/>
    <w:rsid w:val="20CC267C"/>
    <w:rsid w:val="20CC3453"/>
    <w:rsid w:val="20CE1BE0"/>
    <w:rsid w:val="20D004CB"/>
    <w:rsid w:val="20D3029D"/>
    <w:rsid w:val="20D364EF"/>
    <w:rsid w:val="20D504B9"/>
    <w:rsid w:val="20DA53AA"/>
    <w:rsid w:val="20DC3167"/>
    <w:rsid w:val="20DD111C"/>
    <w:rsid w:val="20DD4E95"/>
    <w:rsid w:val="20DE1AB6"/>
    <w:rsid w:val="20DF4E94"/>
    <w:rsid w:val="20E12709"/>
    <w:rsid w:val="20E52DD6"/>
    <w:rsid w:val="20E80304"/>
    <w:rsid w:val="20E85BCD"/>
    <w:rsid w:val="20E879FE"/>
    <w:rsid w:val="20E90D96"/>
    <w:rsid w:val="20EC135F"/>
    <w:rsid w:val="20EC66D3"/>
    <w:rsid w:val="20EE50D7"/>
    <w:rsid w:val="20EF22C2"/>
    <w:rsid w:val="20F036ED"/>
    <w:rsid w:val="20F20BF5"/>
    <w:rsid w:val="20F473E1"/>
    <w:rsid w:val="20F85F56"/>
    <w:rsid w:val="20FA1CCE"/>
    <w:rsid w:val="20FC1C12"/>
    <w:rsid w:val="20FD6333"/>
    <w:rsid w:val="210043A6"/>
    <w:rsid w:val="21040AD4"/>
    <w:rsid w:val="21067460"/>
    <w:rsid w:val="210742CF"/>
    <w:rsid w:val="21093593"/>
    <w:rsid w:val="210A59EF"/>
    <w:rsid w:val="210B3EDB"/>
    <w:rsid w:val="210D399D"/>
    <w:rsid w:val="210E5779"/>
    <w:rsid w:val="2113325A"/>
    <w:rsid w:val="211B3CCD"/>
    <w:rsid w:val="211C7E96"/>
    <w:rsid w:val="21203D40"/>
    <w:rsid w:val="212136FE"/>
    <w:rsid w:val="212154AC"/>
    <w:rsid w:val="212276B8"/>
    <w:rsid w:val="2124331B"/>
    <w:rsid w:val="21265E4F"/>
    <w:rsid w:val="212866DE"/>
    <w:rsid w:val="212958F6"/>
    <w:rsid w:val="2129610F"/>
    <w:rsid w:val="212A7919"/>
    <w:rsid w:val="212E3725"/>
    <w:rsid w:val="213056EF"/>
    <w:rsid w:val="21313216"/>
    <w:rsid w:val="213571AA"/>
    <w:rsid w:val="21371D65"/>
    <w:rsid w:val="21376595"/>
    <w:rsid w:val="21394AF2"/>
    <w:rsid w:val="213A031C"/>
    <w:rsid w:val="213E63B9"/>
    <w:rsid w:val="213F13B1"/>
    <w:rsid w:val="213F1FA9"/>
    <w:rsid w:val="2141200E"/>
    <w:rsid w:val="2141730D"/>
    <w:rsid w:val="21432BFC"/>
    <w:rsid w:val="21433CAE"/>
    <w:rsid w:val="21467B88"/>
    <w:rsid w:val="21472A39"/>
    <w:rsid w:val="214747E7"/>
    <w:rsid w:val="21474AC5"/>
    <w:rsid w:val="21487E82"/>
    <w:rsid w:val="21494444"/>
    <w:rsid w:val="214967B1"/>
    <w:rsid w:val="214B42D7"/>
    <w:rsid w:val="214D3F8A"/>
    <w:rsid w:val="214E3DC8"/>
    <w:rsid w:val="214F3078"/>
    <w:rsid w:val="214F419C"/>
    <w:rsid w:val="214F7D28"/>
    <w:rsid w:val="21511AA0"/>
    <w:rsid w:val="21531307"/>
    <w:rsid w:val="215333D3"/>
    <w:rsid w:val="21577120"/>
    <w:rsid w:val="215869F4"/>
    <w:rsid w:val="215A09BE"/>
    <w:rsid w:val="215B0355"/>
    <w:rsid w:val="215C5451"/>
    <w:rsid w:val="215F5FD5"/>
    <w:rsid w:val="215F7D83"/>
    <w:rsid w:val="21611D4D"/>
    <w:rsid w:val="21621361"/>
    <w:rsid w:val="21625CB0"/>
    <w:rsid w:val="216300F7"/>
    <w:rsid w:val="216929AF"/>
    <w:rsid w:val="216B0993"/>
    <w:rsid w:val="216E446A"/>
    <w:rsid w:val="21701EF5"/>
    <w:rsid w:val="21717AB6"/>
    <w:rsid w:val="217557F8"/>
    <w:rsid w:val="21760073"/>
    <w:rsid w:val="21780E44"/>
    <w:rsid w:val="21785057"/>
    <w:rsid w:val="21786F52"/>
    <w:rsid w:val="217915F9"/>
    <w:rsid w:val="217C6B87"/>
    <w:rsid w:val="217D46AD"/>
    <w:rsid w:val="217F0425"/>
    <w:rsid w:val="21817CF9"/>
    <w:rsid w:val="2185154A"/>
    <w:rsid w:val="21893C3E"/>
    <w:rsid w:val="218B6DCA"/>
    <w:rsid w:val="219038FC"/>
    <w:rsid w:val="21925323"/>
    <w:rsid w:val="2193296F"/>
    <w:rsid w:val="2194459D"/>
    <w:rsid w:val="21953214"/>
    <w:rsid w:val="219624CF"/>
    <w:rsid w:val="21974A6F"/>
    <w:rsid w:val="2197640C"/>
    <w:rsid w:val="21983D12"/>
    <w:rsid w:val="219A700D"/>
    <w:rsid w:val="219D137A"/>
    <w:rsid w:val="219D7284"/>
    <w:rsid w:val="219F7AFA"/>
    <w:rsid w:val="21A221B3"/>
    <w:rsid w:val="21A25EC1"/>
    <w:rsid w:val="21A3289D"/>
    <w:rsid w:val="21A40A6E"/>
    <w:rsid w:val="21A6495A"/>
    <w:rsid w:val="21A96C1F"/>
    <w:rsid w:val="21AE5C8C"/>
    <w:rsid w:val="21B005DE"/>
    <w:rsid w:val="21B110D4"/>
    <w:rsid w:val="21B44F4C"/>
    <w:rsid w:val="21B805CD"/>
    <w:rsid w:val="21BA145D"/>
    <w:rsid w:val="21BB6D03"/>
    <w:rsid w:val="21BC6F83"/>
    <w:rsid w:val="21BF054D"/>
    <w:rsid w:val="21BF16DB"/>
    <w:rsid w:val="21BF4CC5"/>
    <w:rsid w:val="21BF647C"/>
    <w:rsid w:val="21C21333"/>
    <w:rsid w:val="21C260D3"/>
    <w:rsid w:val="21C26DC4"/>
    <w:rsid w:val="21C42F7A"/>
    <w:rsid w:val="21C55387"/>
    <w:rsid w:val="21C72A3E"/>
    <w:rsid w:val="21CA2C04"/>
    <w:rsid w:val="21CB1A9C"/>
    <w:rsid w:val="21CE7D40"/>
    <w:rsid w:val="21CF6BB6"/>
    <w:rsid w:val="21D11292"/>
    <w:rsid w:val="21D40771"/>
    <w:rsid w:val="21D474D2"/>
    <w:rsid w:val="21D610A3"/>
    <w:rsid w:val="21D70261"/>
    <w:rsid w:val="21D94574"/>
    <w:rsid w:val="21DA44FD"/>
    <w:rsid w:val="21DE15EF"/>
    <w:rsid w:val="21DE5008"/>
    <w:rsid w:val="21DE514B"/>
    <w:rsid w:val="21DF0EC4"/>
    <w:rsid w:val="21DF11F0"/>
    <w:rsid w:val="21DF35AE"/>
    <w:rsid w:val="21E20261"/>
    <w:rsid w:val="21E32424"/>
    <w:rsid w:val="21E45A77"/>
    <w:rsid w:val="21E86226"/>
    <w:rsid w:val="21E93AF0"/>
    <w:rsid w:val="21EA0762"/>
    <w:rsid w:val="21EC6D8D"/>
    <w:rsid w:val="21ED1206"/>
    <w:rsid w:val="21ED35E0"/>
    <w:rsid w:val="21EF0387"/>
    <w:rsid w:val="21F04E7F"/>
    <w:rsid w:val="21F32933"/>
    <w:rsid w:val="21F42BC1"/>
    <w:rsid w:val="21F879CD"/>
    <w:rsid w:val="21F93D33"/>
    <w:rsid w:val="21FE13B0"/>
    <w:rsid w:val="21FF50C2"/>
    <w:rsid w:val="21FF51E1"/>
    <w:rsid w:val="22001B30"/>
    <w:rsid w:val="2201213D"/>
    <w:rsid w:val="220505B6"/>
    <w:rsid w:val="22053DC1"/>
    <w:rsid w:val="2208041A"/>
    <w:rsid w:val="220A23E4"/>
    <w:rsid w:val="220A4192"/>
    <w:rsid w:val="22110B9B"/>
    <w:rsid w:val="2212736A"/>
    <w:rsid w:val="22133198"/>
    <w:rsid w:val="22140B6D"/>
    <w:rsid w:val="22162B37"/>
    <w:rsid w:val="22164030"/>
    <w:rsid w:val="2217065D"/>
    <w:rsid w:val="2217303E"/>
    <w:rsid w:val="221849F1"/>
    <w:rsid w:val="221A68F7"/>
    <w:rsid w:val="221B3A31"/>
    <w:rsid w:val="221C5C74"/>
    <w:rsid w:val="22205764"/>
    <w:rsid w:val="2222301D"/>
    <w:rsid w:val="22237002"/>
    <w:rsid w:val="2225345A"/>
    <w:rsid w:val="22273D62"/>
    <w:rsid w:val="22277881"/>
    <w:rsid w:val="22284619"/>
    <w:rsid w:val="222B2EB7"/>
    <w:rsid w:val="222B5EB7"/>
    <w:rsid w:val="222B61E7"/>
    <w:rsid w:val="222C1D3E"/>
    <w:rsid w:val="22310A96"/>
    <w:rsid w:val="22314FD0"/>
    <w:rsid w:val="22324B89"/>
    <w:rsid w:val="22346561"/>
    <w:rsid w:val="22347BF8"/>
    <w:rsid w:val="22347EC0"/>
    <w:rsid w:val="2237485C"/>
    <w:rsid w:val="2237586F"/>
    <w:rsid w:val="223C6B10"/>
    <w:rsid w:val="223E208E"/>
    <w:rsid w:val="223E3E3C"/>
    <w:rsid w:val="22401962"/>
    <w:rsid w:val="224022A3"/>
    <w:rsid w:val="224103D0"/>
    <w:rsid w:val="2241392C"/>
    <w:rsid w:val="224156DA"/>
    <w:rsid w:val="224534CB"/>
    <w:rsid w:val="22475203"/>
    <w:rsid w:val="224B2454"/>
    <w:rsid w:val="224D26CF"/>
    <w:rsid w:val="22500122"/>
    <w:rsid w:val="22511DC1"/>
    <w:rsid w:val="22526E6B"/>
    <w:rsid w:val="2255003C"/>
    <w:rsid w:val="22572153"/>
    <w:rsid w:val="22574EFE"/>
    <w:rsid w:val="22584ED1"/>
    <w:rsid w:val="225936CC"/>
    <w:rsid w:val="225A457E"/>
    <w:rsid w:val="225A6E08"/>
    <w:rsid w:val="225C2514"/>
    <w:rsid w:val="225D2972"/>
    <w:rsid w:val="225D6382"/>
    <w:rsid w:val="225E003A"/>
    <w:rsid w:val="22610DF3"/>
    <w:rsid w:val="22617B2B"/>
    <w:rsid w:val="2262011A"/>
    <w:rsid w:val="226338A3"/>
    <w:rsid w:val="22633A2F"/>
    <w:rsid w:val="2264488C"/>
    <w:rsid w:val="2265761B"/>
    <w:rsid w:val="22680EB9"/>
    <w:rsid w:val="2268710B"/>
    <w:rsid w:val="226974FB"/>
    <w:rsid w:val="226B0733"/>
    <w:rsid w:val="226C12D2"/>
    <w:rsid w:val="226C6A9A"/>
    <w:rsid w:val="226D5B28"/>
    <w:rsid w:val="226F2247"/>
    <w:rsid w:val="22714D6B"/>
    <w:rsid w:val="22715FC0"/>
    <w:rsid w:val="22750DC2"/>
    <w:rsid w:val="2275603E"/>
    <w:rsid w:val="22761D98"/>
    <w:rsid w:val="227635D6"/>
    <w:rsid w:val="22765384"/>
    <w:rsid w:val="2277156C"/>
    <w:rsid w:val="2279343F"/>
    <w:rsid w:val="227B299A"/>
    <w:rsid w:val="227B4991"/>
    <w:rsid w:val="227D5433"/>
    <w:rsid w:val="227E06DD"/>
    <w:rsid w:val="22806203"/>
    <w:rsid w:val="2281188C"/>
    <w:rsid w:val="2284006D"/>
    <w:rsid w:val="22857CBD"/>
    <w:rsid w:val="228850B7"/>
    <w:rsid w:val="228A7CE8"/>
    <w:rsid w:val="228C0D01"/>
    <w:rsid w:val="228C42E6"/>
    <w:rsid w:val="228E2802"/>
    <w:rsid w:val="228E694F"/>
    <w:rsid w:val="229159BD"/>
    <w:rsid w:val="22941CAE"/>
    <w:rsid w:val="22947F00"/>
    <w:rsid w:val="22956ED5"/>
    <w:rsid w:val="22967FAA"/>
    <w:rsid w:val="22992C61"/>
    <w:rsid w:val="229A778D"/>
    <w:rsid w:val="229D5007"/>
    <w:rsid w:val="229E2B2D"/>
    <w:rsid w:val="229F5FCB"/>
    <w:rsid w:val="22A068A5"/>
    <w:rsid w:val="22A06FFB"/>
    <w:rsid w:val="22A16179"/>
    <w:rsid w:val="22A42520"/>
    <w:rsid w:val="22A636FF"/>
    <w:rsid w:val="22A939AB"/>
    <w:rsid w:val="22AA14D2"/>
    <w:rsid w:val="22AC3082"/>
    <w:rsid w:val="22AF5BD6"/>
    <w:rsid w:val="22B04F41"/>
    <w:rsid w:val="22B21DED"/>
    <w:rsid w:val="22B3482A"/>
    <w:rsid w:val="22B420B4"/>
    <w:rsid w:val="22B440FE"/>
    <w:rsid w:val="22B73A65"/>
    <w:rsid w:val="22B76184"/>
    <w:rsid w:val="22B81E40"/>
    <w:rsid w:val="22B83E1E"/>
    <w:rsid w:val="22B97D78"/>
    <w:rsid w:val="22BA5A10"/>
    <w:rsid w:val="22BD1205"/>
    <w:rsid w:val="22BD2FB3"/>
    <w:rsid w:val="22C02529"/>
    <w:rsid w:val="22C205C9"/>
    <w:rsid w:val="22C34341"/>
    <w:rsid w:val="22C4588F"/>
    <w:rsid w:val="22C56A5E"/>
    <w:rsid w:val="22C72083"/>
    <w:rsid w:val="22C8518E"/>
    <w:rsid w:val="22C95B68"/>
    <w:rsid w:val="22C95DFC"/>
    <w:rsid w:val="22CA56D0"/>
    <w:rsid w:val="22CA64DE"/>
    <w:rsid w:val="22CB2D3E"/>
    <w:rsid w:val="22CB79AC"/>
    <w:rsid w:val="22CC036B"/>
    <w:rsid w:val="22CC1448"/>
    <w:rsid w:val="22CC31F6"/>
    <w:rsid w:val="22CD0B6A"/>
    <w:rsid w:val="22D13107"/>
    <w:rsid w:val="22D17130"/>
    <w:rsid w:val="22D8324F"/>
    <w:rsid w:val="22D84291"/>
    <w:rsid w:val="22DB168B"/>
    <w:rsid w:val="22DD6D24"/>
    <w:rsid w:val="22DF7CAA"/>
    <w:rsid w:val="22E20C6B"/>
    <w:rsid w:val="22E219EE"/>
    <w:rsid w:val="22E449E3"/>
    <w:rsid w:val="22E537EB"/>
    <w:rsid w:val="22EB3FC4"/>
    <w:rsid w:val="22EB44B3"/>
    <w:rsid w:val="22EC0600"/>
    <w:rsid w:val="22ED7C37"/>
    <w:rsid w:val="22EF1C2D"/>
    <w:rsid w:val="22F02CD3"/>
    <w:rsid w:val="22F615C6"/>
    <w:rsid w:val="22F85FBE"/>
    <w:rsid w:val="22F866E1"/>
    <w:rsid w:val="22FA2700"/>
    <w:rsid w:val="22FB77CB"/>
    <w:rsid w:val="22FC269A"/>
    <w:rsid w:val="22FD4100"/>
    <w:rsid w:val="22FE4E63"/>
    <w:rsid w:val="22FF35CB"/>
    <w:rsid w:val="22FF583D"/>
    <w:rsid w:val="230010F2"/>
    <w:rsid w:val="230024FC"/>
    <w:rsid w:val="23021FAC"/>
    <w:rsid w:val="23040BE2"/>
    <w:rsid w:val="23045086"/>
    <w:rsid w:val="230638A2"/>
    <w:rsid w:val="23075FD1"/>
    <w:rsid w:val="230863A4"/>
    <w:rsid w:val="230B683A"/>
    <w:rsid w:val="230D298A"/>
    <w:rsid w:val="230E1CD6"/>
    <w:rsid w:val="23152DEF"/>
    <w:rsid w:val="23164DB9"/>
    <w:rsid w:val="23164F2B"/>
    <w:rsid w:val="2317348D"/>
    <w:rsid w:val="2317633D"/>
    <w:rsid w:val="231B5F2B"/>
    <w:rsid w:val="231C770D"/>
    <w:rsid w:val="231D6147"/>
    <w:rsid w:val="232059B9"/>
    <w:rsid w:val="23207183"/>
    <w:rsid w:val="232079E6"/>
    <w:rsid w:val="23213D5E"/>
    <w:rsid w:val="23216730"/>
    <w:rsid w:val="23225895"/>
    <w:rsid w:val="232272BA"/>
    <w:rsid w:val="23253833"/>
    <w:rsid w:val="23253CFB"/>
    <w:rsid w:val="23256DAA"/>
    <w:rsid w:val="232745F7"/>
    <w:rsid w:val="23290CB5"/>
    <w:rsid w:val="232A1687"/>
    <w:rsid w:val="232A5278"/>
    <w:rsid w:val="232B7BC8"/>
    <w:rsid w:val="232B7DB4"/>
    <w:rsid w:val="232C67F1"/>
    <w:rsid w:val="232E3EB1"/>
    <w:rsid w:val="232E4B0D"/>
    <w:rsid w:val="232E610D"/>
    <w:rsid w:val="232E71B0"/>
    <w:rsid w:val="232F7A34"/>
    <w:rsid w:val="23311EDA"/>
    <w:rsid w:val="23334578"/>
    <w:rsid w:val="23344139"/>
    <w:rsid w:val="233638A3"/>
    <w:rsid w:val="23385B7C"/>
    <w:rsid w:val="23397C49"/>
    <w:rsid w:val="233C2C53"/>
    <w:rsid w:val="233D2787"/>
    <w:rsid w:val="233D40F4"/>
    <w:rsid w:val="233D51EB"/>
    <w:rsid w:val="233E0A23"/>
    <w:rsid w:val="233F4C01"/>
    <w:rsid w:val="233F60BE"/>
    <w:rsid w:val="234219F8"/>
    <w:rsid w:val="23430C6F"/>
    <w:rsid w:val="234339E2"/>
    <w:rsid w:val="234678A7"/>
    <w:rsid w:val="234845F1"/>
    <w:rsid w:val="23490CEA"/>
    <w:rsid w:val="234A3521"/>
    <w:rsid w:val="234C624A"/>
    <w:rsid w:val="234D7BC1"/>
    <w:rsid w:val="234E00AF"/>
    <w:rsid w:val="23503E27"/>
    <w:rsid w:val="23505B5E"/>
    <w:rsid w:val="23526D43"/>
    <w:rsid w:val="2355143D"/>
    <w:rsid w:val="23575EA4"/>
    <w:rsid w:val="235C1ABD"/>
    <w:rsid w:val="235D0380"/>
    <w:rsid w:val="235D6544"/>
    <w:rsid w:val="23601687"/>
    <w:rsid w:val="23614286"/>
    <w:rsid w:val="23615928"/>
    <w:rsid w:val="23645B24"/>
    <w:rsid w:val="2366189C"/>
    <w:rsid w:val="23694EE9"/>
    <w:rsid w:val="23695A82"/>
    <w:rsid w:val="236B51E7"/>
    <w:rsid w:val="236B6309"/>
    <w:rsid w:val="236E24FF"/>
    <w:rsid w:val="236E2B89"/>
    <w:rsid w:val="236F53C6"/>
    <w:rsid w:val="237044C9"/>
    <w:rsid w:val="23706277"/>
    <w:rsid w:val="23711FEF"/>
    <w:rsid w:val="23733A51"/>
    <w:rsid w:val="2377438A"/>
    <w:rsid w:val="237813DD"/>
    <w:rsid w:val="23786F08"/>
    <w:rsid w:val="237A477A"/>
    <w:rsid w:val="237C4C1C"/>
    <w:rsid w:val="237F470C"/>
    <w:rsid w:val="23825220"/>
    <w:rsid w:val="238330DB"/>
    <w:rsid w:val="23846785"/>
    <w:rsid w:val="23846E58"/>
    <w:rsid w:val="23871813"/>
    <w:rsid w:val="23892A0D"/>
    <w:rsid w:val="2389558B"/>
    <w:rsid w:val="238A7618"/>
    <w:rsid w:val="238B1A3B"/>
    <w:rsid w:val="238C687B"/>
    <w:rsid w:val="238D5B79"/>
    <w:rsid w:val="238E408D"/>
    <w:rsid w:val="238F04F9"/>
    <w:rsid w:val="23926790"/>
    <w:rsid w:val="23977CA8"/>
    <w:rsid w:val="23984321"/>
    <w:rsid w:val="239D33D6"/>
    <w:rsid w:val="23A06B04"/>
    <w:rsid w:val="23A10B26"/>
    <w:rsid w:val="23A202CD"/>
    <w:rsid w:val="23A26F25"/>
    <w:rsid w:val="23A511A7"/>
    <w:rsid w:val="23A61714"/>
    <w:rsid w:val="23A61C99"/>
    <w:rsid w:val="23A6613D"/>
    <w:rsid w:val="23A760C3"/>
    <w:rsid w:val="23A777BF"/>
    <w:rsid w:val="23A81EB5"/>
    <w:rsid w:val="23AA26DF"/>
    <w:rsid w:val="23AB39E4"/>
    <w:rsid w:val="23AC477C"/>
    <w:rsid w:val="23AC56FC"/>
    <w:rsid w:val="23B02B18"/>
    <w:rsid w:val="23B32608"/>
    <w:rsid w:val="23B3750B"/>
    <w:rsid w:val="23B56F9B"/>
    <w:rsid w:val="23B96153"/>
    <w:rsid w:val="23BA1BE8"/>
    <w:rsid w:val="23BA3996"/>
    <w:rsid w:val="23BA5744"/>
    <w:rsid w:val="23BC14BC"/>
    <w:rsid w:val="23BC770E"/>
    <w:rsid w:val="23BE37E6"/>
    <w:rsid w:val="23BF2D5B"/>
    <w:rsid w:val="23C1282C"/>
    <w:rsid w:val="23C13999"/>
    <w:rsid w:val="23C40EBE"/>
    <w:rsid w:val="23C711D6"/>
    <w:rsid w:val="23C73AE2"/>
    <w:rsid w:val="23C7613E"/>
    <w:rsid w:val="23CD18DA"/>
    <w:rsid w:val="23D41AC5"/>
    <w:rsid w:val="23D52F74"/>
    <w:rsid w:val="23D5432C"/>
    <w:rsid w:val="23D71DF9"/>
    <w:rsid w:val="23D749CD"/>
    <w:rsid w:val="23D762F6"/>
    <w:rsid w:val="23D972EA"/>
    <w:rsid w:val="23DA1EA6"/>
    <w:rsid w:val="23DA5DE6"/>
    <w:rsid w:val="23DE179B"/>
    <w:rsid w:val="23DE7685"/>
    <w:rsid w:val="23E02D14"/>
    <w:rsid w:val="23E110DC"/>
    <w:rsid w:val="23E12CD1"/>
    <w:rsid w:val="23E15A7C"/>
    <w:rsid w:val="23E3039C"/>
    <w:rsid w:val="23E443FD"/>
    <w:rsid w:val="23E57486"/>
    <w:rsid w:val="23E6478B"/>
    <w:rsid w:val="23E6791D"/>
    <w:rsid w:val="23E94E91"/>
    <w:rsid w:val="23EB1DA2"/>
    <w:rsid w:val="23ED5B1A"/>
    <w:rsid w:val="23EE0E98"/>
    <w:rsid w:val="23EE3640"/>
    <w:rsid w:val="23F024D5"/>
    <w:rsid w:val="23F077EE"/>
    <w:rsid w:val="23F23130"/>
    <w:rsid w:val="23F5677C"/>
    <w:rsid w:val="23FA0237"/>
    <w:rsid w:val="23FB116E"/>
    <w:rsid w:val="23FD7F5C"/>
    <w:rsid w:val="23FE4FA4"/>
    <w:rsid w:val="24003A9F"/>
    <w:rsid w:val="24034921"/>
    <w:rsid w:val="2406098A"/>
    <w:rsid w:val="24064BC6"/>
    <w:rsid w:val="24074D41"/>
    <w:rsid w:val="24077A99"/>
    <w:rsid w:val="24117CF6"/>
    <w:rsid w:val="241412F8"/>
    <w:rsid w:val="24152B0D"/>
    <w:rsid w:val="241652B5"/>
    <w:rsid w:val="24175B4B"/>
    <w:rsid w:val="241906BD"/>
    <w:rsid w:val="241D71F3"/>
    <w:rsid w:val="24210164"/>
    <w:rsid w:val="24222166"/>
    <w:rsid w:val="242A7E8E"/>
    <w:rsid w:val="242B03F0"/>
    <w:rsid w:val="24341EB9"/>
    <w:rsid w:val="24357A30"/>
    <w:rsid w:val="243601AA"/>
    <w:rsid w:val="24363CA5"/>
    <w:rsid w:val="2437375B"/>
    <w:rsid w:val="24376D95"/>
    <w:rsid w:val="24381314"/>
    <w:rsid w:val="243C576D"/>
    <w:rsid w:val="243F3E9B"/>
    <w:rsid w:val="243F4D56"/>
    <w:rsid w:val="244036C9"/>
    <w:rsid w:val="244062B1"/>
    <w:rsid w:val="244119C2"/>
    <w:rsid w:val="24411BAA"/>
    <w:rsid w:val="24444F4D"/>
    <w:rsid w:val="2445306D"/>
    <w:rsid w:val="24480FA2"/>
    <w:rsid w:val="24485723"/>
    <w:rsid w:val="244C67F8"/>
    <w:rsid w:val="244D325D"/>
    <w:rsid w:val="244F30A6"/>
    <w:rsid w:val="24507E57"/>
    <w:rsid w:val="24515D4E"/>
    <w:rsid w:val="24516399"/>
    <w:rsid w:val="245259F0"/>
    <w:rsid w:val="24525B8A"/>
    <w:rsid w:val="245315A7"/>
    <w:rsid w:val="24577437"/>
    <w:rsid w:val="24593F36"/>
    <w:rsid w:val="24594F5D"/>
    <w:rsid w:val="245C4A4D"/>
    <w:rsid w:val="245C59BF"/>
    <w:rsid w:val="245D6B87"/>
    <w:rsid w:val="245E357A"/>
    <w:rsid w:val="245F1806"/>
    <w:rsid w:val="246062EC"/>
    <w:rsid w:val="24612064"/>
    <w:rsid w:val="246160DA"/>
    <w:rsid w:val="24637B8A"/>
    <w:rsid w:val="24644151"/>
    <w:rsid w:val="24644DA5"/>
    <w:rsid w:val="24650C90"/>
    <w:rsid w:val="24654EC4"/>
    <w:rsid w:val="24663FEE"/>
    <w:rsid w:val="246851A0"/>
    <w:rsid w:val="246A4A96"/>
    <w:rsid w:val="246A53BC"/>
    <w:rsid w:val="24705C8C"/>
    <w:rsid w:val="247164AE"/>
    <w:rsid w:val="24743C46"/>
    <w:rsid w:val="247753E3"/>
    <w:rsid w:val="247947F5"/>
    <w:rsid w:val="247B4ED4"/>
    <w:rsid w:val="247B5BFB"/>
    <w:rsid w:val="247C0C4C"/>
    <w:rsid w:val="247D6D03"/>
    <w:rsid w:val="247F64B1"/>
    <w:rsid w:val="24800582"/>
    <w:rsid w:val="24800C56"/>
    <w:rsid w:val="248155AF"/>
    <w:rsid w:val="24836D8B"/>
    <w:rsid w:val="24855D52"/>
    <w:rsid w:val="2485631A"/>
    <w:rsid w:val="24866068"/>
    <w:rsid w:val="2487390E"/>
    <w:rsid w:val="248865C2"/>
    <w:rsid w:val="248E0CC1"/>
    <w:rsid w:val="248F6BD1"/>
    <w:rsid w:val="24925CBD"/>
    <w:rsid w:val="24967E64"/>
    <w:rsid w:val="24976FCE"/>
    <w:rsid w:val="249D2C6E"/>
    <w:rsid w:val="24A3267C"/>
    <w:rsid w:val="24A40E7C"/>
    <w:rsid w:val="24A63F04"/>
    <w:rsid w:val="24AB32DF"/>
    <w:rsid w:val="24AC07EB"/>
    <w:rsid w:val="24AC7783"/>
    <w:rsid w:val="24AE34FB"/>
    <w:rsid w:val="24AF7273"/>
    <w:rsid w:val="24AF77F1"/>
    <w:rsid w:val="24B16B47"/>
    <w:rsid w:val="24B44889"/>
    <w:rsid w:val="24B511A1"/>
    <w:rsid w:val="24BA1D98"/>
    <w:rsid w:val="24BC3ACA"/>
    <w:rsid w:val="24BD65A6"/>
    <w:rsid w:val="24BE3012"/>
    <w:rsid w:val="24BF6C72"/>
    <w:rsid w:val="24C30629"/>
    <w:rsid w:val="24C47AE4"/>
    <w:rsid w:val="24C525F3"/>
    <w:rsid w:val="24C555E0"/>
    <w:rsid w:val="24C70119"/>
    <w:rsid w:val="24C70B66"/>
    <w:rsid w:val="24C80592"/>
    <w:rsid w:val="24C820E3"/>
    <w:rsid w:val="24C85EBC"/>
    <w:rsid w:val="24C96344"/>
    <w:rsid w:val="24CC1BD3"/>
    <w:rsid w:val="24CD76F9"/>
    <w:rsid w:val="24D16B39"/>
    <w:rsid w:val="24D33F00"/>
    <w:rsid w:val="24D60797"/>
    <w:rsid w:val="24DD5B8E"/>
    <w:rsid w:val="24DD793C"/>
    <w:rsid w:val="24DF4095"/>
    <w:rsid w:val="24DF4A4D"/>
    <w:rsid w:val="24E0742D"/>
    <w:rsid w:val="24E83CB4"/>
    <w:rsid w:val="24EB4E78"/>
    <w:rsid w:val="24ED5A68"/>
    <w:rsid w:val="24ED5CB9"/>
    <w:rsid w:val="24F00FFF"/>
    <w:rsid w:val="24F20F0E"/>
    <w:rsid w:val="24F272EF"/>
    <w:rsid w:val="24F708DC"/>
    <w:rsid w:val="24F9229C"/>
    <w:rsid w:val="24FE77F3"/>
    <w:rsid w:val="24FF3D57"/>
    <w:rsid w:val="2500362B"/>
    <w:rsid w:val="2501742F"/>
    <w:rsid w:val="25034036"/>
    <w:rsid w:val="25070E5D"/>
    <w:rsid w:val="25084C45"/>
    <w:rsid w:val="25084DDF"/>
    <w:rsid w:val="250A03E8"/>
    <w:rsid w:val="250F3724"/>
    <w:rsid w:val="251072F4"/>
    <w:rsid w:val="2513335E"/>
    <w:rsid w:val="25186BC6"/>
    <w:rsid w:val="25196DF7"/>
    <w:rsid w:val="251B2213"/>
    <w:rsid w:val="251E5552"/>
    <w:rsid w:val="25206D5C"/>
    <w:rsid w:val="25210113"/>
    <w:rsid w:val="25291BE0"/>
    <w:rsid w:val="252A7204"/>
    <w:rsid w:val="252C41B1"/>
    <w:rsid w:val="252D7931"/>
    <w:rsid w:val="253152E6"/>
    <w:rsid w:val="25317C88"/>
    <w:rsid w:val="25344F55"/>
    <w:rsid w:val="253634F0"/>
    <w:rsid w:val="25396B3D"/>
    <w:rsid w:val="253B28B5"/>
    <w:rsid w:val="253C3621"/>
    <w:rsid w:val="253E78EC"/>
    <w:rsid w:val="253F50D2"/>
    <w:rsid w:val="253F55D6"/>
    <w:rsid w:val="25411CEB"/>
    <w:rsid w:val="25443880"/>
    <w:rsid w:val="25447756"/>
    <w:rsid w:val="25450B6F"/>
    <w:rsid w:val="25453243"/>
    <w:rsid w:val="25460D1A"/>
    <w:rsid w:val="25473008"/>
    <w:rsid w:val="254865FB"/>
    <w:rsid w:val="254C22DC"/>
    <w:rsid w:val="254C2D14"/>
    <w:rsid w:val="254E1747"/>
    <w:rsid w:val="25506360"/>
    <w:rsid w:val="255120D8"/>
    <w:rsid w:val="25512802"/>
    <w:rsid w:val="25513E86"/>
    <w:rsid w:val="25516656"/>
    <w:rsid w:val="25517BDA"/>
    <w:rsid w:val="25530ECA"/>
    <w:rsid w:val="25580ACE"/>
    <w:rsid w:val="255D0A7D"/>
    <w:rsid w:val="255E2557"/>
    <w:rsid w:val="255F2A47"/>
    <w:rsid w:val="25600EA1"/>
    <w:rsid w:val="25606AD2"/>
    <w:rsid w:val="25626093"/>
    <w:rsid w:val="256673D1"/>
    <w:rsid w:val="25684362"/>
    <w:rsid w:val="25697422"/>
    <w:rsid w:val="256E2FE5"/>
    <w:rsid w:val="256E78ED"/>
    <w:rsid w:val="256E798F"/>
    <w:rsid w:val="25707940"/>
    <w:rsid w:val="257227BA"/>
    <w:rsid w:val="25760EB3"/>
    <w:rsid w:val="25770A0C"/>
    <w:rsid w:val="25780FFC"/>
    <w:rsid w:val="25785C06"/>
    <w:rsid w:val="257B0F03"/>
    <w:rsid w:val="257B7155"/>
    <w:rsid w:val="257E2241"/>
    <w:rsid w:val="257E6E06"/>
    <w:rsid w:val="257F5E5D"/>
    <w:rsid w:val="258006EE"/>
    <w:rsid w:val="258204E4"/>
    <w:rsid w:val="25821D55"/>
    <w:rsid w:val="25836243"/>
    <w:rsid w:val="25844080"/>
    <w:rsid w:val="25852ABC"/>
    <w:rsid w:val="258878E0"/>
    <w:rsid w:val="25893620"/>
    <w:rsid w:val="258A442B"/>
    <w:rsid w:val="258D77CE"/>
    <w:rsid w:val="258E70E1"/>
    <w:rsid w:val="2591155E"/>
    <w:rsid w:val="25920CD2"/>
    <w:rsid w:val="25950217"/>
    <w:rsid w:val="25961E7F"/>
    <w:rsid w:val="259702BA"/>
    <w:rsid w:val="259920B1"/>
    <w:rsid w:val="259A39B1"/>
    <w:rsid w:val="259C00A8"/>
    <w:rsid w:val="259C15B6"/>
    <w:rsid w:val="259C3D11"/>
    <w:rsid w:val="259D4D16"/>
    <w:rsid w:val="259E4C3A"/>
    <w:rsid w:val="259E5F95"/>
    <w:rsid w:val="25A14E0E"/>
    <w:rsid w:val="25A22934"/>
    <w:rsid w:val="25A373C6"/>
    <w:rsid w:val="25A44C87"/>
    <w:rsid w:val="25A74B38"/>
    <w:rsid w:val="25A90A74"/>
    <w:rsid w:val="25AB17E9"/>
    <w:rsid w:val="25AB3B32"/>
    <w:rsid w:val="25AE24B3"/>
    <w:rsid w:val="25AE7098"/>
    <w:rsid w:val="25AF5AD6"/>
    <w:rsid w:val="25B06DFF"/>
    <w:rsid w:val="25B36038"/>
    <w:rsid w:val="25B368EF"/>
    <w:rsid w:val="25B51097"/>
    <w:rsid w:val="25B52667"/>
    <w:rsid w:val="25BB0B4F"/>
    <w:rsid w:val="25BC77B7"/>
    <w:rsid w:val="25C14ADA"/>
    <w:rsid w:val="25C17799"/>
    <w:rsid w:val="25C64874"/>
    <w:rsid w:val="25C86759"/>
    <w:rsid w:val="25CB59E7"/>
    <w:rsid w:val="25CC175F"/>
    <w:rsid w:val="25D20567"/>
    <w:rsid w:val="25D24FC7"/>
    <w:rsid w:val="25D26CDC"/>
    <w:rsid w:val="25D54AB7"/>
    <w:rsid w:val="25D55497"/>
    <w:rsid w:val="25D6438C"/>
    <w:rsid w:val="25D64C34"/>
    <w:rsid w:val="25D70607"/>
    <w:rsid w:val="25D845A8"/>
    <w:rsid w:val="25D93B83"/>
    <w:rsid w:val="25DD396C"/>
    <w:rsid w:val="25DF2B3E"/>
    <w:rsid w:val="25E03591"/>
    <w:rsid w:val="25E12BA4"/>
    <w:rsid w:val="25E22CCE"/>
    <w:rsid w:val="25E234EE"/>
    <w:rsid w:val="25E41E2F"/>
    <w:rsid w:val="25E42F4C"/>
    <w:rsid w:val="25E46335"/>
    <w:rsid w:val="25E54630"/>
    <w:rsid w:val="25E728A4"/>
    <w:rsid w:val="25EA76A2"/>
    <w:rsid w:val="25EB19B4"/>
    <w:rsid w:val="25EC22B9"/>
    <w:rsid w:val="25EC489E"/>
    <w:rsid w:val="25ED1E01"/>
    <w:rsid w:val="25EE39A1"/>
    <w:rsid w:val="25EE7927"/>
    <w:rsid w:val="25F162C6"/>
    <w:rsid w:val="25F16507"/>
    <w:rsid w:val="25F17E07"/>
    <w:rsid w:val="25F27417"/>
    <w:rsid w:val="25F56F08"/>
    <w:rsid w:val="25F7237D"/>
    <w:rsid w:val="25F767DC"/>
    <w:rsid w:val="25F806CE"/>
    <w:rsid w:val="25F81192"/>
    <w:rsid w:val="25F95EEC"/>
    <w:rsid w:val="25FA3506"/>
    <w:rsid w:val="25FB166C"/>
    <w:rsid w:val="25FB2BB1"/>
    <w:rsid w:val="2600781F"/>
    <w:rsid w:val="26040378"/>
    <w:rsid w:val="26073220"/>
    <w:rsid w:val="26076B23"/>
    <w:rsid w:val="260B1E41"/>
    <w:rsid w:val="260B2287"/>
    <w:rsid w:val="260B672B"/>
    <w:rsid w:val="261111F6"/>
    <w:rsid w:val="2611515D"/>
    <w:rsid w:val="261513AF"/>
    <w:rsid w:val="26153106"/>
    <w:rsid w:val="26160073"/>
    <w:rsid w:val="26183DAA"/>
    <w:rsid w:val="26192BF6"/>
    <w:rsid w:val="261B47BF"/>
    <w:rsid w:val="261D1282"/>
    <w:rsid w:val="261F3F85"/>
    <w:rsid w:val="26220F6B"/>
    <w:rsid w:val="26254107"/>
    <w:rsid w:val="26265313"/>
    <w:rsid w:val="262670C1"/>
    <w:rsid w:val="262D7AE8"/>
    <w:rsid w:val="262F6C4E"/>
    <w:rsid w:val="26303C7B"/>
    <w:rsid w:val="26317A22"/>
    <w:rsid w:val="263A64F8"/>
    <w:rsid w:val="263B587C"/>
    <w:rsid w:val="263C48DA"/>
    <w:rsid w:val="263C4B36"/>
    <w:rsid w:val="263E7AEB"/>
    <w:rsid w:val="26486485"/>
    <w:rsid w:val="264B2BBF"/>
    <w:rsid w:val="264B7C0D"/>
    <w:rsid w:val="264C3870"/>
    <w:rsid w:val="264D4D16"/>
    <w:rsid w:val="264E03C6"/>
    <w:rsid w:val="264F766E"/>
    <w:rsid w:val="26527E5F"/>
    <w:rsid w:val="2655215A"/>
    <w:rsid w:val="26554BAF"/>
    <w:rsid w:val="26573321"/>
    <w:rsid w:val="265956E8"/>
    <w:rsid w:val="265A1224"/>
    <w:rsid w:val="265C2AE3"/>
    <w:rsid w:val="265D00EF"/>
    <w:rsid w:val="265D0C6A"/>
    <w:rsid w:val="265D1F8F"/>
    <w:rsid w:val="2662377F"/>
    <w:rsid w:val="2663431E"/>
    <w:rsid w:val="26647BE9"/>
    <w:rsid w:val="26656E0B"/>
    <w:rsid w:val="266B476D"/>
    <w:rsid w:val="266B541C"/>
    <w:rsid w:val="2670658E"/>
    <w:rsid w:val="26715674"/>
    <w:rsid w:val="26753152"/>
    <w:rsid w:val="26775B6F"/>
    <w:rsid w:val="26784EC4"/>
    <w:rsid w:val="26790DCA"/>
    <w:rsid w:val="267918E7"/>
    <w:rsid w:val="26793695"/>
    <w:rsid w:val="267A70CD"/>
    <w:rsid w:val="267C13D7"/>
    <w:rsid w:val="267C59C1"/>
    <w:rsid w:val="267F212E"/>
    <w:rsid w:val="26801679"/>
    <w:rsid w:val="26802C75"/>
    <w:rsid w:val="26823C3C"/>
    <w:rsid w:val="26861CA2"/>
    <w:rsid w:val="26875517"/>
    <w:rsid w:val="268D0EEE"/>
    <w:rsid w:val="268D7140"/>
    <w:rsid w:val="268E0B0C"/>
    <w:rsid w:val="268E10DF"/>
    <w:rsid w:val="269153FD"/>
    <w:rsid w:val="26921A42"/>
    <w:rsid w:val="26935FAA"/>
    <w:rsid w:val="2694227D"/>
    <w:rsid w:val="26955FF5"/>
    <w:rsid w:val="26962499"/>
    <w:rsid w:val="26964858"/>
    <w:rsid w:val="2697425C"/>
    <w:rsid w:val="269744EB"/>
    <w:rsid w:val="26997893"/>
    <w:rsid w:val="269A7B30"/>
    <w:rsid w:val="269C55D5"/>
    <w:rsid w:val="269D17AB"/>
    <w:rsid w:val="269D72D5"/>
    <w:rsid w:val="269E1372"/>
    <w:rsid w:val="269E748F"/>
    <w:rsid w:val="26A5448A"/>
    <w:rsid w:val="26AA4776"/>
    <w:rsid w:val="26AD0106"/>
    <w:rsid w:val="26AD333E"/>
    <w:rsid w:val="26B00AD9"/>
    <w:rsid w:val="26B11081"/>
    <w:rsid w:val="26B156FB"/>
    <w:rsid w:val="26B20955"/>
    <w:rsid w:val="26B65DDE"/>
    <w:rsid w:val="26B81454"/>
    <w:rsid w:val="26B86EE4"/>
    <w:rsid w:val="26B873F8"/>
    <w:rsid w:val="26BA7AA5"/>
    <w:rsid w:val="26BF1E8D"/>
    <w:rsid w:val="26C15FC6"/>
    <w:rsid w:val="26C2328E"/>
    <w:rsid w:val="26C37006"/>
    <w:rsid w:val="26C37659"/>
    <w:rsid w:val="26C51673"/>
    <w:rsid w:val="26C66CDC"/>
    <w:rsid w:val="26C7042A"/>
    <w:rsid w:val="26C77A9E"/>
    <w:rsid w:val="26CE5E56"/>
    <w:rsid w:val="26CF3E66"/>
    <w:rsid w:val="26CF7759"/>
    <w:rsid w:val="26D0702D"/>
    <w:rsid w:val="26D42FC1"/>
    <w:rsid w:val="26D44D6F"/>
    <w:rsid w:val="26D61A38"/>
    <w:rsid w:val="26D7485F"/>
    <w:rsid w:val="26DE1585"/>
    <w:rsid w:val="26DE444E"/>
    <w:rsid w:val="26E01966"/>
    <w:rsid w:val="26E03714"/>
    <w:rsid w:val="26E054C2"/>
    <w:rsid w:val="26E10430"/>
    <w:rsid w:val="26E40823"/>
    <w:rsid w:val="26E52AD8"/>
    <w:rsid w:val="26E57798"/>
    <w:rsid w:val="26E74CBE"/>
    <w:rsid w:val="26EA00EF"/>
    <w:rsid w:val="26EA0897"/>
    <w:rsid w:val="26EA0A6E"/>
    <w:rsid w:val="26EC20B9"/>
    <w:rsid w:val="26EF668E"/>
    <w:rsid w:val="26EF7BA3"/>
    <w:rsid w:val="26F15921"/>
    <w:rsid w:val="26F21E5E"/>
    <w:rsid w:val="26F35BD2"/>
    <w:rsid w:val="26F50FFE"/>
    <w:rsid w:val="26F62F37"/>
    <w:rsid w:val="26F747B3"/>
    <w:rsid w:val="26F947D6"/>
    <w:rsid w:val="26F96584"/>
    <w:rsid w:val="26FA7340"/>
    <w:rsid w:val="26FB22FC"/>
    <w:rsid w:val="26FB2D38"/>
    <w:rsid w:val="26FB67A0"/>
    <w:rsid w:val="26FD2518"/>
    <w:rsid w:val="26FD3074"/>
    <w:rsid w:val="26FD510C"/>
    <w:rsid w:val="27010436"/>
    <w:rsid w:val="270218DC"/>
    <w:rsid w:val="270513CC"/>
    <w:rsid w:val="2709081E"/>
    <w:rsid w:val="27090EBD"/>
    <w:rsid w:val="270C51C5"/>
    <w:rsid w:val="270E26BE"/>
    <w:rsid w:val="270E38A9"/>
    <w:rsid w:val="270F5DA7"/>
    <w:rsid w:val="27117D71"/>
    <w:rsid w:val="27145343"/>
    <w:rsid w:val="27165388"/>
    <w:rsid w:val="271678E1"/>
    <w:rsid w:val="27191ABD"/>
    <w:rsid w:val="27196C26"/>
    <w:rsid w:val="271B47E9"/>
    <w:rsid w:val="271D517B"/>
    <w:rsid w:val="271D74C3"/>
    <w:rsid w:val="271E46C1"/>
    <w:rsid w:val="27201D62"/>
    <w:rsid w:val="272066E7"/>
    <w:rsid w:val="27223D2C"/>
    <w:rsid w:val="27225ADA"/>
    <w:rsid w:val="27247B20"/>
    <w:rsid w:val="2725381D"/>
    <w:rsid w:val="27257379"/>
    <w:rsid w:val="27264780"/>
    <w:rsid w:val="272849F8"/>
    <w:rsid w:val="27284F7F"/>
    <w:rsid w:val="272D57DE"/>
    <w:rsid w:val="272F01F7"/>
    <w:rsid w:val="27304FCB"/>
    <w:rsid w:val="27312F70"/>
    <w:rsid w:val="27321A64"/>
    <w:rsid w:val="27342D76"/>
    <w:rsid w:val="27373D1C"/>
    <w:rsid w:val="273852FE"/>
    <w:rsid w:val="273B0859"/>
    <w:rsid w:val="273B1052"/>
    <w:rsid w:val="273D0B66"/>
    <w:rsid w:val="273E043A"/>
    <w:rsid w:val="27422847"/>
    <w:rsid w:val="2742617D"/>
    <w:rsid w:val="27427F2B"/>
    <w:rsid w:val="27441EF5"/>
    <w:rsid w:val="27452D6D"/>
    <w:rsid w:val="27455C6D"/>
    <w:rsid w:val="274912B9"/>
    <w:rsid w:val="274A3283"/>
    <w:rsid w:val="274C2B57"/>
    <w:rsid w:val="274C6FFB"/>
    <w:rsid w:val="274C7450"/>
    <w:rsid w:val="274D0332"/>
    <w:rsid w:val="274E5E58"/>
    <w:rsid w:val="274F678B"/>
    <w:rsid w:val="27530B66"/>
    <w:rsid w:val="275352E3"/>
    <w:rsid w:val="27554F6C"/>
    <w:rsid w:val="27563906"/>
    <w:rsid w:val="275645DE"/>
    <w:rsid w:val="27565784"/>
    <w:rsid w:val="275814FC"/>
    <w:rsid w:val="2758774E"/>
    <w:rsid w:val="2759134E"/>
    <w:rsid w:val="275B0FEC"/>
    <w:rsid w:val="275C4BED"/>
    <w:rsid w:val="275D390C"/>
    <w:rsid w:val="275D3960"/>
    <w:rsid w:val="275D3B89"/>
    <w:rsid w:val="275D6B12"/>
    <w:rsid w:val="27601831"/>
    <w:rsid w:val="2767173F"/>
    <w:rsid w:val="276A1007"/>
    <w:rsid w:val="276A4A67"/>
    <w:rsid w:val="276B56D3"/>
    <w:rsid w:val="27724EE3"/>
    <w:rsid w:val="27725098"/>
    <w:rsid w:val="27736336"/>
    <w:rsid w:val="2775207D"/>
    <w:rsid w:val="277A28DC"/>
    <w:rsid w:val="277C48A6"/>
    <w:rsid w:val="277D71B5"/>
    <w:rsid w:val="277F631F"/>
    <w:rsid w:val="277F7E86"/>
    <w:rsid w:val="27802801"/>
    <w:rsid w:val="27840543"/>
    <w:rsid w:val="2784665D"/>
    <w:rsid w:val="27856069"/>
    <w:rsid w:val="278B2E92"/>
    <w:rsid w:val="278C389C"/>
    <w:rsid w:val="278C564A"/>
    <w:rsid w:val="278C73F8"/>
    <w:rsid w:val="27910EB2"/>
    <w:rsid w:val="27923736"/>
    <w:rsid w:val="279362B7"/>
    <w:rsid w:val="27947F9D"/>
    <w:rsid w:val="27955C5C"/>
    <w:rsid w:val="27962024"/>
    <w:rsid w:val="2797115A"/>
    <w:rsid w:val="27983FEE"/>
    <w:rsid w:val="279938C3"/>
    <w:rsid w:val="279969B0"/>
    <w:rsid w:val="279A1B15"/>
    <w:rsid w:val="279C14FA"/>
    <w:rsid w:val="279C24E3"/>
    <w:rsid w:val="279D33B3"/>
    <w:rsid w:val="279F712B"/>
    <w:rsid w:val="27A02EA3"/>
    <w:rsid w:val="27A03BDE"/>
    <w:rsid w:val="27A110F5"/>
    <w:rsid w:val="27A159AD"/>
    <w:rsid w:val="27A174C3"/>
    <w:rsid w:val="27A26C1B"/>
    <w:rsid w:val="27A33F63"/>
    <w:rsid w:val="27A55E44"/>
    <w:rsid w:val="27A74232"/>
    <w:rsid w:val="27A84869"/>
    <w:rsid w:val="27A85BF1"/>
    <w:rsid w:val="27A913C2"/>
    <w:rsid w:val="27A97724"/>
    <w:rsid w:val="27AB34D3"/>
    <w:rsid w:val="27AD635F"/>
    <w:rsid w:val="27AE736E"/>
    <w:rsid w:val="27AF7F21"/>
    <w:rsid w:val="27B16E5E"/>
    <w:rsid w:val="27B16FB8"/>
    <w:rsid w:val="27B31782"/>
    <w:rsid w:val="27B506FD"/>
    <w:rsid w:val="27B626C7"/>
    <w:rsid w:val="27B70783"/>
    <w:rsid w:val="27B77B3C"/>
    <w:rsid w:val="27BA189D"/>
    <w:rsid w:val="27BD6C9C"/>
    <w:rsid w:val="27BF157B"/>
    <w:rsid w:val="27C0736D"/>
    <w:rsid w:val="27C40104"/>
    <w:rsid w:val="27C40E9E"/>
    <w:rsid w:val="27C85606"/>
    <w:rsid w:val="27C9064C"/>
    <w:rsid w:val="27C923FA"/>
    <w:rsid w:val="27CA3C0A"/>
    <w:rsid w:val="27CB7F20"/>
    <w:rsid w:val="27CC3C98"/>
    <w:rsid w:val="27CE5820"/>
    <w:rsid w:val="27CF16FA"/>
    <w:rsid w:val="27CF3246"/>
    <w:rsid w:val="27D058DE"/>
    <w:rsid w:val="27D112AE"/>
    <w:rsid w:val="27D165A2"/>
    <w:rsid w:val="27D27BF6"/>
    <w:rsid w:val="27D46819"/>
    <w:rsid w:val="27D72253"/>
    <w:rsid w:val="27D758AC"/>
    <w:rsid w:val="27D75F18"/>
    <w:rsid w:val="27D8394B"/>
    <w:rsid w:val="27D84E93"/>
    <w:rsid w:val="27DA09BA"/>
    <w:rsid w:val="27DA63B5"/>
    <w:rsid w:val="27DB41EF"/>
    <w:rsid w:val="27DC7499"/>
    <w:rsid w:val="27DE7296"/>
    <w:rsid w:val="27E17743"/>
    <w:rsid w:val="27E37119"/>
    <w:rsid w:val="27E569F4"/>
    <w:rsid w:val="27E66976"/>
    <w:rsid w:val="27E67338"/>
    <w:rsid w:val="27E75F0C"/>
    <w:rsid w:val="27E76A69"/>
    <w:rsid w:val="27E84A5F"/>
    <w:rsid w:val="27E84EA0"/>
    <w:rsid w:val="27E86D24"/>
    <w:rsid w:val="27E965F8"/>
    <w:rsid w:val="27E97E58"/>
    <w:rsid w:val="27EB03AD"/>
    <w:rsid w:val="27EB411E"/>
    <w:rsid w:val="27EC61F1"/>
    <w:rsid w:val="27EF381C"/>
    <w:rsid w:val="27F56227"/>
    <w:rsid w:val="27F571E1"/>
    <w:rsid w:val="27F647BB"/>
    <w:rsid w:val="27F70C6D"/>
    <w:rsid w:val="27F725A4"/>
    <w:rsid w:val="27F75178"/>
    <w:rsid w:val="27FA6A57"/>
    <w:rsid w:val="27FC156C"/>
    <w:rsid w:val="27FE2203"/>
    <w:rsid w:val="2801788B"/>
    <w:rsid w:val="2802526D"/>
    <w:rsid w:val="280276BA"/>
    <w:rsid w:val="28060AE7"/>
    <w:rsid w:val="280B47C0"/>
    <w:rsid w:val="280C15CB"/>
    <w:rsid w:val="280D0539"/>
    <w:rsid w:val="28101DD7"/>
    <w:rsid w:val="2810350E"/>
    <w:rsid w:val="28117B21"/>
    <w:rsid w:val="28185CCC"/>
    <w:rsid w:val="281B76B8"/>
    <w:rsid w:val="281E70D9"/>
    <w:rsid w:val="282105EF"/>
    <w:rsid w:val="282107A4"/>
    <w:rsid w:val="282173B7"/>
    <w:rsid w:val="28231246"/>
    <w:rsid w:val="282510AF"/>
    <w:rsid w:val="28261ADE"/>
    <w:rsid w:val="28267748"/>
    <w:rsid w:val="2826784C"/>
    <w:rsid w:val="28275C5B"/>
    <w:rsid w:val="2828362E"/>
    <w:rsid w:val="28284A74"/>
    <w:rsid w:val="282910EA"/>
    <w:rsid w:val="282A0FBC"/>
    <w:rsid w:val="282A1F07"/>
    <w:rsid w:val="282A3F94"/>
    <w:rsid w:val="282A48B7"/>
    <w:rsid w:val="282E04AF"/>
    <w:rsid w:val="282E6A15"/>
    <w:rsid w:val="282E6D09"/>
    <w:rsid w:val="2831008F"/>
    <w:rsid w:val="28321AAF"/>
    <w:rsid w:val="28321D4D"/>
    <w:rsid w:val="28327F9F"/>
    <w:rsid w:val="283304C6"/>
    <w:rsid w:val="28395C86"/>
    <w:rsid w:val="283A0B00"/>
    <w:rsid w:val="283B38A8"/>
    <w:rsid w:val="283C7070"/>
    <w:rsid w:val="283F090E"/>
    <w:rsid w:val="283F26BC"/>
    <w:rsid w:val="283F753C"/>
    <w:rsid w:val="284101E2"/>
    <w:rsid w:val="284306E8"/>
    <w:rsid w:val="28441A80"/>
    <w:rsid w:val="284424CF"/>
    <w:rsid w:val="284657F9"/>
    <w:rsid w:val="2849353B"/>
    <w:rsid w:val="284B2E0F"/>
    <w:rsid w:val="284B7DCB"/>
    <w:rsid w:val="284D4606"/>
    <w:rsid w:val="284D4DD9"/>
    <w:rsid w:val="284E65C9"/>
    <w:rsid w:val="28502F16"/>
    <w:rsid w:val="285337E8"/>
    <w:rsid w:val="28540233"/>
    <w:rsid w:val="28547626"/>
    <w:rsid w:val="2858390B"/>
    <w:rsid w:val="285939E6"/>
    <w:rsid w:val="285B1B22"/>
    <w:rsid w:val="285B737A"/>
    <w:rsid w:val="285C326E"/>
    <w:rsid w:val="285D5FF9"/>
    <w:rsid w:val="285E192A"/>
    <w:rsid w:val="28642123"/>
    <w:rsid w:val="28646512"/>
    <w:rsid w:val="286657DA"/>
    <w:rsid w:val="286730EE"/>
    <w:rsid w:val="28685841"/>
    <w:rsid w:val="2868597F"/>
    <w:rsid w:val="28685CA3"/>
    <w:rsid w:val="28690BE6"/>
    <w:rsid w:val="286975F0"/>
    <w:rsid w:val="286C6A42"/>
    <w:rsid w:val="286D0E1B"/>
    <w:rsid w:val="286D0FD7"/>
    <w:rsid w:val="286D7229"/>
    <w:rsid w:val="286E174C"/>
    <w:rsid w:val="286E270D"/>
    <w:rsid w:val="286F7BCF"/>
    <w:rsid w:val="28724840"/>
    <w:rsid w:val="287265EE"/>
    <w:rsid w:val="2874680A"/>
    <w:rsid w:val="28773C04"/>
    <w:rsid w:val="287D0F6A"/>
    <w:rsid w:val="287E1129"/>
    <w:rsid w:val="287E31E4"/>
    <w:rsid w:val="28827350"/>
    <w:rsid w:val="288307FB"/>
    <w:rsid w:val="288325A9"/>
    <w:rsid w:val="28844573"/>
    <w:rsid w:val="28852983"/>
    <w:rsid w:val="288558F5"/>
    <w:rsid w:val="28855F24"/>
    <w:rsid w:val="28856217"/>
    <w:rsid w:val="2886166A"/>
    <w:rsid w:val="288775CB"/>
    <w:rsid w:val="28877B0F"/>
    <w:rsid w:val="28887BBF"/>
    <w:rsid w:val="288B5901"/>
    <w:rsid w:val="288C3F59"/>
    <w:rsid w:val="288D1C22"/>
    <w:rsid w:val="288D2D1D"/>
    <w:rsid w:val="289335D2"/>
    <w:rsid w:val="289522DC"/>
    <w:rsid w:val="2896616C"/>
    <w:rsid w:val="289716A0"/>
    <w:rsid w:val="289742A6"/>
    <w:rsid w:val="289C7B0E"/>
    <w:rsid w:val="289D1D2D"/>
    <w:rsid w:val="289E73E3"/>
    <w:rsid w:val="28A40771"/>
    <w:rsid w:val="28A6273B"/>
    <w:rsid w:val="28A942CD"/>
    <w:rsid w:val="28AA222B"/>
    <w:rsid w:val="28AC5FA3"/>
    <w:rsid w:val="28B05368"/>
    <w:rsid w:val="28B27332"/>
    <w:rsid w:val="28B430AA"/>
    <w:rsid w:val="28B46EC0"/>
    <w:rsid w:val="28B704A4"/>
    <w:rsid w:val="28B724AA"/>
    <w:rsid w:val="28BE7E3F"/>
    <w:rsid w:val="28C266AE"/>
    <w:rsid w:val="28C37F30"/>
    <w:rsid w:val="28C44619"/>
    <w:rsid w:val="28C52BC1"/>
    <w:rsid w:val="28C54A49"/>
    <w:rsid w:val="28C71693"/>
    <w:rsid w:val="28C71C74"/>
    <w:rsid w:val="28C77ED9"/>
    <w:rsid w:val="28CC05C0"/>
    <w:rsid w:val="28CD696D"/>
    <w:rsid w:val="28CF2B78"/>
    <w:rsid w:val="28D635FE"/>
    <w:rsid w:val="28D70B46"/>
    <w:rsid w:val="28D90BBB"/>
    <w:rsid w:val="28DA4766"/>
    <w:rsid w:val="28DB700E"/>
    <w:rsid w:val="28DC0413"/>
    <w:rsid w:val="28DC08BE"/>
    <w:rsid w:val="28DC43AF"/>
    <w:rsid w:val="28DD7E7C"/>
    <w:rsid w:val="28DE1ED5"/>
    <w:rsid w:val="28DE7509"/>
    <w:rsid w:val="28E50F74"/>
    <w:rsid w:val="28E72B5B"/>
    <w:rsid w:val="28E75B49"/>
    <w:rsid w:val="28E86836"/>
    <w:rsid w:val="28E86CDC"/>
    <w:rsid w:val="28E90B53"/>
    <w:rsid w:val="28EC1CA8"/>
    <w:rsid w:val="28EC5995"/>
    <w:rsid w:val="28ED036A"/>
    <w:rsid w:val="28ED2118"/>
    <w:rsid w:val="28EE2D47"/>
    <w:rsid w:val="28EF0462"/>
    <w:rsid w:val="28EF5E90"/>
    <w:rsid w:val="28F01E2E"/>
    <w:rsid w:val="28F2659B"/>
    <w:rsid w:val="28F434A6"/>
    <w:rsid w:val="28F924FA"/>
    <w:rsid w:val="28F97E28"/>
    <w:rsid w:val="28FC6980"/>
    <w:rsid w:val="28FD278A"/>
    <w:rsid w:val="28FF1668"/>
    <w:rsid w:val="2900009D"/>
    <w:rsid w:val="290130BC"/>
    <w:rsid w:val="29023E15"/>
    <w:rsid w:val="29033E35"/>
    <w:rsid w:val="29037B8D"/>
    <w:rsid w:val="29086F52"/>
    <w:rsid w:val="290872A8"/>
    <w:rsid w:val="29097D6B"/>
    <w:rsid w:val="290A0F1C"/>
    <w:rsid w:val="290B259E"/>
    <w:rsid w:val="290D27BA"/>
    <w:rsid w:val="290E59DA"/>
    <w:rsid w:val="290F378F"/>
    <w:rsid w:val="29121B7F"/>
    <w:rsid w:val="2912392D"/>
    <w:rsid w:val="2912753F"/>
    <w:rsid w:val="291341CB"/>
    <w:rsid w:val="291602FD"/>
    <w:rsid w:val="29177195"/>
    <w:rsid w:val="291819B2"/>
    <w:rsid w:val="291D0C4F"/>
    <w:rsid w:val="291E22D1"/>
    <w:rsid w:val="291E23BB"/>
    <w:rsid w:val="29207857"/>
    <w:rsid w:val="292131FD"/>
    <w:rsid w:val="29241954"/>
    <w:rsid w:val="29254418"/>
    <w:rsid w:val="29266E45"/>
    <w:rsid w:val="29282EA6"/>
    <w:rsid w:val="29286271"/>
    <w:rsid w:val="292974E4"/>
    <w:rsid w:val="292A7064"/>
    <w:rsid w:val="292D173D"/>
    <w:rsid w:val="292D6D18"/>
    <w:rsid w:val="29310257"/>
    <w:rsid w:val="29323FCF"/>
    <w:rsid w:val="293333A5"/>
    <w:rsid w:val="29336DD8"/>
    <w:rsid w:val="2937635E"/>
    <w:rsid w:val="29395340"/>
    <w:rsid w:val="293B2E83"/>
    <w:rsid w:val="293D309F"/>
    <w:rsid w:val="293E750C"/>
    <w:rsid w:val="293F0351"/>
    <w:rsid w:val="29406961"/>
    <w:rsid w:val="294246C9"/>
    <w:rsid w:val="29442B98"/>
    <w:rsid w:val="29453C4C"/>
    <w:rsid w:val="294D1FF0"/>
    <w:rsid w:val="294E705B"/>
    <w:rsid w:val="29521614"/>
    <w:rsid w:val="29534671"/>
    <w:rsid w:val="295403E9"/>
    <w:rsid w:val="29591C3C"/>
    <w:rsid w:val="295B52D4"/>
    <w:rsid w:val="295C2AF8"/>
    <w:rsid w:val="295C3E2E"/>
    <w:rsid w:val="295C5B49"/>
    <w:rsid w:val="295D49CD"/>
    <w:rsid w:val="29631868"/>
    <w:rsid w:val="29634188"/>
    <w:rsid w:val="296378D5"/>
    <w:rsid w:val="2964687E"/>
    <w:rsid w:val="29693E94"/>
    <w:rsid w:val="296A3769"/>
    <w:rsid w:val="296C74E1"/>
    <w:rsid w:val="296D7F72"/>
    <w:rsid w:val="296E14AB"/>
    <w:rsid w:val="296E3259"/>
    <w:rsid w:val="296E3326"/>
    <w:rsid w:val="296F0D7F"/>
    <w:rsid w:val="296F5223"/>
    <w:rsid w:val="2973544C"/>
    <w:rsid w:val="29736A30"/>
    <w:rsid w:val="2975293D"/>
    <w:rsid w:val="297560F5"/>
    <w:rsid w:val="297654D9"/>
    <w:rsid w:val="29767964"/>
    <w:rsid w:val="29771C90"/>
    <w:rsid w:val="2979112F"/>
    <w:rsid w:val="29791BFE"/>
    <w:rsid w:val="29791CCE"/>
    <w:rsid w:val="297E09C9"/>
    <w:rsid w:val="297E51A0"/>
    <w:rsid w:val="297F5466"/>
    <w:rsid w:val="29802F8C"/>
    <w:rsid w:val="29807A50"/>
    <w:rsid w:val="298244EE"/>
    <w:rsid w:val="29824F56"/>
    <w:rsid w:val="29842A7C"/>
    <w:rsid w:val="298567F4"/>
    <w:rsid w:val="29876B5F"/>
    <w:rsid w:val="29891E41"/>
    <w:rsid w:val="29893677"/>
    <w:rsid w:val="298A310F"/>
    <w:rsid w:val="298C7B83"/>
    <w:rsid w:val="298E497F"/>
    <w:rsid w:val="298F7715"/>
    <w:rsid w:val="299627B0"/>
    <w:rsid w:val="2996630C"/>
    <w:rsid w:val="299A1E4A"/>
    <w:rsid w:val="299A22A0"/>
    <w:rsid w:val="299D3B3E"/>
    <w:rsid w:val="29A16581"/>
    <w:rsid w:val="29A273A6"/>
    <w:rsid w:val="29A2742D"/>
    <w:rsid w:val="29A32DEA"/>
    <w:rsid w:val="29A7676B"/>
    <w:rsid w:val="29A87FC0"/>
    <w:rsid w:val="29AA0009"/>
    <w:rsid w:val="29AC396E"/>
    <w:rsid w:val="29AD36AA"/>
    <w:rsid w:val="29B13146"/>
    <w:rsid w:val="29B13F60"/>
    <w:rsid w:val="29B87439"/>
    <w:rsid w:val="29B92FC4"/>
    <w:rsid w:val="29B938F2"/>
    <w:rsid w:val="29BB0DD0"/>
    <w:rsid w:val="29BB3A49"/>
    <w:rsid w:val="29BC0923"/>
    <w:rsid w:val="29BD337A"/>
    <w:rsid w:val="29BD5F8E"/>
    <w:rsid w:val="29C2065F"/>
    <w:rsid w:val="29C235A5"/>
    <w:rsid w:val="29C4095E"/>
    <w:rsid w:val="29C54E43"/>
    <w:rsid w:val="29C55868"/>
    <w:rsid w:val="29C67916"/>
    <w:rsid w:val="29C94933"/>
    <w:rsid w:val="29CA4207"/>
    <w:rsid w:val="29CC7747"/>
    <w:rsid w:val="29CE4685"/>
    <w:rsid w:val="29CF29ED"/>
    <w:rsid w:val="29D15596"/>
    <w:rsid w:val="29D47E69"/>
    <w:rsid w:val="29D51C23"/>
    <w:rsid w:val="29D77BFD"/>
    <w:rsid w:val="29D82DC8"/>
    <w:rsid w:val="29D95868"/>
    <w:rsid w:val="29DD279B"/>
    <w:rsid w:val="29DF5F05"/>
    <w:rsid w:val="29DF65F4"/>
    <w:rsid w:val="29E26E3A"/>
    <w:rsid w:val="29E67293"/>
    <w:rsid w:val="29E7300B"/>
    <w:rsid w:val="29E746B5"/>
    <w:rsid w:val="29E940EF"/>
    <w:rsid w:val="29EA0CB9"/>
    <w:rsid w:val="29EE42BE"/>
    <w:rsid w:val="29F00C75"/>
    <w:rsid w:val="29F13D9F"/>
    <w:rsid w:val="29F2720C"/>
    <w:rsid w:val="29F32108"/>
    <w:rsid w:val="29F702A5"/>
    <w:rsid w:val="29F86FC6"/>
    <w:rsid w:val="29FB0865"/>
    <w:rsid w:val="29FD0DE7"/>
    <w:rsid w:val="29FD45DD"/>
    <w:rsid w:val="29FE173C"/>
    <w:rsid w:val="2A0074CB"/>
    <w:rsid w:val="2A0155AC"/>
    <w:rsid w:val="2A021070"/>
    <w:rsid w:val="2A040CF7"/>
    <w:rsid w:val="2A053F61"/>
    <w:rsid w:val="2A055DD9"/>
    <w:rsid w:val="2A08240C"/>
    <w:rsid w:val="2A0A5759"/>
    <w:rsid w:val="2A0B4F4C"/>
    <w:rsid w:val="2A0C0919"/>
    <w:rsid w:val="2A0C1225"/>
    <w:rsid w:val="2A10072A"/>
    <w:rsid w:val="2A102562"/>
    <w:rsid w:val="2A117A16"/>
    <w:rsid w:val="2A121107"/>
    <w:rsid w:val="2A151926"/>
    <w:rsid w:val="2A1831C5"/>
    <w:rsid w:val="2A1A0892"/>
    <w:rsid w:val="2A1A7A9F"/>
    <w:rsid w:val="2A1C040D"/>
    <w:rsid w:val="2A1D07DB"/>
    <w:rsid w:val="2A1D34C9"/>
    <w:rsid w:val="2A1D3926"/>
    <w:rsid w:val="2A1E192F"/>
    <w:rsid w:val="2A1F4E31"/>
    <w:rsid w:val="2A21524A"/>
    <w:rsid w:val="2A2234FF"/>
    <w:rsid w:val="2A24593D"/>
    <w:rsid w:val="2A25006E"/>
    <w:rsid w:val="2A263B34"/>
    <w:rsid w:val="2A293624"/>
    <w:rsid w:val="2A2953D2"/>
    <w:rsid w:val="2A297180"/>
    <w:rsid w:val="2A2A0538"/>
    <w:rsid w:val="2A2A6A53"/>
    <w:rsid w:val="2A2B114A"/>
    <w:rsid w:val="2A2B739C"/>
    <w:rsid w:val="2A3177D9"/>
    <w:rsid w:val="2A32072A"/>
    <w:rsid w:val="2A331152"/>
    <w:rsid w:val="2A391AB9"/>
    <w:rsid w:val="2A3A313B"/>
    <w:rsid w:val="2A3B4E26"/>
    <w:rsid w:val="2A3C187B"/>
    <w:rsid w:val="2A3E7A99"/>
    <w:rsid w:val="2A3F0751"/>
    <w:rsid w:val="2A3F4557"/>
    <w:rsid w:val="2A3F67DE"/>
    <w:rsid w:val="2A40723A"/>
    <w:rsid w:val="2A411374"/>
    <w:rsid w:val="2A461F39"/>
    <w:rsid w:val="2A4667AC"/>
    <w:rsid w:val="2A467350"/>
    <w:rsid w:val="2A467D32"/>
    <w:rsid w:val="2A495A74"/>
    <w:rsid w:val="2A4B1F10"/>
    <w:rsid w:val="2A4C68E4"/>
    <w:rsid w:val="2A50622B"/>
    <w:rsid w:val="2A520F23"/>
    <w:rsid w:val="2A54710E"/>
    <w:rsid w:val="2A552F76"/>
    <w:rsid w:val="2A5655F3"/>
    <w:rsid w:val="2A593FD9"/>
    <w:rsid w:val="2A5C071E"/>
    <w:rsid w:val="2A5F40BB"/>
    <w:rsid w:val="2A636B36"/>
    <w:rsid w:val="2A657603"/>
    <w:rsid w:val="2A666EC7"/>
    <w:rsid w:val="2A696EB1"/>
    <w:rsid w:val="2A697EC4"/>
    <w:rsid w:val="2A6A2CDE"/>
    <w:rsid w:val="2A6D1762"/>
    <w:rsid w:val="2A6D4BE6"/>
    <w:rsid w:val="2A6E57F5"/>
    <w:rsid w:val="2A6E7289"/>
    <w:rsid w:val="2A702F2C"/>
    <w:rsid w:val="2A745211"/>
    <w:rsid w:val="2A750617"/>
    <w:rsid w:val="2A757469"/>
    <w:rsid w:val="2A783938"/>
    <w:rsid w:val="2A7D74CC"/>
    <w:rsid w:val="2A7E08EE"/>
    <w:rsid w:val="2A7E6D29"/>
    <w:rsid w:val="2A80749C"/>
    <w:rsid w:val="2A810D6A"/>
    <w:rsid w:val="2A812E0F"/>
    <w:rsid w:val="2A816FBC"/>
    <w:rsid w:val="2A832D34"/>
    <w:rsid w:val="2A83359C"/>
    <w:rsid w:val="2A842608"/>
    <w:rsid w:val="2A881793"/>
    <w:rsid w:val="2A8904FD"/>
    <w:rsid w:val="2A895E70"/>
    <w:rsid w:val="2A8A20AC"/>
    <w:rsid w:val="2A8D46CE"/>
    <w:rsid w:val="2A8D5961"/>
    <w:rsid w:val="2A8E3487"/>
    <w:rsid w:val="2A8F468B"/>
    <w:rsid w:val="2A90019B"/>
    <w:rsid w:val="2A90220D"/>
    <w:rsid w:val="2A9071FF"/>
    <w:rsid w:val="2A930A9D"/>
    <w:rsid w:val="2A94774E"/>
    <w:rsid w:val="2A954815"/>
    <w:rsid w:val="2A962EE4"/>
    <w:rsid w:val="2A9D2A82"/>
    <w:rsid w:val="2A9E0AB8"/>
    <w:rsid w:val="2A9F114D"/>
    <w:rsid w:val="2A9F5694"/>
    <w:rsid w:val="2A9F62C6"/>
    <w:rsid w:val="2AA44A58"/>
    <w:rsid w:val="2AA84549"/>
    <w:rsid w:val="2AAD76D5"/>
    <w:rsid w:val="2AAE4D1A"/>
    <w:rsid w:val="2AAE58D7"/>
    <w:rsid w:val="2AAF3B29"/>
    <w:rsid w:val="2AB14DFE"/>
    <w:rsid w:val="2AB24D45"/>
    <w:rsid w:val="2AB32EED"/>
    <w:rsid w:val="2AB40F49"/>
    <w:rsid w:val="2AB46D3F"/>
    <w:rsid w:val="2AB91BB7"/>
    <w:rsid w:val="2AB949A8"/>
    <w:rsid w:val="2ABA54D3"/>
    <w:rsid w:val="2ABB63E5"/>
    <w:rsid w:val="2ABD6FE5"/>
    <w:rsid w:val="2ABE59AA"/>
    <w:rsid w:val="2ABE5B1A"/>
    <w:rsid w:val="2AC12111"/>
    <w:rsid w:val="2AC31382"/>
    <w:rsid w:val="2AC86999"/>
    <w:rsid w:val="2AC87F39"/>
    <w:rsid w:val="2AC91672"/>
    <w:rsid w:val="2AC939FA"/>
    <w:rsid w:val="2AC944BF"/>
    <w:rsid w:val="2ACB0237"/>
    <w:rsid w:val="2ACB0F4E"/>
    <w:rsid w:val="2ACD2201"/>
    <w:rsid w:val="2ACE489E"/>
    <w:rsid w:val="2AD16B46"/>
    <w:rsid w:val="2AD31A63"/>
    <w:rsid w:val="2AD37AF9"/>
    <w:rsid w:val="2AD90BA6"/>
    <w:rsid w:val="2ADC01C6"/>
    <w:rsid w:val="2ADC55F5"/>
    <w:rsid w:val="2ADF07C0"/>
    <w:rsid w:val="2ADF3AD5"/>
    <w:rsid w:val="2AE74CA7"/>
    <w:rsid w:val="2AE8703B"/>
    <w:rsid w:val="2AE9007F"/>
    <w:rsid w:val="2AEB77AD"/>
    <w:rsid w:val="2AEC50EA"/>
    <w:rsid w:val="2AEF2177"/>
    <w:rsid w:val="2AF12D17"/>
    <w:rsid w:val="2AF27EBA"/>
    <w:rsid w:val="2AF3120F"/>
    <w:rsid w:val="2AF53506"/>
    <w:rsid w:val="2AF61758"/>
    <w:rsid w:val="2AF71C48"/>
    <w:rsid w:val="2AF82FCF"/>
    <w:rsid w:val="2AF93233"/>
    <w:rsid w:val="2AF97CB5"/>
    <w:rsid w:val="2AFA0B1C"/>
    <w:rsid w:val="2AFB1D28"/>
    <w:rsid w:val="2AFB5879"/>
    <w:rsid w:val="2AFD2B37"/>
    <w:rsid w:val="2AFD71FE"/>
    <w:rsid w:val="2B00686E"/>
    <w:rsid w:val="2B011EAB"/>
    <w:rsid w:val="2B025609"/>
    <w:rsid w:val="2B04686A"/>
    <w:rsid w:val="2B05199B"/>
    <w:rsid w:val="2B054B6B"/>
    <w:rsid w:val="2B060108"/>
    <w:rsid w:val="2B065545"/>
    <w:rsid w:val="2B065713"/>
    <w:rsid w:val="2B067BE7"/>
    <w:rsid w:val="2B076E3A"/>
    <w:rsid w:val="2B0A5203"/>
    <w:rsid w:val="2B0B1B03"/>
    <w:rsid w:val="2B1044E5"/>
    <w:rsid w:val="2B110340"/>
    <w:rsid w:val="2B1357B8"/>
    <w:rsid w:val="2B165956"/>
    <w:rsid w:val="2B183C6F"/>
    <w:rsid w:val="2B193698"/>
    <w:rsid w:val="2B195597"/>
    <w:rsid w:val="2B1A33CA"/>
    <w:rsid w:val="2B1A6A27"/>
    <w:rsid w:val="2B1E567C"/>
    <w:rsid w:val="2B1F1156"/>
    <w:rsid w:val="2B211B25"/>
    <w:rsid w:val="2B22254D"/>
    <w:rsid w:val="2B234D22"/>
    <w:rsid w:val="2B245389"/>
    <w:rsid w:val="2B254913"/>
    <w:rsid w:val="2B25527B"/>
    <w:rsid w:val="2B262712"/>
    <w:rsid w:val="2B266949"/>
    <w:rsid w:val="2B287437"/>
    <w:rsid w:val="2B2A715E"/>
    <w:rsid w:val="2B2B0B8D"/>
    <w:rsid w:val="2B2B3A5C"/>
    <w:rsid w:val="2B2B5AF1"/>
    <w:rsid w:val="2B2C7DEA"/>
    <w:rsid w:val="2B2D2CA0"/>
    <w:rsid w:val="2B2D7144"/>
    <w:rsid w:val="2B2E2B84"/>
    <w:rsid w:val="2B2E2CA4"/>
    <w:rsid w:val="2B2E6E34"/>
    <w:rsid w:val="2B2F6926"/>
    <w:rsid w:val="2B312367"/>
    <w:rsid w:val="2B3328C2"/>
    <w:rsid w:val="2B35387B"/>
    <w:rsid w:val="2B361B54"/>
    <w:rsid w:val="2B367FC6"/>
    <w:rsid w:val="2B3B53BD"/>
    <w:rsid w:val="2B3B5536"/>
    <w:rsid w:val="2B3C2EE3"/>
    <w:rsid w:val="2B3E4EAD"/>
    <w:rsid w:val="2B3E6C5B"/>
    <w:rsid w:val="2B4053BE"/>
    <w:rsid w:val="2B406E77"/>
    <w:rsid w:val="2B42137F"/>
    <w:rsid w:val="2B460090"/>
    <w:rsid w:val="2B47078E"/>
    <w:rsid w:val="2B485D2C"/>
    <w:rsid w:val="2B4938E9"/>
    <w:rsid w:val="2B4B5034"/>
    <w:rsid w:val="2B4C581C"/>
    <w:rsid w:val="2B4D50F0"/>
    <w:rsid w:val="2B4F0E68"/>
    <w:rsid w:val="2B520958"/>
    <w:rsid w:val="2B5559AB"/>
    <w:rsid w:val="2B5648EF"/>
    <w:rsid w:val="2B567F03"/>
    <w:rsid w:val="2B57190D"/>
    <w:rsid w:val="2B5979F1"/>
    <w:rsid w:val="2B5A5637"/>
    <w:rsid w:val="2B5B5A5F"/>
    <w:rsid w:val="2B5D05DC"/>
    <w:rsid w:val="2B5E6D9F"/>
    <w:rsid w:val="2B604E23"/>
    <w:rsid w:val="2B620B9B"/>
    <w:rsid w:val="2B62264C"/>
    <w:rsid w:val="2B642979"/>
    <w:rsid w:val="2B6568DD"/>
    <w:rsid w:val="2B66245D"/>
    <w:rsid w:val="2B667F60"/>
    <w:rsid w:val="2B6732DC"/>
    <w:rsid w:val="2B684295"/>
    <w:rsid w:val="2B6A0DDE"/>
    <w:rsid w:val="2B6A4679"/>
    <w:rsid w:val="2B6A5CA2"/>
    <w:rsid w:val="2B6B1F43"/>
    <w:rsid w:val="2B6B4BC6"/>
    <w:rsid w:val="2B6E2239"/>
    <w:rsid w:val="2B6F28F5"/>
    <w:rsid w:val="2B6F2DD8"/>
    <w:rsid w:val="2B715282"/>
    <w:rsid w:val="2B71730A"/>
    <w:rsid w:val="2B724D12"/>
    <w:rsid w:val="2B7335D1"/>
    <w:rsid w:val="2B745CB6"/>
    <w:rsid w:val="2B7608DD"/>
    <w:rsid w:val="2B776CAC"/>
    <w:rsid w:val="2B785FB3"/>
    <w:rsid w:val="2B786611"/>
    <w:rsid w:val="2B7871E6"/>
    <w:rsid w:val="2B787FC9"/>
    <w:rsid w:val="2B793C85"/>
    <w:rsid w:val="2B794137"/>
    <w:rsid w:val="2B797C70"/>
    <w:rsid w:val="2B7A4F7F"/>
    <w:rsid w:val="2B7D7783"/>
    <w:rsid w:val="2B7E68AD"/>
    <w:rsid w:val="2B8169CF"/>
    <w:rsid w:val="2B82123D"/>
    <w:rsid w:val="2B845E1E"/>
    <w:rsid w:val="2B870602"/>
    <w:rsid w:val="2B872C4E"/>
    <w:rsid w:val="2B877DF1"/>
    <w:rsid w:val="2B8B3979"/>
    <w:rsid w:val="2B8F2A67"/>
    <w:rsid w:val="2B8F544A"/>
    <w:rsid w:val="2B920D55"/>
    <w:rsid w:val="2B933461"/>
    <w:rsid w:val="2B94100A"/>
    <w:rsid w:val="2B944ACD"/>
    <w:rsid w:val="2B957702"/>
    <w:rsid w:val="2B9601FE"/>
    <w:rsid w:val="2B9B4B36"/>
    <w:rsid w:val="2BA271EA"/>
    <w:rsid w:val="2BA41FC6"/>
    <w:rsid w:val="2BA50A88"/>
    <w:rsid w:val="2BA60922"/>
    <w:rsid w:val="2BA60E82"/>
    <w:rsid w:val="2BA94DB0"/>
    <w:rsid w:val="2BAB4FF2"/>
    <w:rsid w:val="2BAC7C4F"/>
    <w:rsid w:val="2BAD5B8F"/>
    <w:rsid w:val="2BAE1FD0"/>
    <w:rsid w:val="2BAF13B9"/>
    <w:rsid w:val="2BB01E03"/>
    <w:rsid w:val="2BB164E2"/>
    <w:rsid w:val="2BB313F7"/>
    <w:rsid w:val="2BB37649"/>
    <w:rsid w:val="2BB57BB7"/>
    <w:rsid w:val="2BB62414"/>
    <w:rsid w:val="2BB774C0"/>
    <w:rsid w:val="2BB86B0B"/>
    <w:rsid w:val="2BBD1F34"/>
    <w:rsid w:val="2BBD2276"/>
    <w:rsid w:val="2BBD46E6"/>
    <w:rsid w:val="2BBE23F4"/>
    <w:rsid w:val="2BBE4437"/>
    <w:rsid w:val="2BC03B14"/>
    <w:rsid w:val="2BC170CB"/>
    <w:rsid w:val="2BC37160"/>
    <w:rsid w:val="2BC5709C"/>
    <w:rsid w:val="2BC74EA2"/>
    <w:rsid w:val="2BC843CA"/>
    <w:rsid w:val="2BCA6741"/>
    <w:rsid w:val="2BCB6ACF"/>
    <w:rsid w:val="2BCE6231"/>
    <w:rsid w:val="2BCE7FDF"/>
    <w:rsid w:val="2BD10A94"/>
    <w:rsid w:val="2BD10C18"/>
    <w:rsid w:val="2BD15D21"/>
    <w:rsid w:val="2BD31A99"/>
    <w:rsid w:val="2BD4136D"/>
    <w:rsid w:val="2BD47945"/>
    <w:rsid w:val="2BD63337"/>
    <w:rsid w:val="2BD76078"/>
    <w:rsid w:val="2BD83923"/>
    <w:rsid w:val="2BD92122"/>
    <w:rsid w:val="2BD96984"/>
    <w:rsid w:val="2BDB219E"/>
    <w:rsid w:val="2BDD46C6"/>
    <w:rsid w:val="2BDD6474"/>
    <w:rsid w:val="2BDE7BDD"/>
    <w:rsid w:val="2BE069BC"/>
    <w:rsid w:val="2BE11B17"/>
    <w:rsid w:val="2BE22EE5"/>
    <w:rsid w:val="2BE42462"/>
    <w:rsid w:val="2BE61F32"/>
    <w:rsid w:val="2BE64D82"/>
    <w:rsid w:val="2BE87FF9"/>
    <w:rsid w:val="2BEA293F"/>
    <w:rsid w:val="2BEB4B93"/>
    <w:rsid w:val="2BEB60AC"/>
    <w:rsid w:val="2BEC2B5B"/>
    <w:rsid w:val="2BEC46AF"/>
    <w:rsid w:val="2BEE480D"/>
    <w:rsid w:val="2BF043F9"/>
    <w:rsid w:val="2BF256C4"/>
    <w:rsid w:val="2BF40D8C"/>
    <w:rsid w:val="2BF41076"/>
    <w:rsid w:val="2BF533E7"/>
    <w:rsid w:val="2BF62D20"/>
    <w:rsid w:val="2BF81500"/>
    <w:rsid w:val="2BFB2D9E"/>
    <w:rsid w:val="2BFC063C"/>
    <w:rsid w:val="2BFE3CB2"/>
    <w:rsid w:val="2BFF71DE"/>
    <w:rsid w:val="2C051248"/>
    <w:rsid w:val="2C0609C8"/>
    <w:rsid w:val="2C082F6E"/>
    <w:rsid w:val="2C0B2FE1"/>
    <w:rsid w:val="2C0C60AC"/>
    <w:rsid w:val="2C0E2AD1"/>
    <w:rsid w:val="2C112329"/>
    <w:rsid w:val="2C1300E8"/>
    <w:rsid w:val="2C133908"/>
    <w:rsid w:val="2C13581B"/>
    <w:rsid w:val="2C1416F6"/>
    <w:rsid w:val="2C1443AA"/>
    <w:rsid w:val="2C151290"/>
    <w:rsid w:val="2C1520B2"/>
    <w:rsid w:val="2C155C0E"/>
    <w:rsid w:val="2C160293"/>
    <w:rsid w:val="2C1A1178"/>
    <w:rsid w:val="2C201ABF"/>
    <w:rsid w:val="2C22657D"/>
    <w:rsid w:val="2C254FE6"/>
    <w:rsid w:val="2C2936AC"/>
    <w:rsid w:val="2C2B4E88"/>
    <w:rsid w:val="2C2E0A7D"/>
    <w:rsid w:val="2C300C99"/>
    <w:rsid w:val="2C31056E"/>
    <w:rsid w:val="2C3167C0"/>
    <w:rsid w:val="2C321EF9"/>
    <w:rsid w:val="2C33078A"/>
    <w:rsid w:val="2C340A76"/>
    <w:rsid w:val="2C3F25B4"/>
    <w:rsid w:val="2C410AD4"/>
    <w:rsid w:val="2C414C55"/>
    <w:rsid w:val="2C421FF7"/>
    <w:rsid w:val="2C42277B"/>
    <w:rsid w:val="2C4402A1"/>
    <w:rsid w:val="2C441266"/>
    <w:rsid w:val="2C4525C2"/>
    <w:rsid w:val="2C462D13"/>
    <w:rsid w:val="2C471F68"/>
    <w:rsid w:val="2C493B09"/>
    <w:rsid w:val="2C4B2AB1"/>
    <w:rsid w:val="2C4B5AD3"/>
    <w:rsid w:val="2C4E4421"/>
    <w:rsid w:val="2C505482"/>
    <w:rsid w:val="2C5162C2"/>
    <w:rsid w:val="2C5243EF"/>
    <w:rsid w:val="2C5308A5"/>
    <w:rsid w:val="2C536736"/>
    <w:rsid w:val="2C553BE7"/>
    <w:rsid w:val="2C557E64"/>
    <w:rsid w:val="2C561EEC"/>
    <w:rsid w:val="2C567289"/>
    <w:rsid w:val="2C57575E"/>
    <w:rsid w:val="2C575A56"/>
    <w:rsid w:val="2C5A1872"/>
    <w:rsid w:val="2C5A3F68"/>
    <w:rsid w:val="2C5B55EB"/>
    <w:rsid w:val="2C5D5807"/>
    <w:rsid w:val="2C5D75B5"/>
    <w:rsid w:val="2C603BD8"/>
    <w:rsid w:val="2C610E53"/>
    <w:rsid w:val="2C621881"/>
    <w:rsid w:val="2C642F06"/>
    <w:rsid w:val="2C6556A5"/>
    <w:rsid w:val="2C663C74"/>
    <w:rsid w:val="2C666469"/>
    <w:rsid w:val="2C675C97"/>
    <w:rsid w:val="2C682FA5"/>
    <w:rsid w:val="2C684675"/>
    <w:rsid w:val="2C6B1CD2"/>
    <w:rsid w:val="2C6D5A4A"/>
    <w:rsid w:val="2C6E32EB"/>
    <w:rsid w:val="2C6E7E5D"/>
    <w:rsid w:val="2C701D58"/>
    <w:rsid w:val="2C7072E8"/>
    <w:rsid w:val="2C72738C"/>
    <w:rsid w:val="2C7333ED"/>
    <w:rsid w:val="2C742F1C"/>
    <w:rsid w:val="2C743E4F"/>
    <w:rsid w:val="2C75082E"/>
    <w:rsid w:val="2C76027C"/>
    <w:rsid w:val="2C76380F"/>
    <w:rsid w:val="2C7F535E"/>
    <w:rsid w:val="2C7F577D"/>
    <w:rsid w:val="2C83526D"/>
    <w:rsid w:val="2C837377"/>
    <w:rsid w:val="2C866B0B"/>
    <w:rsid w:val="2C8903AA"/>
    <w:rsid w:val="2C8B119D"/>
    <w:rsid w:val="2C8D1BD4"/>
    <w:rsid w:val="2C8E029E"/>
    <w:rsid w:val="2C8E1464"/>
    <w:rsid w:val="2C913DA5"/>
    <w:rsid w:val="2C941296"/>
    <w:rsid w:val="2C98708C"/>
    <w:rsid w:val="2C9A3593"/>
    <w:rsid w:val="2C9A6113"/>
    <w:rsid w:val="2C9A6D02"/>
    <w:rsid w:val="2C9A7102"/>
    <w:rsid w:val="2C9B3940"/>
    <w:rsid w:val="2CA10EC7"/>
    <w:rsid w:val="2CA13945"/>
    <w:rsid w:val="2CA15416"/>
    <w:rsid w:val="2CA174A1"/>
    <w:rsid w:val="2CA20A9B"/>
    <w:rsid w:val="2CA23219"/>
    <w:rsid w:val="2CA25474"/>
    <w:rsid w:val="2CA50CFB"/>
    <w:rsid w:val="2CA611AE"/>
    <w:rsid w:val="2CA62D0A"/>
    <w:rsid w:val="2CA70DE0"/>
    <w:rsid w:val="2CA77B9B"/>
    <w:rsid w:val="2CA84F33"/>
    <w:rsid w:val="2CAB792E"/>
    <w:rsid w:val="2CAC3151"/>
    <w:rsid w:val="2CB17563"/>
    <w:rsid w:val="2CB2481F"/>
    <w:rsid w:val="2CB371D5"/>
    <w:rsid w:val="2CB52ADF"/>
    <w:rsid w:val="2CB52F4D"/>
    <w:rsid w:val="2CBA55C3"/>
    <w:rsid w:val="2CBA651B"/>
    <w:rsid w:val="2CBC58D1"/>
    <w:rsid w:val="2CBD3C8F"/>
    <w:rsid w:val="2CBE1B6A"/>
    <w:rsid w:val="2CBE71D8"/>
    <w:rsid w:val="2CBF201D"/>
    <w:rsid w:val="2CC37ECB"/>
    <w:rsid w:val="2CC43190"/>
    <w:rsid w:val="2CC4587F"/>
    <w:rsid w:val="2CC779C2"/>
    <w:rsid w:val="2CC91DB2"/>
    <w:rsid w:val="2CC94C4A"/>
    <w:rsid w:val="2CCC3B5F"/>
    <w:rsid w:val="2CD24B05"/>
    <w:rsid w:val="2CD271D2"/>
    <w:rsid w:val="2CD535EF"/>
    <w:rsid w:val="2CD660DD"/>
    <w:rsid w:val="2CD723C8"/>
    <w:rsid w:val="2CD755B9"/>
    <w:rsid w:val="2CDA076D"/>
    <w:rsid w:val="2CDA60A0"/>
    <w:rsid w:val="2CDB5B26"/>
    <w:rsid w:val="2CDE06F5"/>
    <w:rsid w:val="2CDE23AC"/>
    <w:rsid w:val="2CDF1746"/>
    <w:rsid w:val="2CE33F5E"/>
    <w:rsid w:val="2CE37ABA"/>
    <w:rsid w:val="2CE455E0"/>
    <w:rsid w:val="2CE633A8"/>
    <w:rsid w:val="2CE66931"/>
    <w:rsid w:val="2CE73722"/>
    <w:rsid w:val="2CE74B9F"/>
    <w:rsid w:val="2CEA0994"/>
    <w:rsid w:val="2CEB503C"/>
    <w:rsid w:val="2CEB5AA8"/>
    <w:rsid w:val="2CEB686A"/>
    <w:rsid w:val="2CEC3168"/>
    <w:rsid w:val="2CF20AC9"/>
    <w:rsid w:val="2CF36F49"/>
    <w:rsid w:val="2CF52616"/>
    <w:rsid w:val="2CF70382"/>
    <w:rsid w:val="2CF73998"/>
    <w:rsid w:val="2CF75FA9"/>
    <w:rsid w:val="2CF81D67"/>
    <w:rsid w:val="2CF9552F"/>
    <w:rsid w:val="2CFA4E04"/>
    <w:rsid w:val="2CFC4A9F"/>
    <w:rsid w:val="2CFC74BB"/>
    <w:rsid w:val="2D0004F6"/>
    <w:rsid w:val="2D003D0C"/>
    <w:rsid w:val="2D006AE6"/>
    <w:rsid w:val="2D014005"/>
    <w:rsid w:val="2D02769E"/>
    <w:rsid w:val="2D030DB2"/>
    <w:rsid w:val="2D032C37"/>
    <w:rsid w:val="2D03414E"/>
    <w:rsid w:val="2D057E10"/>
    <w:rsid w:val="2D0775F1"/>
    <w:rsid w:val="2D08461F"/>
    <w:rsid w:val="2D0A39F6"/>
    <w:rsid w:val="2D0B05C5"/>
    <w:rsid w:val="2D0C7355"/>
    <w:rsid w:val="2D0D4B37"/>
    <w:rsid w:val="2D0F08AF"/>
    <w:rsid w:val="2D10479D"/>
    <w:rsid w:val="2D1063D5"/>
    <w:rsid w:val="2D122EB9"/>
    <w:rsid w:val="2D1418B0"/>
    <w:rsid w:val="2D144117"/>
    <w:rsid w:val="2D151C3D"/>
    <w:rsid w:val="2D1660E1"/>
    <w:rsid w:val="2D1934DC"/>
    <w:rsid w:val="2D1A62EC"/>
    <w:rsid w:val="2D1E4F96"/>
    <w:rsid w:val="2D210E48"/>
    <w:rsid w:val="2D2154E0"/>
    <w:rsid w:val="2D216834"/>
    <w:rsid w:val="2D233F4B"/>
    <w:rsid w:val="2D257983"/>
    <w:rsid w:val="2D265957"/>
    <w:rsid w:val="2D280A54"/>
    <w:rsid w:val="2D285E15"/>
    <w:rsid w:val="2D2D14BE"/>
    <w:rsid w:val="2D2D1DA5"/>
    <w:rsid w:val="2D2D2BFE"/>
    <w:rsid w:val="2D2D342B"/>
    <w:rsid w:val="2D2F0F51"/>
    <w:rsid w:val="2D306A77"/>
    <w:rsid w:val="2D3070C6"/>
    <w:rsid w:val="2D330463"/>
    <w:rsid w:val="2D3346F3"/>
    <w:rsid w:val="2D34475F"/>
    <w:rsid w:val="2D346567"/>
    <w:rsid w:val="2D3544F7"/>
    <w:rsid w:val="2D364384"/>
    <w:rsid w:val="2D3740B8"/>
    <w:rsid w:val="2D393B7E"/>
    <w:rsid w:val="2D3B44FE"/>
    <w:rsid w:val="2D3B5DAA"/>
    <w:rsid w:val="2D3D22E5"/>
    <w:rsid w:val="2D40315E"/>
    <w:rsid w:val="2D406B70"/>
    <w:rsid w:val="2D421F02"/>
    <w:rsid w:val="2D4253C2"/>
    <w:rsid w:val="2D430559"/>
    <w:rsid w:val="2D444BF9"/>
    <w:rsid w:val="2D4B38B1"/>
    <w:rsid w:val="2D4C0AC1"/>
    <w:rsid w:val="2D4C0B51"/>
    <w:rsid w:val="2D4D587B"/>
    <w:rsid w:val="2D4D7629"/>
    <w:rsid w:val="2D4E17CA"/>
    <w:rsid w:val="2D4F33A1"/>
    <w:rsid w:val="2D502C75"/>
    <w:rsid w:val="2D524C40"/>
    <w:rsid w:val="2D5452FE"/>
    <w:rsid w:val="2D5675AC"/>
    <w:rsid w:val="2D573875"/>
    <w:rsid w:val="2D574DFE"/>
    <w:rsid w:val="2D585397"/>
    <w:rsid w:val="2D5A5A08"/>
    <w:rsid w:val="2D5B6892"/>
    <w:rsid w:val="2D5B7F98"/>
    <w:rsid w:val="2D5D2A14"/>
    <w:rsid w:val="2D5F4CBB"/>
    <w:rsid w:val="2D652D46"/>
    <w:rsid w:val="2D66755D"/>
    <w:rsid w:val="2D6913A6"/>
    <w:rsid w:val="2D6D16A5"/>
    <w:rsid w:val="2D6F134E"/>
    <w:rsid w:val="2D70078C"/>
    <w:rsid w:val="2D711449"/>
    <w:rsid w:val="2D727CFA"/>
    <w:rsid w:val="2D764E50"/>
    <w:rsid w:val="2D77413D"/>
    <w:rsid w:val="2D7746A6"/>
    <w:rsid w:val="2D786D08"/>
    <w:rsid w:val="2D7921CC"/>
    <w:rsid w:val="2D7B7CF2"/>
    <w:rsid w:val="2D7C4FB3"/>
    <w:rsid w:val="2D7D3301"/>
    <w:rsid w:val="2D7F7EB5"/>
    <w:rsid w:val="2D807C69"/>
    <w:rsid w:val="2D8305CE"/>
    <w:rsid w:val="2D832FCF"/>
    <w:rsid w:val="2D83304B"/>
    <w:rsid w:val="2D864A37"/>
    <w:rsid w:val="2D8A3C60"/>
    <w:rsid w:val="2D8C1F00"/>
    <w:rsid w:val="2D8C4390"/>
    <w:rsid w:val="2D8E41AF"/>
    <w:rsid w:val="2D9139BA"/>
    <w:rsid w:val="2D945258"/>
    <w:rsid w:val="2D946C24"/>
    <w:rsid w:val="2D956230"/>
    <w:rsid w:val="2D960FD0"/>
    <w:rsid w:val="2D9A1DAD"/>
    <w:rsid w:val="2D9A5C0B"/>
    <w:rsid w:val="2D9B2143"/>
    <w:rsid w:val="2D9E7E85"/>
    <w:rsid w:val="2DA21F75"/>
    <w:rsid w:val="2DA252C2"/>
    <w:rsid w:val="2DA27975"/>
    <w:rsid w:val="2DA30EA2"/>
    <w:rsid w:val="2DA33405"/>
    <w:rsid w:val="2DA44ACF"/>
    <w:rsid w:val="2DA84CAA"/>
    <w:rsid w:val="2DAA682A"/>
    <w:rsid w:val="2DAC25A2"/>
    <w:rsid w:val="2DAF3E40"/>
    <w:rsid w:val="2DB1231B"/>
    <w:rsid w:val="2DB21EF1"/>
    <w:rsid w:val="2DB25117"/>
    <w:rsid w:val="2DB87198"/>
    <w:rsid w:val="2DBB4D01"/>
    <w:rsid w:val="2DBD3FAC"/>
    <w:rsid w:val="2DC312AE"/>
    <w:rsid w:val="2DC35C45"/>
    <w:rsid w:val="2DC856AB"/>
    <w:rsid w:val="2DCA2A28"/>
    <w:rsid w:val="2DCE2518"/>
    <w:rsid w:val="2DCF1C81"/>
    <w:rsid w:val="2DD12D63"/>
    <w:rsid w:val="2DD136C7"/>
    <w:rsid w:val="2DD218DC"/>
    <w:rsid w:val="2DD21C38"/>
    <w:rsid w:val="2DD30621"/>
    <w:rsid w:val="2DD33896"/>
    <w:rsid w:val="2DD42233"/>
    <w:rsid w:val="2DD44654"/>
    <w:rsid w:val="2DD66294"/>
    <w:rsid w:val="2DD7176A"/>
    <w:rsid w:val="2DD80C26"/>
    <w:rsid w:val="2DDB2E87"/>
    <w:rsid w:val="2DDB69E3"/>
    <w:rsid w:val="2DDD275B"/>
    <w:rsid w:val="2DDD7FB8"/>
    <w:rsid w:val="2DDE2CF3"/>
    <w:rsid w:val="2DDF2977"/>
    <w:rsid w:val="2DE00249"/>
    <w:rsid w:val="2DE16D9D"/>
    <w:rsid w:val="2DE24215"/>
    <w:rsid w:val="2DE25FC3"/>
    <w:rsid w:val="2DE44790"/>
    <w:rsid w:val="2DE5153C"/>
    <w:rsid w:val="2DE51610"/>
    <w:rsid w:val="2DE53D06"/>
    <w:rsid w:val="2DE60C79"/>
    <w:rsid w:val="2DE72646"/>
    <w:rsid w:val="2DE77219"/>
    <w:rsid w:val="2DE81100"/>
    <w:rsid w:val="2DEB4462"/>
    <w:rsid w:val="2DEB754B"/>
    <w:rsid w:val="2DEC6DA9"/>
    <w:rsid w:val="2DF126AA"/>
    <w:rsid w:val="2DF229EB"/>
    <w:rsid w:val="2DF950BB"/>
    <w:rsid w:val="2DFB52D7"/>
    <w:rsid w:val="2DFC1F88"/>
    <w:rsid w:val="2DFE5055"/>
    <w:rsid w:val="2E0212B6"/>
    <w:rsid w:val="2E047960"/>
    <w:rsid w:val="2E053A60"/>
    <w:rsid w:val="2E061FD3"/>
    <w:rsid w:val="2E093550"/>
    <w:rsid w:val="2E0A01C3"/>
    <w:rsid w:val="2E0B72D6"/>
    <w:rsid w:val="2E0C7D1E"/>
    <w:rsid w:val="2E0D764A"/>
    <w:rsid w:val="2E11706F"/>
    <w:rsid w:val="2E1275C8"/>
    <w:rsid w:val="2E144128"/>
    <w:rsid w:val="2E152297"/>
    <w:rsid w:val="2E165C6D"/>
    <w:rsid w:val="2E17190F"/>
    <w:rsid w:val="2E1819E5"/>
    <w:rsid w:val="2E1A3538"/>
    <w:rsid w:val="2E1B3283"/>
    <w:rsid w:val="2E1C7579"/>
    <w:rsid w:val="2E1D524D"/>
    <w:rsid w:val="2E1D71B4"/>
    <w:rsid w:val="2E1E4B22"/>
    <w:rsid w:val="2E1F461F"/>
    <w:rsid w:val="2E2006AB"/>
    <w:rsid w:val="2E2202F6"/>
    <w:rsid w:val="2E24038A"/>
    <w:rsid w:val="2E2465DC"/>
    <w:rsid w:val="2E262354"/>
    <w:rsid w:val="2E262979"/>
    <w:rsid w:val="2E2959A0"/>
    <w:rsid w:val="2E2A34C6"/>
    <w:rsid w:val="2E2B68A6"/>
    <w:rsid w:val="2E2C36E3"/>
    <w:rsid w:val="2E2E663C"/>
    <w:rsid w:val="2E2E771A"/>
    <w:rsid w:val="2E2F191C"/>
    <w:rsid w:val="2E3002C2"/>
    <w:rsid w:val="2E310FD0"/>
    <w:rsid w:val="2E334534"/>
    <w:rsid w:val="2E334A71"/>
    <w:rsid w:val="2E33681F"/>
    <w:rsid w:val="2E34556F"/>
    <w:rsid w:val="2E3472AB"/>
    <w:rsid w:val="2E360D9F"/>
    <w:rsid w:val="2E366F45"/>
    <w:rsid w:val="2E374561"/>
    <w:rsid w:val="2E3B3926"/>
    <w:rsid w:val="2E3B56D4"/>
    <w:rsid w:val="2E400F3C"/>
    <w:rsid w:val="2E431F20"/>
    <w:rsid w:val="2E46759E"/>
    <w:rsid w:val="2E496043"/>
    <w:rsid w:val="2E4A068F"/>
    <w:rsid w:val="2E4A629F"/>
    <w:rsid w:val="2E4C5B33"/>
    <w:rsid w:val="2E4F055C"/>
    <w:rsid w:val="2E5047F0"/>
    <w:rsid w:val="2E514CFC"/>
    <w:rsid w:val="2E516CA5"/>
    <w:rsid w:val="2E525AC4"/>
    <w:rsid w:val="2E552C39"/>
    <w:rsid w:val="2E56250D"/>
    <w:rsid w:val="2E5A09CB"/>
    <w:rsid w:val="2E5A4452"/>
    <w:rsid w:val="2E5A6160"/>
    <w:rsid w:val="2E5B5AA6"/>
    <w:rsid w:val="2E5D1199"/>
    <w:rsid w:val="2E605642"/>
    <w:rsid w:val="2E61338C"/>
    <w:rsid w:val="2E613A63"/>
    <w:rsid w:val="2E617F36"/>
    <w:rsid w:val="2E690493"/>
    <w:rsid w:val="2E6966E5"/>
    <w:rsid w:val="2E6A010B"/>
    <w:rsid w:val="2E6D0391"/>
    <w:rsid w:val="2E6D4943"/>
    <w:rsid w:val="2E6D6953"/>
    <w:rsid w:val="2E6D6E41"/>
    <w:rsid w:val="2E6F1BC9"/>
    <w:rsid w:val="2E750BE6"/>
    <w:rsid w:val="2E7671A6"/>
    <w:rsid w:val="2E7A4998"/>
    <w:rsid w:val="2E7B3175"/>
    <w:rsid w:val="2E7C2DE0"/>
    <w:rsid w:val="2E7D5CEC"/>
    <w:rsid w:val="2E8344CE"/>
    <w:rsid w:val="2E8452CD"/>
    <w:rsid w:val="2E872F93"/>
    <w:rsid w:val="2E882A64"/>
    <w:rsid w:val="2E886DB4"/>
    <w:rsid w:val="2E8948F0"/>
    <w:rsid w:val="2E8B665B"/>
    <w:rsid w:val="2E8D23D3"/>
    <w:rsid w:val="2E94175C"/>
    <w:rsid w:val="2E9574DA"/>
    <w:rsid w:val="2E9751BB"/>
    <w:rsid w:val="2E976DAE"/>
    <w:rsid w:val="2E980D78"/>
    <w:rsid w:val="2E981DA9"/>
    <w:rsid w:val="2E9A064C"/>
    <w:rsid w:val="2E9A328C"/>
    <w:rsid w:val="2E9A7907"/>
    <w:rsid w:val="2E9B6172"/>
    <w:rsid w:val="2E9D638E"/>
    <w:rsid w:val="2E9E47F4"/>
    <w:rsid w:val="2E9F138C"/>
    <w:rsid w:val="2EA119DB"/>
    <w:rsid w:val="2EA25753"/>
    <w:rsid w:val="2EA625A3"/>
    <w:rsid w:val="2EAB0AAB"/>
    <w:rsid w:val="2EAC037F"/>
    <w:rsid w:val="2EAE40F8"/>
    <w:rsid w:val="2EB07E70"/>
    <w:rsid w:val="2EB164D8"/>
    <w:rsid w:val="2EB3170E"/>
    <w:rsid w:val="2EB353C4"/>
    <w:rsid w:val="2EB55486"/>
    <w:rsid w:val="2EB82AC2"/>
    <w:rsid w:val="2EB91DEF"/>
    <w:rsid w:val="2EB9692B"/>
    <w:rsid w:val="2EBA43F7"/>
    <w:rsid w:val="2EBA6F40"/>
    <w:rsid w:val="2EBC3FB8"/>
    <w:rsid w:val="2EC35DF5"/>
    <w:rsid w:val="2EC61441"/>
    <w:rsid w:val="2EC70374"/>
    <w:rsid w:val="2ECA6A55"/>
    <w:rsid w:val="2ECC3FD3"/>
    <w:rsid w:val="2ECD78F2"/>
    <w:rsid w:val="2ECE662B"/>
    <w:rsid w:val="2ECF311B"/>
    <w:rsid w:val="2ECF3660"/>
    <w:rsid w:val="2ECF4D08"/>
    <w:rsid w:val="2ECF5146"/>
    <w:rsid w:val="2ED975A3"/>
    <w:rsid w:val="2EDA71AF"/>
    <w:rsid w:val="2EDB46CB"/>
    <w:rsid w:val="2EDE385A"/>
    <w:rsid w:val="2EDF19C0"/>
    <w:rsid w:val="2EDF69A7"/>
    <w:rsid w:val="2EE01BB5"/>
    <w:rsid w:val="2EE04A76"/>
    <w:rsid w:val="2EE144CD"/>
    <w:rsid w:val="2EE45D81"/>
    <w:rsid w:val="2EE47B19"/>
    <w:rsid w:val="2EE61AE3"/>
    <w:rsid w:val="2EE72961"/>
    <w:rsid w:val="2EE91D37"/>
    <w:rsid w:val="2EE94293"/>
    <w:rsid w:val="2EEE2BF6"/>
    <w:rsid w:val="2EF040C8"/>
    <w:rsid w:val="2EF30A9F"/>
    <w:rsid w:val="2EF44546"/>
    <w:rsid w:val="2EF509CA"/>
    <w:rsid w:val="2EF53AD4"/>
    <w:rsid w:val="2EF66639"/>
    <w:rsid w:val="2EF77B64"/>
    <w:rsid w:val="2EF83CA8"/>
    <w:rsid w:val="2EF92971"/>
    <w:rsid w:val="2EFA37D2"/>
    <w:rsid w:val="2EFC1307"/>
    <w:rsid w:val="2EFF2A80"/>
    <w:rsid w:val="2F01691D"/>
    <w:rsid w:val="2F017F75"/>
    <w:rsid w:val="2F032695"/>
    <w:rsid w:val="2F0809EF"/>
    <w:rsid w:val="2F0957D2"/>
    <w:rsid w:val="2F0B60C1"/>
    <w:rsid w:val="2F0B68FA"/>
    <w:rsid w:val="2F0B6A77"/>
    <w:rsid w:val="2F0E4A59"/>
    <w:rsid w:val="2F10090E"/>
    <w:rsid w:val="2F1138FA"/>
    <w:rsid w:val="2F146FFE"/>
    <w:rsid w:val="2F183EF2"/>
    <w:rsid w:val="2F1A353B"/>
    <w:rsid w:val="2F1A41ED"/>
    <w:rsid w:val="2F1C1A5B"/>
    <w:rsid w:val="2F1C2A3C"/>
    <w:rsid w:val="2F1F5CE7"/>
    <w:rsid w:val="2F2052B1"/>
    <w:rsid w:val="2F212237"/>
    <w:rsid w:val="2F212B1B"/>
    <w:rsid w:val="2F277E16"/>
    <w:rsid w:val="2F2A29E2"/>
    <w:rsid w:val="2F2A7C22"/>
    <w:rsid w:val="2F2B1BEC"/>
    <w:rsid w:val="2F2B2197"/>
    <w:rsid w:val="2F2B5748"/>
    <w:rsid w:val="2F2C1714"/>
    <w:rsid w:val="2F2D7712"/>
    <w:rsid w:val="2F2F048D"/>
    <w:rsid w:val="2F307DD8"/>
    <w:rsid w:val="2F33035F"/>
    <w:rsid w:val="2F3314F6"/>
    <w:rsid w:val="2F3446AB"/>
    <w:rsid w:val="2F3575A9"/>
    <w:rsid w:val="2F364FCD"/>
    <w:rsid w:val="2F3740ED"/>
    <w:rsid w:val="2F394A87"/>
    <w:rsid w:val="2F3A006E"/>
    <w:rsid w:val="2F3A26BF"/>
    <w:rsid w:val="2F3A4BA2"/>
    <w:rsid w:val="2F3A662C"/>
    <w:rsid w:val="2F3B2A6E"/>
    <w:rsid w:val="2F3C6DC2"/>
    <w:rsid w:val="2F3C7955"/>
    <w:rsid w:val="2F414F6C"/>
    <w:rsid w:val="2F43624E"/>
    <w:rsid w:val="2F4D3910"/>
    <w:rsid w:val="2F4E112C"/>
    <w:rsid w:val="2F4F7689"/>
    <w:rsid w:val="2F520713"/>
    <w:rsid w:val="2F5226C6"/>
    <w:rsid w:val="2F527179"/>
    <w:rsid w:val="2F5344C7"/>
    <w:rsid w:val="2F53777A"/>
    <w:rsid w:val="2F54283B"/>
    <w:rsid w:val="2F590507"/>
    <w:rsid w:val="2F5B427F"/>
    <w:rsid w:val="2F5B549F"/>
    <w:rsid w:val="2F5C5965"/>
    <w:rsid w:val="2F614070"/>
    <w:rsid w:val="2F641CB6"/>
    <w:rsid w:val="2F6501FB"/>
    <w:rsid w:val="2F6616D3"/>
    <w:rsid w:val="2F67061E"/>
    <w:rsid w:val="2F682952"/>
    <w:rsid w:val="2F68699C"/>
    <w:rsid w:val="2F6B4B51"/>
    <w:rsid w:val="2F6C2B59"/>
    <w:rsid w:val="2F6E69CB"/>
    <w:rsid w:val="2F705E45"/>
    <w:rsid w:val="2F793447"/>
    <w:rsid w:val="2F7B66D0"/>
    <w:rsid w:val="2F7C63DF"/>
    <w:rsid w:val="2F7D2448"/>
    <w:rsid w:val="2F7E5172"/>
    <w:rsid w:val="2F807842"/>
    <w:rsid w:val="2F83220D"/>
    <w:rsid w:val="2F8337D6"/>
    <w:rsid w:val="2F841D58"/>
    <w:rsid w:val="2F845A4B"/>
    <w:rsid w:val="2F850ADD"/>
    <w:rsid w:val="2F897353"/>
    <w:rsid w:val="2F897553"/>
    <w:rsid w:val="2F8A35B4"/>
    <w:rsid w:val="2F8B146B"/>
    <w:rsid w:val="2F8B61E7"/>
    <w:rsid w:val="2F8C0DBB"/>
    <w:rsid w:val="2F8C48FA"/>
    <w:rsid w:val="2F8D01B1"/>
    <w:rsid w:val="2F8D29E4"/>
    <w:rsid w:val="2F8F6204"/>
    <w:rsid w:val="2F923A19"/>
    <w:rsid w:val="2F936CFE"/>
    <w:rsid w:val="2F9432ED"/>
    <w:rsid w:val="2F957310"/>
    <w:rsid w:val="2F966F86"/>
    <w:rsid w:val="2F9706CB"/>
    <w:rsid w:val="2F990904"/>
    <w:rsid w:val="2F9916DA"/>
    <w:rsid w:val="2F994DA8"/>
    <w:rsid w:val="2F99696C"/>
    <w:rsid w:val="2F9A6713"/>
    <w:rsid w:val="2F9C6480"/>
    <w:rsid w:val="2F9E4AD1"/>
    <w:rsid w:val="2FA1092A"/>
    <w:rsid w:val="2FA15A0A"/>
    <w:rsid w:val="2FA43801"/>
    <w:rsid w:val="2FA5374C"/>
    <w:rsid w:val="2FA66A7B"/>
    <w:rsid w:val="2FA77F0B"/>
    <w:rsid w:val="2FA85820"/>
    <w:rsid w:val="2FA953FC"/>
    <w:rsid w:val="2FA972FC"/>
    <w:rsid w:val="2FAB079C"/>
    <w:rsid w:val="2FAC28ED"/>
    <w:rsid w:val="2FAE6B0C"/>
    <w:rsid w:val="2FAF0127"/>
    <w:rsid w:val="2FAF18EC"/>
    <w:rsid w:val="2FAF408F"/>
    <w:rsid w:val="2FB034F5"/>
    <w:rsid w:val="2FB219C5"/>
    <w:rsid w:val="2FB4573E"/>
    <w:rsid w:val="2FB55C81"/>
    <w:rsid w:val="2FB6079E"/>
    <w:rsid w:val="2FB92D54"/>
    <w:rsid w:val="2FB93C3E"/>
    <w:rsid w:val="2FBA2097"/>
    <w:rsid w:val="2FBA2E31"/>
    <w:rsid w:val="2FBD0A5E"/>
    <w:rsid w:val="2FBE7790"/>
    <w:rsid w:val="2FBF662F"/>
    <w:rsid w:val="2FC912BA"/>
    <w:rsid w:val="2FCA4F61"/>
    <w:rsid w:val="2FCB2C94"/>
    <w:rsid w:val="2FCC6F2B"/>
    <w:rsid w:val="2FCD1DB8"/>
    <w:rsid w:val="2FCF67F2"/>
    <w:rsid w:val="2FD22068"/>
    <w:rsid w:val="2FD2321B"/>
    <w:rsid w:val="2FD23E16"/>
    <w:rsid w:val="2FD302BA"/>
    <w:rsid w:val="2FD60EEB"/>
    <w:rsid w:val="2FD667BA"/>
    <w:rsid w:val="2FD93992"/>
    <w:rsid w:val="2FDB716E"/>
    <w:rsid w:val="2FDE1EA5"/>
    <w:rsid w:val="2FE029D7"/>
    <w:rsid w:val="2FE14599"/>
    <w:rsid w:val="2FE16210"/>
    <w:rsid w:val="2FE336DB"/>
    <w:rsid w:val="2FE41FEA"/>
    <w:rsid w:val="2FE72A13"/>
    <w:rsid w:val="2FE76BA0"/>
    <w:rsid w:val="2FE8064D"/>
    <w:rsid w:val="2FEA3D1F"/>
    <w:rsid w:val="2FEA5460"/>
    <w:rsid w:val="2FEA75AA"/>
    <w:rsid w:val="2FEC137B"/>
    <w:rsid w:val="2FF10740"/>
    <w:rsid w:val="2FF153B0"/>
    <w:rsid w:val="2FF16992"/>
    <w:rsid w:val="2FF21E67"/>
    <w:rsid w:val="2FF31DB3"/>
    <w:rsid w:val="2FF664F2"/>
    <w:rsid w:val="2FF67D26"/>
    <w:rsid w:val="2FF722FC"/>
    <w:rsid w:val="2FF817EF"/>
    <w:rsid w:val="2FFD70E5"/>
    <w:rsid w:val="2FFF10AF"/>
    <w:rsid w:val="2FFF61F5"/>
    <w:rsid w:val="30007590"/>
    <w:rsid w:val="300264A9"/>
    <w:rsid w:val="300541EB"/>
    <w:rsid w:val="300872A7"/>
    <w:rsid w:val="300C557A"/>
    <w:rsid w:val="30136C5B"/>
    <w:rsid w:val="30140A75"/>
    <w:rsid w:val="30195D8F"/>
    <w:rsid w:val="301B1693"/>
    <w:rsid w:val="301B7CFD"/>
    <w:rsid w:val="301E4594"/>
    <w:rsid w:val="302063B0"/>
    <w:rsid w:val="30230B30"/>
    <w:rsid w:val="302613A0"/>
    <w:rsid w:val="30282D2D"/>
    <w:rsid w:val="30285E8B"/>
    <w:rsid w:val="30297EDA"/>
    <w:rsid w:val="302C03EF"/>
    <w:rsid w:val="302C5C1C"/>
    <w:rsid w:val="302E2470"/>
    <w:rsid w:val="302F3016"/>
    <w:rsid w:val="303164B3"/>
    <w:rsid w:val="30321033"/>
    <w:rsid w:val="30331ECF"/>
    <w:rsid w:val="30332B06"/>
    <w:rsid w:val="30335D48"/>
    <w:rsid w:val="30340D22"/>
    <w:rsid w:val="30342E59"/>
    <w:rsid w:val="30343D19"/>
    <w:rsid w:val="30360848"/>
    <w:rsid w:val="3037780B"/>
    <w:rsid w:val="303915E0"/>
    <w:rsid w:val="303960D5"/>
    <w:rsid w:val="303B19BB"/>
    <w:rsid w:val="303B24C1"/>
    <w:rsid w:val="30420F9B"/>
    <w:rsid w:val="304341E1"/>
    <w:rsid w:val="3043586B"/>
    <w:rsid w:val="304417EB"/>
    <w:rsid w:val="30446CA3"/>
    <w:rsid w:val="3045283A"/>
    <w:rsid w:val="304545E8"/>
    <w:rsid w:val="3049057C"/>
    <w:rsid w:val="304A7E50"/>
    <w:rsid w:val="304E5B92"/>
    <w:rsid w:val="304E6033"/>
    <w:rsid w:val="304F36B8"/>
    <w:rsid w:val="304F6181"/>
    <w:rsid w:val="30531916"/>
    <w:rsid w:val="305A0290"/>
    <w:rsid w:val="305D2219"/>
    <w:rsid w:val="305E56A9"/>
    <w:rsid w:val="305F34E0"/>
    <w:rsid w:val="305F38FB"/>
    <w:rsid w:val="30620BA0"/>
    <w:rsid w:val="30621B3B"/>
    <w:rsid w:val="30637A5C"/>
    <w:rsid w:val="3064040F"/>
    <w:rsid w:val="306419A0"/>
    <w:rsid w:val="30670A02"/>
    <w:rsid w:val="30676C54"/>
    <w:rsid w:val="30677CAD"/>
    <w:rsid w:val="306E1D90"/>
    <w:rsid w:val="306F78B6"/>
    <w:rsid w:val="30711FD2"/>
    <w:rsid w:val="307419CD"/>
    <w:rsid w:val="30752C5C"/>
    <w:rsid w:val="307777B8"/>
    <w:rsid w:val="30780794"/>
    <w:rsid w:val="307809F1"/>
    <w:rsid w:val="30780C48"/>
    <w:rsid w:val="307A0735"/>
    <w:rsid w:val="307A2A44"/>
    <w:rsid w:val="307B4F1F"/>
    <w:rsid w:val="307D6DD7"/>
    <w:rsid w:val="3082583C"/>
    <w:rsid w:val="30843362"/>
    <w:rsid w:val="30865B3B"/>
    <w:rsid w:val="30894E1C"/>
    <w:rsid w:val="308F1867"/>
    <w:rsid w:val="30915D32"/>
    <w:rsid w:val="3092315E"/>
    <w:rsid w:val="30925F54"/>
    <w:rsid w:val="309612E7"/>
    <w:rsid w:val="30964F3A"/>
    <w:rsid w:val="30997C37"/>
    <w:rsid w:val="309C1A81"/>
    <w:rsid w:val="309C4B4F"/>
    <w:rsid w:val="309D2676"/>
    <w:rsid w:val="309D61D2"/>
    <w:rsid w:val="309F3B16"/>
    <w:rsid w:val="309F44FF"/>
    <w:rsid w:val="309F63EE"/>
    <w:rsid w:val="30A01D57"/>
    <w:rsid w:val="30A10E8B"/>
    <w:rsid w:val="30A21A3A"/>
    <w:rsid w:val="30A43A04"/>
    <w:rsid w:val="30A56CD5"/>
    <w:rsid w:val="30A61108"/>
    <w:rsid w:val="30A75156"/>
    <w:rsid w:val="30A92DC8"/>
    <w:rsid w:val="30A9726C"/>
    <w:rsid w:val="30AC28B9"/>
    <w:rsid w:val="30AC4667"/>
    <w:rsid w:val="30AE4883"/>
    <w:rsid w:val="30B05F05"/>
    <w:rsid w:val="30B26121"/>
    <w:rsid w:val="30B34411"/>
    <w:rsid w:val="30B40C26"/>
    <w:rsid w:val="30B416AE"/>
    <w:rsid w:val="30B5662C"/>
    <w:rsid w:val="30B57CC4"/>
    <w:rsid w:val="30B8300C"/>
    <w:rsid w:val="30B86334"/>
    <w:rsid w:val="30BA4F80"/>
    <w:rsid w:val="30BB58BF"/>
    <w:rsid w:val="30BF0D58"/>
    <w:rsid w:val="30C61622"/>
    <w:rsid w:val="30C61B6F"/>
    <w:rsid w:val="30CD2F5B"/>
    <w:rsid w:val="30D009A6"/>
    <w:rsid w:val="30D024C9"/>
    <w:rsid w:val="30D065A7"/>
    <w:rsid w:val="30D31EF8"/>
    <w:rsid w:val="30D65CF6"/>
    <w:rsid w:val="30D7101B"/>
    <w:rsid w:val="30D756C5"/>
    <w:rsid w:val="30D81F7D"/>
    <w:rsid w:val="30DA11D4"/>
    <w:rsid w:val="30DA3063"/>
    <w:rsid w:val="30DC4957"/>
    <w:rsid w:val="30DC4F4C"/>
    <w:rsid w:val="30DD2A72"/>
    <w:rsid w:val="30DD3FAE"/>
    <w:rsid w:val="30DD6467"/>
    <w:rsid w:val="30DE1032"/>
    <w:rsid w:val="30E0658C"/>
    <w:rsid w:val="30E06C3C"/>
    <w:rsid w:val="30E335E0"/>
    <w:rsid w:val="30E410B6"/>
    <w:rsid w:val="30E43E01"/>
    <w:rsid w:val="30E66A06"/>
    <w:rsid w:val="30E91417"/>
    <w:rsid w:val="30E956CA"/>
    <w:rsid w:val="30ED5299"/>
    <w:rsid w:val="30ED645B"/>
    <w:rsid w:val="30EE1123"/>
    <w:rsid w:val="30F33128"/>
    <w:rsid w:val="30F44BED"/>
    <w:rsid w:val="30F524B2"/>
    <w:rsid w:val="30F6259A"/>
    <w:rsid w:val="30FA7AC8"/>
    <w:rsid w:val="30FB25C8"/>
    <w:rsid w:val="30FD3B8A"/>
    <w:rsid w:val="30FE70F0"/>
    <w:rsid w:val="31014620"/>
    <w:rsid w:val="3105077E"/>
    <w:rsid w:val="31055B72"/>
    <w:rsid w:val="310B19E4"/>
    <w:rsid w:val="310F3573"/>
    <w:rsid w:val="31101468"/>
    <w:rsid w:val="31107375"/>
    <w:rsid w:val="31115856"/>
    <w:rsid w:val="31153BD8"/>
    <w:rsid w:val="311566B0"/>
    <w:rsid w:val="31171306"/>
    <w:rsid w:val="31172428"/>
    <w:rsid w:val="311836BC"/>
    <w:rsid w:val="31197F4E"/>
    <w:rsid w:val="311A57AA"/>
    <w:rsid w:val="311B012D"/>
    <w:rsid w:val="311B7E73"/>
    <w:rsid w:val="311E37B6"/>
    <w:rsid w:val="311F308B"/>
    <w:rsid w:val="31210D22"/>
    <w:rsid w:val="312238C0"/>
    <w:rsid w:val="31225B77"/>
    <w:rsid w:val="312312C2"/>
    <w:rsid w:val="312524A7"/>
    <w:rsid w:val="31270333"/>
    <w:rsid w:val="31274624"/>
    <w:rsid w:val="31280191"/>
    <w:rsid w:val="312843E6"/>
    <w:rsid w:val="312856A5"/>
    <w:rsid w:val="31286700"/>
    <w:rsid w:val="31286732"/>
    <w:rsid w:val="31297D1B"/>
    <w:rsid w:val="312A2056"/>
    <w:rsid w:val="312D57A8"/>
    <w:rsid w:val="312F7772"/>
    <w:rsid w:val="31305298"/>
    <w:rsid w:val="31321010"/>
    <w:rsid w:val="31326337"/>
    <w:rsid w:val="313647EB"/>
    <w:rsid w:val="313703D4"/>
    <w:rsid w:val="313C4787"/>
    <w:rsid w:val="313E5C07"/>
    <w:rsid w:val="313F44DB"/>
    <w:rsid w:val="314049D6"/>
    <w:rsid w:val="31414A8F"/>
    <w:rsid w:val="31442AF1"/>
    <w:rsid w:val="314468A3"/>
    <w:rsid w:val="31452131"/>
    <w:rsid w:val="31462D0D"/>
    <w:rsid w:val="3146720F"/>
    <w:rsid w:val="31480833"/>
    <w:rsid w:val="314836BF"/>
    <w:rsid w:val="314942A1"/>
    <w:rsid w:val="314956F5"/>
    <w:rsid w:val="31497F4C"/>
    <w:rsid w:val="314D5E4A"/>
    <w:rsid w:val="314E1F19"/>
    <w:rsid w:val="31505D6B"/>
    <w:rsid w:val="315115D8"/>
    <w:rsid w:val="315216B2"/>
    <w:rsid w:val="31532D34"/>
    <w:rsid w:val="31556AAC"/>
    <w:rsid w:val="31570A76"/>
    <w:rsid w:val="31592A40"/>
    <w:rsid w:val="315D0A78"/>
    <w:rsid w:val="315E3BB3"/>
    <w:rsid w:val="315F5430"/>
    <w:rsid w:val="3160503C"/>
    <w:rsid w:val="316157B6"/>
    <w:rsid w:val="31624104"/>
    <w:rsid w:val="31625430"/>
    <w:rsid w:val="31627E2E"/>
    <w:rsid w:val="3163199F"/>
    <w:rsid w:val="316737CE"/>
    <w:rsid w:val="316A07AA"/>
    <w:rsid w:val="316A2349"/>
    <w:rsid w:val="316B45F9"/>
    <w:rsid w:val="316B651C"/>
    <w:rsid w:val="316C46F8"/>
    <w:rsid w:val="316D2048"/>
    <w:rsid w:val="316E496E"/>
    <w:rsid w:val="316E7B6E"/>
    <w:rsid w:val="3171695A"/>
    <w:rsid w:val="31717D8A"/>
    <w:rsid w:val="31772101"/>
    <w:rsid w:val="31792206"/>
    <w:rsid w:val="31795DFB"/>
    <w:rsid w:val="31796544"/>
    <w:rsid w:val="317A6C19"/>
    <w:rsid w:val="317B0F6A"/>
    <w:rsid w:val="317C445A"/>
    <w:rsid w:val="317D0713"/>
    <w:rsid w:val="317D1B9C"/>
    <w:rsid w:val="317F5811"/>
    <w:rsid w:val="31821EA1"/>
    <w:rsid w:val="318404BB"/>
    <w:rsid w:val="3186135C"/>
    <w:rsid w:val="31880C30"/>
    <w:rsid w:val="318B6C1C"/>
    <w:rsid w:val="318C15C2"/>
    <w:rsid w:val="318D1C0D"/>
    <w:rsid w:val="318D7E61"/>
    <w:rsid w:val="318E2CF5"/>
    <w:rsid w:val="318E3ACA"/>
    <w:rsid w:val="3190509A"/>
    <w:rsid w:val="319054C4"/>
    <w:rsid w:val="31922437"/>
    <w:rsid w:val="31933EC9"/>
    <w:rsid w:val="319718BF"/>
    <w:rsid w:val="319770C5"/>
    <w:rsid w:val="31992E3D"/>
    <w:rsid w:val="319D5E4B"/>
    <w:rsid w:val="319D5FE3"/>
    <w:rsid w:val="319E2731"/>
    <w:rsid w:val="319E65FF"/>
    <w:rsid w:val="319F0454"/>
    <w:rsid w:val="31A12E98"/>
    <w:rsid w:val="31A21698"/>
    <w:rsid w:val="31A240F4"/>
    <w:rsid w:val="31A35A6A"/>
    <w:rsid w:val="31A71BB0"/>
    <w:rsid w:val="31A81525"/>
    <w:rsid w:val="31AF08B2"/>
    <w:rsid w:val="31B01FC3"/>
    <w:rsid w:val="31B163D9"/>
    <w:rsid w:val="31B90F57"/>
    <w:rsid w:val="31BE7228"/>
    <w:rsid w:val="31C01D9C"/>
    <w:rsid w:val="31C12CBD"/>
    <w:rsid w:val="31C143D8"/>
    <w:rsid w:val="31C224E3"/>
    <w:rsid w:val="31C36052"/>
    <w:rsid w:val="31C43F6A"/>
    <w:rsid w:val="31C678DA"/>
    <w:rsid w:val="31C773BE"/>
    <w:rsid w:val="31C84C92"/>
    <w:rsid w:val="31C8630E"/>
    <w:rsid w:val="31CA573B"/>
    <w:rsid w:val="31CA5F34"/>
    <w:rsid w:val="31CB532E"/>
    <w:rsid w:val="31CB5EAD"/>
    <w:rsid w:val="31CC3790"/>
    <w:rsid w:val="31CD6F8B"/>
    <w:rsid w:val="31CF64DC"/>
    <w:rsid w:val="31D010A8"/>
    <w:rsid w:val="31D02A3D"/>
    <w:rsid w:val="31D12197"/>
    <w:rsid w:val="31D13818"/>
    <w:rsid w:val="31D245A1"/>
    <w:rsid w:val="31D4377F"/>
    <w:rsid w:val="31DB4A11"/>
    <w:rsid w:val="31DC0F7C"/>
    <w:rsid w:val="31DD6918"/>
    <w:rsid w:val="31E00A6C"/>
    <w:rsid w:val="31E0514C"/>
    <w:rsid w:val="31E10F22"/>
    <w:rsid w:val="31E11070"/>
    <w:rsid w:val="31E25859"/>
    <w:rsid w:val="31E47910"/>
    <w:rsid w:val="31E65FBC"/>
    <w:rsid w:val="31EA18EB"/>
    <w:rsid w:val="31EB0437"/>
    <w:rsid w:val="31EC5A4E"/>
    <w:rsid w:val="31EC73C3"/>
    <w:rsid w:val="31ED3189"/>
    <w:rsid w:val="31ED7FEA"/>
    <w:rsid w:val="31EE2108"/>
    <w:rsid w:val="31EE4B36"/>
    <w:rsid w:val="31EE6258"/>
    <w:rsid w:val="31F247BE"/>
    <w:rsid w:val="31F35F89"/>
    <w:rsid w:val="31F369F1"/>
    <w:rsid w:val="31F44517"/>
    <w:rsid w:val="31F6203D"/>
    <w:rsid w:val="31F6646D"/>
    <w:rsid w:val="31FC33CC"/>
    <w:rsid w:val="31FE7144"/>
    <w:rsid w:val="320077FC"/>
    <w:rsid w:val="32011632"/>
    <w:rsid w:val="32015E52"/>
    <w:rsid w:val="320515F0"/>
    <w:rsid w:val="32067B88"/>
    <w:rsid w:val="32073B23"/>
    <w:rsid w:val="32076CB2"/>
    <w:rsid w:val="320C0D57"/>
    <w:rsid w:val="320C7AB3"/>
    <w:rsid w:val="320F4EAD"/>
    <w:rsid w:val="321149C8"/>
    <w:rsid w:val="32130E41"/>
    <w:rsid w:val="32133C80"/>
    <w:rsid w:val="32140715"/>
    <w:rsid w:val="321672BF"/>
    <w:rsid w:val="32167536"/>
    <w:rsid w:val="32180AC6"/>
    <w:rsid w:val="32193F7E"/>
    <w:rsid w:val="32195D2C"/>
    <w:rsid w:val="32201EB1"/>
    <w:rsid w:val="32226FF0"/>
    <w:rsid w:val="32236BAB"/>
    <w:rsid w:val="322572D0"/>
    <w:rsid w:val="32273586"/>
    <w:rsid w:val="322748ED"/>
    <w:rsid w:val="3228778C"/>
    <w:rsid w:val="32292413"/>
    <w:rsid w:val="322A42A7"/>
    <w:rsid w:val="322D17D7"/>
    <w:rsid w:val="322E7A1B"/>
    <w:rsid w:val="32315FD5"/>
    <w:rsid w:val="32317519"/>
    <w:rsid w:val="3232281C"/>
    <w:rsid w:val="32326167"/>
    <w:rsid w:val="32333124"/>
    <w:rsid w:val="32335040"/>
    <w:rsid w:val="32337D41"/>
    <w:rsid w:val="32340B71"/>
    <w:rsid w:val="32357A85"/>
    <w:rsid w:val="32384404"/>
    <w:rsid w:val="323F180D"/>
    <w:rsid w:val="323F1C36"/>
    <w:rsid w:val="3240586E"/>
    <w:rsid w:val="324419CA"/>
    <w:rsid w:val="3244724D"/>
    <w:rsid w:val="3247623F"/>
    <w:rsid w:val="32476D3D"/>
    <w:rsid w:val="324907BC"/>
    <w:rsid w:val="324A2389"/>
    <w:rsid w:val="324A67B5"/>
    <w:rsid w:val="324B1D1F"/>
    <w:rsid w:val="324B54F3"/>
    <w:rsid w:val="324C2702"/>
    <w:rsid w:val="324C4A75"/>
    <w:rsid w:val="324C6101"/>
    <w:rsid w:val="324F174E"/>
    <w:rsid w:val="324F5BF1"/>
    <w:rsid w:val="325112B7"/>
    <w:rsid w:val="32526CDC"/>
    <w:rsid w:val="325517CD"/>
    <w:rsid w:val="32561DED"/>
    <w:rsid w:val="32565D7D"/>
    <w:rsid w:val="325705E7"/>
    <w:rsid w:val="32582CF8"/>
    <w:rsid w:val="32585234"/>
    <w:rsid w:val="325B6344"/>
    <w:rsid w:val="325D030E"/>
    <w:rsid w:val="325F1790"/>
    <w:rsid w:val="325F4087"/>
    <w:rsid w:val="3260395B"/>
    <w:rsid w:val="32655415"/>
    <w:rsid w:val="3267118D"/>
    <w:rsid w:val="32672F3B"/>
    <w:rsid w:val="32682108"/>
    <w:rsid w:val="326A6587"/>
    <w:rsid w:val="326A72D8"/>
    <w:rsid w:val="326B3300"/>
    <w:rsid w:val="326B3CE9"/>
    <w:rsid w:val="32704FB7"/>
    <w:rsid w:val="3274548D"/>
    <w:rsid w:val="32752FAD"/>
    <w:rsid w:val="32755658"/>
    <w:rsid w:val="32760578"/>
    <w:rsid w:val="327635CB"/>
    <w:rsid w:val="32780143"/>
    <w:rsid w:val="327C2D11"/>
    <w:rsid w:val="327D62BB"/>
    <w:rsid w:val="328117C6"/>
    <w:rsid w:val="32816997"/>
    <w:rsid w:val="328238D1"/>
    <w:rsid w:val="32843AED"/>
    <w:rsid w:val="32870C36"/>
    <w:rsid w:val="32892EB1"/>
    <w:rsid w:val="32894C0B"/>
    <w:rsid w:val="32894C60"/>
    <w:rsid w:val="32897677"/>
    <w:rsid w:val="328A09D8"/>
    <w:rsid w:val="328D3E75"/>
    <w:rsid w:val="328E083B"/>
    <w:rsid w:val="32911D66"/>
    <w:rsid w:val="32914955"/>
    <w:rsid w:val="32936470"/>
    <w:rsid w:val="329667B9"/>
    <w:rsid w:val="32973A05"/>
    <w:rsid w:val="3297522B"/>
    <w:rsid w:val="32990C1B"/>
    <w:rsid w:val="329A4E1D"/>
    <w:rsid w:val="329B2BE5"/>
    <w:rsid w:val="329C7A9A"/>
    <w:rsid w:val="329D2AEB"/>
    <w:rsid w:val="32A01FA9"/>
    <w:rsid w:val="32A203C1"/>
    <w:rsid w:val="32A20948"/>
    <w:rsid w:val="32A21668"/>
    <w:rsid w:val="32A26CEE"/>
    <w:rsid w:val="32A45F3D"/>
    <w:rsid w:val="32A73338"/>
    <w:rsid w:val="32A75EAC"/>
    <w:rsid w:val="32AB5B3C"/>
    <w:rsid w:val="32AC08B4"/>
    <w:rsid w:val="32AC6713"/>
    <w:rsid w:val="32AF227A"/>
    <w:rsid w:val="32B141B6"/>
    <w:rsid w:val="32B36180"/>
    <w:rsid w:val="32B42094"/>
    <w:rsid w:val="32B43F0B"/>
    <w:rsid w:val="32B76771"/>
    <w:rsid w:val="32B83797"/>
    <w:rsid w:val="32B876D8"/>
    <w:rsid w:val="32B922FB"/>
    <w:rsid w:val="32B958DF"/>
    <w:rsid w:val="32BB7FF6"/>
    <w:rsid w:val="32BD6FFF"/>
    <w:rsid w:val="32C22B5C"/>
    <w:rsid w:val="32C24615"/>
    <w:rsid w:val="32C33F44"/>
    <w:rsid w:val="32C3480F"/>
    <w:rsid w:val="32C4038E"/>
    <w:rsid w:val="32C57C62"/>
    <w:rsid w:val="32C6287D"/>
    <w:rsid w:val="32C6335F"/>
    <w:rsid w:val="32C70493"/>
    <w:rsid w:val="32C739DA"/>
    <w:rsid w:val="32C959A4"/>
    <w:rsid w:val="32CC5CB8"/>
    <w:rsid w:val="32CC726D"/>
    <w:rsid w:val="32CD25AF"/>
    <w:rsid w:val="32CF509C"/>
    <w:rsid w:val="32D225A9"/>
    <w:rsid w:val="32D26421"/>
    <w:rsid w:val="32D26767"/>
    <w:rsid w:val="32D27253"/>
    <w:rsid w:val="32D3412D"/>
    <w:rsid w:val="32D35945"/>
    <w:rsid w:val="32D3702F"/>
    <w:rsid w:val="32D41674"/>
    <w:rsid w:val="32D466D2"/>
    <w:rsid w:val="32D571A3"/>
    <w:rsid w:val="32D5783D"/>
    <w:rsid w:val="32D61E33"/>
    <w:rsid w:val="32D61E6F"/>
    <w:rsid w:val="32D669FB"/>
    <w:rsid w:val="32DA195F"/>
    <w:rsid w:val="32DB4B67"/>
    <w:rsid w:val="32DC173E"/>
    <w:rsid w:val="32DC56D7"/>
    <w:rsid w:val="32E16A61"/>
    <w:rsid w:val="32E243B4"/>
    <w:rsid w:val="32E427DE"/>
    <w:rsid w:val="32E52BDD"/>
    <w:rsid w:val="32E61B1C"/>
    <w:rsid w:val="32E70C39"/>
    <w:rsid w:val="32E7407C"/>
    <w:rsid w:val="32E75E2A"/>
    <w:rsid w:val="32EB591A"/>
    <w:rsid w:val="32EE1E26"/>
    <w:rsid w:val="32EF33F5"/>
    <w:rsid w:val="32F046A2"/>
    <w:rsid w:val="32F12755"/>
    <w:rsid w:val="32F1545A"/>
    <w:rsid w:val="32F32879"/>
    <w:rsid w:val="32F444B2"/>
    <w:rsid w:val="32F64B55"/>
    <w:rsid w:val="32F6606D"/>
    <w:rsid w:val="32FA5B5D"/>
    <w:rsid w:val="32FF3174"/>
    <w:rsid w:val="33014627"/>
    <w:rsid w:val="33016EEC"/>
    <w:rsid w:val="33020A39"/>
    <w:rsid w:val="3302440C"/>
    <w:rsid w:val="3304165F"/>
    <w:rsid w:val="330D5390"/>
    <w:rsid w:val="331210F9"/>
    <w:rsid w:val="331309CD"/>
    <w:rsid w:val="33143344"/>
    <w:rsid w:val="33185FE3"/>
    <w:rsid w:val="33186C8A"/>
    <w:rsid w:val="33196C24"/>
    <w:rsid w:val="331A016C"/>
    <w:rsid w:val="331C1F78"/>
    <w:rsid w:val="33203F70"/>
    <w:rsid w:val="33207DC3"/>
    <w:rsid w:val="3321415F"/>
    <w:rsid w:val="33226E62"/>
    <w:rsid w:val="3325072D"/>
    <w:rsid w:val="33254A0D"/>
    <w:rsid w:val="33271537"/>
    <w:rsid w:val="33296443"/>
    <w:rsid w:val="332A5CC2"/>
    <w:rsid w:val="332B21BB"/>
    <w:rsid w:val="332B3CDC"/>
    <w:rsid w:val="332B501A"/>
    <w:rsid w:val="332C1A8F"/>
    <w:rsid w:val="332C2234"/>
    <w:rsid w:val="332D7CE1"/>
    <w:rsid w:val="332E3A59"/>
    <w:rsid w:val="332E5807"/>
    <w:rsid w:val="332E5AD3"/>
    <w:rsid w:val="33356941"/>
    <w:rsid w:val="33382D02"/>
    <w:rsid w:val="333D5A4A"/>
    <w:rsid w:val="3341378C"/>
    <w:rsid w:val="334407BD"/>
    <w:rsid w:val="334427CA"/>
    <w:rsid w:val="334550E5"/>
    <w:rsid w:val="33460805"/>
    <w:rsid w:val="33473F32"/>
    <w:rsid w:val="334868C9"/>
    <w:rsid w:val="334943EF"/>
    <w:rsid w:val="3349717B"/>
    <w:rsid w:val="334B460B"/>
    <w:rsid w:val="334D0383"/>
    <w:rsid w:val="334E7C57"/>
    <w:rsid w:val="334F40FB"/>
    <w:rsid w:val="334F7FAE"/>
    <w:rsid w:val="33501A8D"/>
    <w:rsid w:val="33513750"/>
    <w:rsid w:val="335313EB"/>
    <w:rsid w:val="33544914"/>
    <w:rsid w:val="33552964"/>
    <w:rsid w:val="33570661"/>
    <w:rsid w:val="335800A3"/>
    <w:rsid w:val="335A2AA0"/>
    <w:rsid w:val="335A445C"/>
    <w:rsid w:val="335B5FB4"/>
    <w:rsid w:val="335E60EC"/>
    <w:rsid w:val="335E62E6"/>
    <w:rsid w:val="33667C7F"/>
    <w:rsid w:val="336757C8"/>
    <w:rsid w:val="336B25B7"/>
    <w:rsid w:val="336E20A7"/>
    <w:rsid w:val="336E3E55"/>
    <w:rsid w:val="336E417B"/>
    <w:rsid w:val="336F1825"/>
    <w:rsid w:val="337038A2"/>
    <w:rsid w:val="33712C57"/>
    <w:rsid w:val="33727E9B"/>
    <w:rsid w:val="33737662"/>
    <w:rsid w:val="33741567"/>
    <w:rsid w:val="33752A31"/>
    <w:rsid w:val="33753436"/>
    <w:rsid w:val="337A0A4C"/>
    <w:rsid w:val="337A6C9E"/>
    <w:rsid w:val="337B0E24"/>
    <w:rsid w:val="337B2999"/>
    <w:rsid w:val="337B6D0E"/>
    <w:rsid w:val="337C5C26"/>
    <w:rsid w:val="337C619A"/>
    <w:rsid w:val="337D71C6"/>
    <w:rsid w:val="337E24A5"/>
    <w:rsid w:val="337E2A5B"/>
    <w:rsid w:val="3381002D"/>
    <w:rsid w:val="33816234"/>
    <w:rsid w:val="3382558B"/>
    <w:rsid w:val="33833553"/>
    <w:rsid w:val="3387302B"/>
    <w:rsid w:val="33875C46"/>
    <w:rsid w:val="338813BB"/>
    <w:rsid w:val="33886947"/>
    <w:rsid w:val="338A5A42"/>
    <w:rsid w:val="338D1664"/>
    <w:rsid w:val="33923FE8"/>
    <w:rsid w:val="3394364F"/>
    <w:rsid w:val="33955886"/>
    <w:rsid w:val="339A0931"/>
    <w:rsid w:val="339A10EE"/>
    <w:rsid w:val="339C3287"/>
    <w:rsid w:val="339D08D6"/>
    <w:rsid w:val="339D2089"/>
    <w:rsid w:val="339F7E05"/>
    <w:rsid w:val="33A0490A"/>
    <w:rsid w:val="33A16194"/>
    <w:rsid w:val="33A31BEE"/>
    <w:rsid w:val="33A35467"/>
    <w:rsid w:val="33A40DC1"/>
    <w:rsid w:val="33A5650C"/>
    <w:rsid w:val="33A87367"/>
    <w:rsid w:val="33AA7583"/>
    <w:rsid w:val="33AC3E6F"/>
    <w:rsid w:val="33AE131F"/>
    <w:rsid w:val="33AF4B9A"/>
    <w:rsid w:val="33B248B0"/>
    <w:rsid w:val="33B37F5C"/>
    <w:rsid w:val="33B45D0C"/>
    <w:rsid w:val="33B57B30"/>
    <w:rsid w:val="33B8407C"/>
    <w:rsid w:val="33B90210"/>
    <w:rsid w:val="33BC1065"/>
    <w:rsid w:val="33BC2F6E"/>
    <w:rsid w:val="33BD6A91"/>
    <w:rsid w:val="33BE161E"/>
    <w:rsid w:val="33C1667B"/>
    <w:rsid w:val="33C40978"/>
    <w:rsid w:val="33C80FA0"/>
    <w:rsid w:val="33CB127F"/>
    <w:rsid w:val="33CD265E"/>
    <w:rsid w:val="33CD2C95"/>
    <w:rsid w:val="33CD3501"/>
    <w:rsid w:val="33CD5020"/>
    <w:rsid w:val="33CF0E73"/>
    <w:rsid w:val="33CF2B46"/>
    <w:rsid w:val="33D0525E"/>
    <w:rsid w:val="33D07918"/>
    <w:rsid w:val="33D42601"/>
    <w:rsid w:val="33D75439"/>
    <w:rsid w:val="33D94AF6"/>
    <w:rsid w:val="33DA14EB"/>
    <w:rsid w:val="33DE4BF8"/>
    <w:rsid w:val="33E10ACB"/>
    <w:rsid w:val="33E11ACF"/>
    <w:rsid w:val="33E11B69"/>
    <w:rsid w:val="33E22FD7"/>
    <w:rsid w:val="33E32A95"/>
    <w:rsid w:val="33E75037"/>
    <w:rsid w:val="33E964FB"/>
    <w:rsid w:val="33EA461D"/>
    <w:rsid w:val="33EC2F43"/>
    <w:rsid w:val="33ED13F9"/>
    <w:rsid w:val="33F0483B"/>
    <w:rsid w:val="33F110F0"/>
    <w:rsid w:val="33F16F60"/>
    <w:rsid w:val="33F46A50"/>
    <w:rsid w:val="33F9586D"/>
    <w:rsid w:val="33F95E15"/>
    <w:rsid w:val="33F963C5"/>
    <w:rsid w:val="33FB2AA8"/>
    <w:rsid w:val="33FB393B"/>
    <w:rsid w:val="33FC76B3"/>
    <w:rsid w:val="33FE013C"/>
    <w:rsid w:val="33FE0891"/>
    <w:rsid w:val="33FF675D"/>
    <w:rsid w:val="33FF7DD1"/>
    <w:rsid w:val="340071A3"/>
    <w:rsid w:val="34015F0C"/>
    <w:rsid w:val="34016539"/>
    <w:rsid w:val="3402309A"/>
    <w:rsid w:val="34026921"/>
    <w:rsid w:val="340547BA"/>
    <w:rsid w:val="34064F33"/>
    <w:rsid w:val="34092253"/>
    <w:rsid w:val="340C5B48"/>
    <w:rsid w:val="340E1CA4"/>
    <w:rsid w:val="340E30B5"/>
    <w:rsid w:val="340E69D8"/>
    <w:rsid w:val="340F3E18"/>
    <w:rsid w:val="34101B6E"/>
    <w:rsid w:val="34107576"/>
    <w:rsid w:val="34120C85"/>
    <w:rsid w:val="341573C4"/>
    <w:rsid w:val="34167E75"/>
    <w:rsid w:val="34180991"/>
    <w:rsid w:val="341E1D1F"/>
    <w:rsid w:val="341E6D75"/>
    <w:rsid w:val="34207846"/>
    <w:rsid w:val="34237336"/>
    <w:rsid w:val="34246193"/>
    <w:rsid w:val="34256C0A"/>
    <w:rsid w:val="34264730"/>
    <w:rsid w:val="342801F3"/>
    <w:rsid w:val="342C191C"/>
    <w:rsid w:val="342C40ED"/>
    <w:rsid w:val="342F5CDB"/>
    <w:rsid w:val="342F7A89"/>
    <w:rsid w:val="34313157"/>
    <w:rsid w:val="343176D8"/>
    <w:rsid w:val="343252A6"/>
    <w:rsid w:val="3433217D"/>
    <w:rsid w:val="34337579"/>
    <w:rsid w:val="34357FFF"/>
    <w:rsid w:val="34365B5E"/>
    <w:rsid w:val="343706EB"/>
    <w:rsid w:val="34377BE5"/>
    <w:rsid w:val="34382116"/>
    <w:rsid w:val="34394DB5"/>
    <w:rsid w:val="343C3D07"/>
    <w:rsid w:val="343E1A7A"/>
    <w:rsid w:val="343E2D6C"/>
    <w:rsid w:val="34421181"/>
    <w:rsid w:val="344277BC"/>
    <w:rsid w:val="34432928"/>
    <w:rsid w:val="34441786"/>
    <w:rsid w:val="34441C05"/>
    <w:rsid w:val="34474DD2"/>
    <w:rsid w:val="34491DD2"/>
    <w:rsid w:val="344A6A9D"/>
    <w:rsid w:val="344B5E53"/>
    <w:rsid w:val="344C4197"/>
    <w:rsid w:val="344D66DB"/>
    <w:rsid w:val="344E1C6F"/>
    <w:rsid w:val="344F1ED9"/>
    <w:rsid w:val="344F5EC1"/>
    <w:rsid w:val="34500E16"/>
    <w:rsid w:val="34513124"/>
    <w:rsid w:val="34513697"/>
    <w:rsid w:val="34515C51"/>
    <w:rsid w:val="345325EB"/>
    <w:rsid w:val="34533777"/>
    <w:rsid w:val="345825D8"/>
    <w:rsid w:val="345937DD"/>
    <w:rsid w:val="345B6321"/>
    <w:rsid w:val="345C4BB8"/>
    <w:rsid w:val="345D2124"/>
    <w:rsid w:val="345E5AEC"/>
    <w:rsid w:val="345F3E4B"/>
    <w:rsid w:val="346040E6"/>
    <w:rsid w:val="34613FBA"/>
    <w:rsid w:val="346408E5"/>
    <w:rsid w:val="34657EA4"/>
    <w:rsid w:val="34666E4F"/>
    <w:rsid w:val="34672E8A"/>
    <w:rsid w:val="34682EB0"/>
    <w:rsid w:val="34697195"/>
    <w:rsid w:val="346B303E"/>
    <w:rsid w:val="346E6F6B"/>
    <w:rsid w:val="346F7C09"/>
    <w:rsid w:val="3470333B"/>
    <w:rsid w:val="34711E4F"/>
    <w:rsid w:val="34727D93"/>
    <w:rsid w:val="34740F30"/>
    <w:rsid w:val="347533BE"/>
    <w:rsid w:val="34766219"/>
    <w:rsid w:val="34767465"/>
    <w:rsid w:val="347831DE"/>
    <w:rsid w:val="34790D04"/>
    <w:rsid w:val="347C4181"/>
    <w:rsid w:val="347C47E1"/>
    <w:rsid w:val="347D25A2"/>
    <w:rsid w:val="347E631A"/>
    <w:rsid w:val="347F4F7A"/>
    <w:rsid w:val="34806536"/>
    <w:rsid w:val="348077B1"/>
    <w:rsid w:val="34856A51"/>
    <w:rsid w:val="34864580"/>
    <w:rsid w:val="34865D22"/>
    <w:rsid w:val="34872CF7"/>
    <w:rsid w:val="34881376"/>
    <w:rsid w:val="34896C8C"/>
    <w:rsid w:val="348C3A26"/>
    <w:rsid w:val="348C6C89"/>
    <w:rsid w:val="348D0794"/>
    <w:rsid w:val="348D4D8F"/>
    <w:rsid w:val="348F2D68"/>
    <w:rsid w:val="34904252"/>
    <w:rsid w:val="34913F0F"/>
    <w:rsid w:val="3491604D"/>
    <w:rsid w:val="3494217B"/>
    <w:rsid w:val="34956681"/>
    <w:rsid w:val="34967B08"/>
    <w:rsid w:val="34975EE2"/>
    <w:rsid w:val="349938B0"/>
    <w:rsid w:val="349B6902"/>
    <w:rsid w:val="349B7D53"/>
    <w:rsid w:val="34AA4266"/>
    <w:rsid w:val="34AA710F"/>
    <w:rsid w:val="34AA7E9A"/>
    <w:rsid w:val="34AC631F"/>
    <w:rsid w:val="34AE33E9"/>
    <w:rsid w:val="34B00336"/>
    <w:rsid w:val="34B27C70"/>
    <w:rsid w:val="34B33955"/>
    <w:rsid w:val="34B85CD0"/>
    <w:rsid w:val="34B8629A"/>
    <w:rsid w:val="34B9092F"/>
    <w:rsid w:val="34B955A4"/>
    <w:rsid w:val="34BC72CE"/>
    <w:rsid w:val="34BD6E42"/>
    <w:rsid w:val="34BF4CAA"/>
    <w:rsid w:val="34BF6943"/>
    <w:rsid w:val="34C226AB"/>
    <w:rsid w:val="34C401D1"/>
    <w:rsid w:val="34C46423"/>
    <w:rsid w:val="34C603ED"/>
    <w:rsid w:val="34C7487B"/>
    <w:rsid w:val="34C814AA"/>
    <w:rsid w:val="34CA2EE2"/>
    <w:rsid w:val="34CB5AE2"/>
    <w:rsid w:val="34CC52D7"/>
    <w:rsid w:val="34CE54B1"/>
    <w:rsid w:val="34CF3F99"/>
    <w:rsid w:val="34CF74EF"/>
    <w:rsid w:val="34D320DF"/>
    <w:rsid w:val="34D348B8"/>
    <w:rsid w:val="34D36FCB"/>
    <w:rsid w:val="34D523DE"/>
    <w:rsid w:val="34D66876"/>
    <w:rsid w:val="34D7691B"/>
    <w:rsid w:val="34D7759A"/>
    <w:rsid w:val="34D83C7C"/>
    <w:rsid w:val="34D86AF2"/>
    <w:rsid w:val="34D94F22"/>
    <w:rsid w:val="34DA0BF7"/>
    <w:rsid w:val="34DB73CF"/>
    <w:rsid w:val="34DB747A"/>
    <w:rsid w:val="34DD43B0"/>
    <w:rsid w:val="34DD5737"/>
    <w:rsid w:val="34DE40C3"/>
    <w:rsid w:val="34DF2FE2"/>
    <w:rsid w:val="34DF325D"/>
    <w:rsid w:val="34E00D83"/>
    <w:rsid w:val="34E02B31"/>
    <w:rsid w:val="34E171F3"/>
    <w:rsid w:val="34E21003"/>
    <w:rsid w:val="34E32DF3"/>
    <w:rsid w:val="34E42621"/>
    <w:rsid w:val="34E44DB9"/>
    <w:rsid w:val="34E50F6F"/>
    <w:rsid w:val="34E55945"/>
    <w:rsid w:val="34EF234C"/>
    <w:rsid w:val="34F13EED"/>
    <w:rsid w:val="34F20680"/>
    <w:rsid w:val="34F277AF"/>
    <w:rsid w:val="34F41174"/>
    <w:rsid w:val="34F76B17"/>
    <w:rsid w:val="34F95164"/>
    <w:rsid w:val="34FD1A0E"/>
    <w:rsid w:val="34FD2B73"/>
    <w:rsid w:val="34FF38FF"/>
    <w:rsid w:val="350358A4"/>
    <w:rsid w:val="35040F15"/>
    <w:rsid w:val="35044C07"/>
    <w:rsid w:val="350506BD"/>
    <w:rsid w:val="35053CB4"/>
    <w:rsid w:val="35063CE7"/>
    <w:rsid w:val="35077EB6"/>
    <w:rsid w:val="35092088"/>
    <w:rsid w:val="350A1334"/>
    <w:rsid w:val="351729F7"/>
    <w:rsid w:val="35190631"/>
    <w:rsid w:val="351B1DBB"/>
    <w:rsid w:val="351C625F"/>
    <w:rsid w:val="351D3A70"/>
    <w:rsid w:val="3521623A"/>
    <w:rsid w:val="35242972"/>
    <w:rsid w:val="35244AF8"/>
    <w:rsid w:val="35270760"/>
    <w:rsid w:val="352742C3"/>
    <w:rsid w:val="35274568"/>
    <w:rsid w:val="352A3A26"/>
    <w:rsid w:val="352A4BA6"/>
    <w:rsid w:val="352B0250"/>
    <w:rsid w:val="352B641F"/>
    <w:rsid w:val="352B64A2"/>
    <w:rsid w:val="352C3FC8"/>
    <w:rsid w:val="352D221A"/>
    <w:rsid w:val="352E42AB"/>
    <w:rsid w:val="353225D9"/>
    <w:rsid w:val="35337105"/>
    <w:rsid w:val="35350126"/>
    <w:rsid w:val="35350F5A"/>
    <w:rsid w:val="35353DEC"/>
    <w:rsid w:val="353752DC"/>
    <w:rsid w:val="353852C5"/>
    <w:rsid w:val="353A7BF1"/>
    <w:rsid w:val="353B4A95"/>
    <w:rsid w:val="353D2C56"/>
    <w:rsid w:val="353E374D"/>
    <w:rsid w:val="354013A3"/>
    <w:rsid w:val="35435612"/>
    <w:rsid w:val="354457B6"/>
    <w:rsid w:val="3546508A"/>
    <w:rsid w:val="35466E01"/>
    <w:rsid w:val="35480F1D"/>
    <w:rsid w:val="35496928"/>
    <w:rsid w:val="354E3097"/>
    <w:rsid w:val="354E634E"/>
    <w:rsid w:val="3550415A"/>
    <w:rsid w:val="35507AD8"/>
    <w:rsid w:val="35526101"/>
    <w:rsid w:val="3553109D"/>
    <w:rsid w:val="355310D8"/>
    <w:rsid w:val="355428F0"/>
    <w:rsid w:val="35575676"/>
    <w:rsid w:val="35577297"/>
    <w:rsid w:val="355840B7"/>
    <w:rsid w:val="355A28E3"/>
    <w:rsid w:val="355A2BFC"/>
    <w:rsid w:val="35610116"/>
    <w:rsid w:val="35634299"/>
    <w:rsid w:val="3563611B"/>
    <w:rsid w:val="35651183"/>
    <w:rsid w:val="356A1816"/>
    <w:rsid w:val="356A2173"/>
    <w:rsid w:val="356B4AF0"/>
    <w:rsid w:val="356C3BFA"/>
    <w:rsid w:val="356E45E1"/>
    <w:rsid w:val="357065AB"/>
    <w:rsid w:val="357229A2"/>
    <w:rsid w:val="3572479A"/>
    <w:rsid w:val="35742266"/>
    <w:rsid w:val="35744F5D"/>
    <w:rsid w:val="3575568D"/>
    <w:rsid w:val="35763C92"/>
    <w:rsid w:val="3578720D"/>
    <w:rsid w:val="357908B8"/>
    <w:rsid w:val="35791DD1"/>
    <w:rsid w:val="357B0E48"/>
    <w:rsid w:val="357B0EFE"/>
    <w:rsid w:val="357D027F"/>
    <w:rsid w:val="35825EDC"/>
    <w:rsid w:val="3585424D"/>
    <w:rsid w:val="35880EEA"/>
    <w:rsid w:val="358856A2"/>
    <w:rsid w:val="358944C3"/>
    <w:rsid w:val="358950B3"/>
    <w:rsid w:val="35912DA9"/>
    <w:rsid w:val="35922121"/>
    <w:rsid w:val="35926521"/>
    <w:rsid w:val="35931184"/>
    <w:rsid w:val="359330B7"/>
    <w:rsid w:val="359A0BDE"/>
    <w:rsid w:val="359C3486"/>
    <w:rsid w:val="359D0A43"/>
    <w:rsid w:val="359D0C08"/>
    <w:rsid w:val="359E0533"/>
    <w:rsid w:val="359E78BC"/>
    <w:rsid w:val="359F0C3E"/>
    <w:rsid w:val="359F25C8"/>
    <w:rsid w:val="35A103B9"/>
    <w:rsid w:val="35A13B7D"/>
    <w:rsid w:val="35A34F88"/>
    <w:rsid w:val="35A66D8A"/>
    <w:rsid w:val="35AA187C"/>
    <w:rsid w:val="35AB1391"/>
    <w:rsid w:val="35AD5109"/>
    <w:rsid w:val="35AE478E"/>
    <w:rsid w:val="35B16342"/>
    <w:rsid w:val="35B22E0B"/>
    <w:rsid w:val="35B46497"/>
    <w:rsid w:val="35B7611D"/>
    <w:rsid w:val="35B91D00"/>
    <w:rsid w:val="35BA7826"/>
    <w:rsid w:val="35BC17F0"/>
    <w:rsid w:val="35BC22C3"/>
    <w:rsid w:val="35BF159A"/>
    <w:rsid w:val="35C1013F"/>
    <w:rsid w:val="35C30488"/>
    <w:rsid w:val="35C32557"/>
    <w:rsid w:val="35C3492C"/>
    <w:rsid w:val="35C3647F"/>
    <w:rsid w:val="35C61F66"/>
    <w:rsid w:val="35C778E0"/>
    <w:rsid w:val="35C8079E"/>
    <w:rsid w:val="35C868EF"/>
    <w:rsid w:val="35CA605B"/>
    <w:rsid w:val="35CD709A"/>
    <w:rsid w:val="35CF14F4"/>
    <w:rsid w:val="35D37C6C"/>
    <w:rsid w:val="35D703D8"/>
    <w:rsid w:val="35D8618B"/>
    <w:rsid w:val="35DA4E73"/>
    <w:rsid w:val="35DB559B"/>
    <w:rsid w:val="35DE1766"/>
    <w:rsid w:val="35DE4F44"/>
    <w:rsid w:val="35E11256"/>
    <w:rsid w:val="35E17D38"/>
    <w:rsid w:val="35E3438F"/>
    <w:rsid w:val="35E56A24"/>
    <w:rsid w:val="35E623C9"/>
    <w:rsid w:val="35E825E5"/>
    <w:rsid w:val="35E84393"/>
    <w:rsid w:val="35E87EEF"/>
    <w:rsid w:val="35EA1C77"/>
    <w:rsid w:val="35F04FF6"/>
    <w:rsid w:val="35F13509"/>
    <w:rsid w:val="35F14DD0"/>
    <w:rsid w:val="35F2731C"/>
    <w:rsid w:val="35F46B53"/>
    <w:rsid w:val="35F56376"/>
    <w:rsid w:val="35F57BFA"/>
    <w:rsid w:val="35F66AB0"/>
    <w:rsid w:val="35F82D0F"/>
    <w:rsid w:val="35FB07A7"/>
    <w:rsid w:val="35FB0D01"/>
    <w:rsid w:val="35FB7ED7"/>
    <w:rsid w:val="35FC51A3"/>
    <w:rsid w:val="35FD7E84"/>
    <w:rsid w:val="35FE3BB6"/>
    <w:rsid w:val="35FE5964"/>
    <w:rsid w:val="35FF20F7"/>
    <w:rsid w:val="35FF348B"/>
    <w:rsid w:val="36030FFF"/>
    <w:rsid w:val="360337E4"/>
    <w:rsid w:val="360507FC"/>
    <w:rsid w:val="360665C9"/>
    <w:rsid w:val="36070CBD"/>
    <w:rsid w:val="36086E75"/>
    <w:rsid w:val="360D3DFA"/>
    <w:rsid w:val="360F7B72"/>
    <w:rsid w:val="36116BC2"/>
    <w:rsid w:val="36146F36"/>
    <w:rsid w:val="36147E72"/>
    <w:rsid w:val="361502FC"/>
    <w:rsid w:val="3615522F"/>
    <w:rsid w:val="361707D4"/>
    <w:rsid w:val="361E7DB5"/>
    <w:rsid w:val="3626472B"/>
    <w:rsid w:val="36272932"/>
    <w:rsid w:val="3627310D"/>
    <w:rsid w:val="36280DD5"/>
    <w:rsid w:val="362A49AB"/>
    <w:rsid w:val="362C191E"/>
    <w:rsid w:val="362C28E4"/>
    <w:rsid w:val="362D624A"/>
    <w:rsid w:val="362F3BFA"/>
    <w:rsid w:val="362F3D70"/>
    <w:rsid w:val="36323860"/>
    <w:rsid w:val="363615D0"/>
    <w:rsid w:val="36370E76"/>
    <w:rsid w:val="363953F2"/>
    <w:rsid w:val="363A178A"/>
    <w:rsid w:val="363B0967"/>
    <w:rsid w:val="364041CF"/>
    <w:rsid w:val="36413AA3"/>
    <w:rsid w:val="36473EC1"/>
    <w:rsid w:val="364750AE"/>
    <w:rsid w:val="36487AB1"/>
    <w:rsid w:val="364C03A6"/>
    <w:rsid w:val="364C2B74"/>
    <w:rsid w:val="364E1350"/>
    <w:rsid w:val="364F61C0"/>
    <w:rsid w:val="3651018A"/>
    <w:rsid w:val="36545C9A"/>
    <w:rsid w:val="36546371"/>
    <w:rsid w:val="36571359"/>
    <w:rsid w:val="365804E7"/>
    <w:rsid w:val="3659703F"/>
    <w:rsid w:val="365A53F4"/>
    <w:rsid w:val="365D08DD"/>
    <w:rsid w:val="365D53C4"/>
    <w:rsid w:val="365F4673"/>
    <w:rsid w:val="365F74DC"/>
    <w:rsid w:val="3660217B"/>
    <w:rsid w:val="366118FB"/>
    <w:rsid w:val="366128C4"/>
    <w:rsid w:val="366130BF"/>
    <w:rsid w:val="36613D32"/>
    <w:rsid w:val="36625EF3"/>
    <w:rsid w:val="36662276"/>
    <w:rsid w:val="36662444"/>
    <w:rsid w:val="366653BA"/>
    <w:rsid w:val="36677059"/>
    <w:rsid w:val="36691B2D"/>
    <w:rsid w:val="366A3C87"/>
    <w:rsid w:val="366B2C8D"/>
    <w:rsid w:val="366C4FC4"/>
    <w:rsid w:val="366D3E67"/>
    <w:rsid w:val="366F2506"/>
    <w:rsid w:val="366F6862"/>
    <w:rsid w:val="367134E1"/>
    <w:rsid w:val="36745195"/>
    <w:rsid w:val="3674681F"/>
    <w:rsid w:val="36783969"/>
    <w:rsid w:val="367A11D2"/>
    <w:rsid w:val="367B01ED"/>
    <w:rsid w:val="367C4435"/>
    <w:rsid w:val="367C4ADB"/>
    <w:rsid w:val="367D1DCA"/>
    <w:rsid w:val="367E0853"/>
    <w:rsid w:val="367E6394"/>
    <w:rsid w:val="3680074B"/>
    <w:rsid w:val="3680483A"/>
    <w:rsid w:val="36812553"/>
    <w:rsid w:val="368340BC"/>
    <w:rsid w:val="36884442"/>
    <w:rsid w:val="368A544A"/>
    <w:rsid w:val="368A71F8"/>
    <w:rsid w:val="368D3697"/>
    <w:rsid w:val="368F480F"/>
    <w:rsid w:val="368F6DB0"/>
    <w:rsid w:val="36932551"/>
    <w:rsid w:val="36935C38"/>
    <w:rsid w:val="36963CD6"/>
    <w:rsid w:val="36963DEF"/>
    <w:rsid w:val="36974C50"/>
    <w:rsid w:val="36994856"/>
    <w:rsid w:val="3699743B"/>
    <w:rsid w:val="369E4A52"/>
    <w:rsid w:val="36A07813"/>
    <w:rsid w:val="36A54032"/>
    <w:rsid w:val="36A6383E"/>
    <w:rsid w:val="36A667E0"/>
    <w:rsid w:val="36A738F6"/>
    <w:rsid w:val="36A76C0D"/>
    <w:rsid w:val="36AC3612"/>
    <w:rsid w:val="36B204FD"/>
    <w:rsid w:val="36B64491"/>
    <w:rsid w:val="36B733EB"/>
    <w:rsid w:val="36BB3856"/>
    <w:rsid w:val="36BC1A60"/>
    <w:rsid w:val="36BD137C"/>
    <w:rsid w:val="36BD75CE"/>
    <w:rsid w:val="36BE3744"/>
    <w:rsid w:val="36BE50F4"/>
    <w:rsid w:val="36BE6EA2"/>
    <w:rsid w:val="36BF23B5"/>
    <w:rsid w:val="36BF64BB"/>
    <w:rsid w:val="36C3270A"/>
    <w:rsid w:val="36C50230"/>
    <w:rsid w:val="36C546D4"/>
    <w:rsid w:val="36C739BA"/>
    <w:rsid w:val="36C94F33"/>
    <w:rsid w:val="36CA1CEB"/>
    <w:rsid w:val="36CA2570"/>
    <w:rsid w:val="36CA3A99"/>
    <w:rsid w:val="36D44917"/>
    <w:rsid w:val="36D45294"/>
    <w:rsid w:val="36D53699"/>
    <w:rsid w:val="36D6068F"/>
    <w:rsid w:val="36D6243D"/>
    <w:rsid w:val="36D848F4"/>
    <w:rsid w:val="36DB5CA6"/>
    <w:rsid w:val="36DD557A"/>
    <w:rsid w:val="36DF36BB"/>
    <w:rsid w:val="36DF4F1D"/>
    <w:rsid w:val="36E16EBE"/>
    <w:rsid w:val="36E241BF"/>
    <w:rsid w:val="36E27AE8"/>
    <w:rsid w:val="36E6103A"/>
    <w:rsid w:val="36E8556C"/>
    <w:rsid w:val="36EB7735"/>
    <w:rsid w:val="36EE59D9"/>
    <w:rsid w:val="36EF39EC"/>
    <w:rsid w:val="36F01959"/>
    <w:rsid w:val="36F079A3"/>
    <w:rsid w:val="36F30B75"/>
    <w:rsid w:val="36F32FEF"/>
    <w:rsid w:val="36F50A18"/>
    <w:rsid w:val="36FB4ACB"/>
    <w:rsid w:val="36FD34CA"/>
    <w:rsid w:val="36FE6B26"/>
    <w:rsid w:val="36FF3676"/>
    <w:rsid w:val="37003071"/>
    <w:rsid w:val="3700570C"/>
    <w:rsid w:val="3703452F"/>
    <w:rsid w:val="37076A9B"/>
    <w:rsid w:val="370826D9"/>
    <w:rsid w:val="37096FD0"/>
    <w:rsid w:val="370B587C"/>
    <w:rsid w:val="370C40B1"/>
    <w:rsid w:val="37110ED7"/>
    <w:rsid w:val="37120FD8"/>
    <w:rsid w:val="37137D4A"/>
    <w:rsid w:val="3718335F"/>
    <w:rsid w:val="37186729"/>
    <w:rsid w:val="371D0BF6"/>
    <w:rsid w:val="371E4021"/>
    <w:rsid w:val="371F2036"/>
    <w:rsid w:val="37217B5C"/>
    <w:rsid w:val="37233414"/>
    <w:rsid w:val="37240FDC"/>
    <w:rsid w:val="37242F9D"/>
    <w:rsid w:val="372633C5"/>
    <w:rsid w:val="37272C99"/>
    <w:rsid w:val="37273808"/>
    <w:rsid w:val="37276CA5"/>
    <w:rsid w:val="372907BF"/>
    <w:rsid w:val="372A42BA"/>
    <w:rsid w:val="372B5929"/>
    <w:rsid w:val="372C6501"/>
    <w:rsid w:val="372C6D5F"/>
    <w:rsid w:val="372E04CB"/>
    <w:rsid w:val="372E5DD5"/>
    <w:rsid w:val="373158C6"/>
    <w:rsid w:val="373331A0"/>
    <w:rsid w:val="37337890"/>
    <w:rsid w:val="3735484D"/>
    <w:rsid w:val="373625B4"/>
    <w:rsid w:val="373741BF"/>
    <w:rsid w:val="3737599F"/>
    <w:rsid w:val="37382934"/>
    <w:rsid w:val="373830F8"/>
    <w:rsid w:val="373B04F2"/>
    <w:rsid w:val="373D28D9"/>
    <w:rsid w:val="373D3686"/>
    <w:rsid w:val="373F4487"/>
    <w:rsid w:val="374060F8"/>
    <w:rsid w:val="37424579"/>
    <w:rsid w:val="37427AD3"/>
    <w:rsid w:val="37441933"/>
    <w:rsid w:val="37457D1D"/>
    <w:rsid w:val="37461371"/>
    <w:rsid w:val="37484DBA"/>
    <w:rsid w:val="374850E6"/>
    <w:rsid w:val="3749466E"/>
    <w:rsid w:val="374B0346"/>
    <w:rsid w:val="374B6384"/>
    <w:rsid w:val="374C156B"/>
    <w:rsid w:val="374D6E99"/>
    <w:rsid w:val="374E3F47"/>
    <w:rsid w:val="374F641F"/>
    <w:rsid w:val="37517D16"/>
    <w:rsid w:val="37531398"/>
    <w:rsid w:val="375539B4"/>
    <w:rsid w:val="37553A24"/>
    <w:rsid w:val="37582FDA"/>
    <w:rsid w:val="375833AB"/>
    <w:rsid w:val="37586CF5"/>
    <w:rsid w:val="375A593A"/>
    <w:rsid w:val="375C6DE7"/>
    <w:rsid w:val="375E6C53"/>
    <w:rsid w:val="37621F23"/>
    <w:rsid w:val="37636EEB"/>
    <w:rsid w:val="37647A49"/>
    <w:rsid w:val="37684F65"/>
    <w:rsid w:val="37691503"/>
    <w:rsid w:val="376B0DD8"/>
    <w:rsid w:val="376C29B8"/>
    <w:rsid w:val="376E2676"/>
    <w:rsid w:val="37701082"/>
    <w:rsid w:val="37702892"/>
    <w:rsid w:val="37711BEF"/>
    <w:rsid w:val="377203B8"/>
    <w:rsid w:val="37740126"/>
    <w:rsid w:val="377802E1"/>
    <w:rsid w:val="3779149A"/>
    <w:rsid w:val="3779495B"/>
    <w:rsid w:val="37797206"/>
    <w:rsid w:val="37797999"/>
    <w:rsid w:val="377A4739"/>
    <w:rsid w:val="377B6FC6"/>
    <w:rsid w:val="377C56CA"/>
    <w:rsid w:val="377F3B92"/>
    <w:rsid w:val="37803F47"/>
    <w:rsid w:val="3781407F"/>
    <w:rsid w:val="37824373"/>
    <w:rsid w:val="3785779C"/>
    <w:rsid w:val="37857C22"/>
    <w:rsid w:val="37874443"/>
    <w:rsid w:val="37893954"/>
    <w:rsid w:val="37895702"/>
    <w:rsid w:val="378B76CC"/>
    <w:rsid w:val="378C49F0"/>
    <w:rsid w:val="378D2097"/>
    <w:rsid w:val="378E12F9"/>
    <w:rsid w:val="37904CE2"/>
    <w:rsid w:val="379060F5"/>
    <w:rsid w:val="379325B5"/>
    <w:rsid w:val="3793576F"/>
    <w:rsid w:val="379412E7"/>
    <w:rsid w:val="379522F8"/>
    <w:rsid w:val="3795529C"/>
    <w:rsid w:val="37962C2A"/>
    <w:rsid w:val="37965C4F"/>
    <w:rsid w:val="379836A3"/>
    <w:rsid w:val="379A1435"/>
    <w:rsid w:val="379E634E"/>
    <w:rsid w:val="379F0AA2"/>
    <w:rsid w:val="379F4ACB"/>
    <w:rsid w:val="37A174EA"/>
    <w:rsid w:val="37A23E2F"/>
    <w:rsid w:val="37A367C3"/>
    <w:rsid w:val="37A442EA"/>
    <w:rsid w:val="37A46016"/>
    <w:rsid w:val="37A553DC"/>
    <w:rsid w:val="37A61D2C"/>
    <w:rsid w:val="37A74959"/>
    <w:rsid w:val="37A81D9F"/>
    <w:rsid w:val="37A84621"/>
    <w:rsid w:val="37A93DF8"/>
    <w:rsid w:val="37A97B52"/>
    <w:rsid w:val="37AA6032"/>
    <w:rsid w:val="37AB1B1C"/>
    <w:rsid w:val="37AB5678"/>
    <w:rsid w:val="37AC609E"/>
    <w:rsid w:val="37AD49B3"/>
    <w:rsid w:val="37AE4E61"/>
    <w:rsid w:val="37AE6F16"/>
    <w:rsid w:val="37AF23E2"/>
    <w:rsid w:val="37AF33BA"/>
    <w:rsid w:val="37B0270A"/>
    <w:rsid w:val="37B26A07"/>
    <w:rsid w:val="37B3277F"/>
    <w:rsid w:val="37B704C1"/>
    <w:rsid w:val="37B75CFC"/>
    <w:rsid w:val="37BB6677"/>
    <w:rsid w:val="37BC3018"/>
    <w:rsid w:val="37BC4753"/>
    <w:rsid w:val="37BF1123"/>
    <w:rsid w:val="37C37AE8"/>
    <w:rsid w:val="37C404E8"/>
    <w:rsid w:val="37C43263"/>
    <w:rsid w:val="37C559DF"/>
    <w:rsid w:val="37C87031"/>
    <w:rsid w:val="37C87FD8"/>
    <w:rsid w:val="37C95FBA"/>
    <w:rsid w:val="37C97392"/>
    <w:rsid w:val="37CA01F4"/>
    <w:rsid w:val="37CB17CA"/>
    <w:rsid w:val="37CD3840"/>
    <w:rsid w:val="37CE1367"/>
    <w:rsid w:val="37D16B8E"/>
    <w:rsid w:val="37D32B5C"/>
    <w:rsid w:val="37D36C83"/>
    <w:rsid w:val="37D50FEE"/>
    <w:rsid w:val="37D526F5"/>
    <w:rsid w:val="37D54901"/>
    <w:rsid w:val="37DB5071"/>
    <w:rsid w:val="37DC1CD5"/>
    <w:rsid w:val="37E1553E"/>
    <w:rsid w:val="37E25D40"/>
    <w:rsid w:val="37E56DDC"/>
    <w:rsid w:val="37E62B54"/>
    <w:rsid w:val="37E666B0"/>
    <w:rsid w:val="37EF01AA"/>
    <w:rsid w:val="37EF17E7"/>
    <w:rsid w:val="37EF7C5B"/>
    <w:rsid w:val="37F065A7"/>
    <w:rsid w:val="37F214F9"/>
    <w:rsid w:val="37F520F7"/>
    <w:rsid w:val="37F6240E"/>
    <w:rsid w:val="37F62926"/>
    <w:rsid w:val="37F6650C"/>
    <w:rsid w:val="37F7266B"/>
    <w:rsid w:val="37F8482F"/>
    <w:rsid w:val="37FF2F9C"/>
    <w:rsid w:val="38002AE5"/>
    <w:rsid w:val="3800409C"/>
    <w:rsid w:val="3801173C"/>
    <w:rsid w:val="3801798E"/>
    <w:rsid w:val="38022A43"/>
    <w:rsid w:val="380B3AB2"/>
    <w:rsid w:val="380E3DAA"/>
    <w:rsid w:val="380F260F"/>
    <w:rsid w:val="381051E0"/>
    <w:rsid w:val="38131B4E"/>
    <w:rsid w:val="38137AD8"/>
    <w:rsid w:val="3816502A"/>
    <w:rsid w:val="38180898"/>
    <w:rsid w:val="38190834"/>
    <w:rsid w:val="381C20D2"/>
    <w:rsid w:val="381D4C13"/>
    <w:rsid w:val="381D6E01"/>
    <w:rsid w:val="381F1BC2"/>
    <w:rsid w:val="38225017"/>
    <w:rsid w:val="38233396"/>
    <w:rsid w:val="38233460"/>
    <w:rsid w:val="38241748"/>
    <w:rsid w:val="3824626D"/>
    <w:rsid w:val="38290817"/>
    <w:rsid w:val="382A2FED"/>
    <w:rsid w:val="382B0567"/>
    <w:rsid w:val="382C4A0B"/>
    <w:rsid w:val="383511CC"/>
    <w:rsid w:val="3837445B"/>
    <w:rsid w:val="3837540F"/>
    <w:rsid w:val="38394E20"/>
    <w:rsid w:val="383C70CD"/>
    <w:rsid w:val="383F4FB6"/>
    <w:rsid w:val="38410654"/>
    <w:rsid w:val="38415FDC"/>
    <w:rsid w:val="384233B0"/>
    <w:rsid w:val="3844411C"/>
    <w:rsid w:val="384A0EEA"/>
    <w:rsid w:val="384B5C9F"/>
    <w:rsid w:val="384C2104"/>
    <w:rsid w:val="384E1216"/>
    <w:rsid w:val="385002E8"/>
    <w:rsid w:val="38507FCD"/>
    <w:rsid w:val="385201EA"/>
    <w:rsid w:val="38564DA4"/>
    <w:rsid w:val="385A0BC9"/>
    <w:rsid w:val="385B2CEB"/>
    <w:rsid w:val="385B7756"/>
    <w:rsid w:val="38621630"/>
    <w:rsid w:val="38637D01"/>
    <w:rsid w:val="38660551"/>
    <w:rsid w:val="38673F02"/>
    <w:rsid w:val="38686D8A"/>
    <w:rsid w:val="3869321A"/>
    <w:rsid w:val="386D5023"/>
    <w:rsid w:val="386E6667"/>
    <w:rsid w:val="386F4F43"/>
    <w:rsid w:val="386F66A6"/>
    <w:rsid w:val="387255E2"/>
    <w:rsid w:val="38754E1E"/>
    <w:rsid w:val="387C6CD3"/>
    <w:rsid w:val="387C7B59"/>
    <w:rsid w:val="387E30CF"/>
    <w:rsid w:val="38800020"/>
    <w:rsid w:val="38814BD3"/>
    <w:rsid w:val="38835FCA"/>
    <w:rsid w:val="38845301"/>
    <w:rsid w:val="3885411B"/>
    <w:rsid w:val="38887CF3"/>
    <w:rsid w:val="38894415"/>
    <w:rsid w:val="38896B4E"/>
    <w:rsid w:val="388A1B86"/>
    <w:rsid w:val="388A7F31"/>
    <w:rsid w:val="388C002A"/>
    <w:rsid w:val="388C7258"/>
    <w:rsid w:val="388C7B0C"/>
    <w:rsid w:val="388F25E2"/>
    <w:rsid w:val="388F2F6B"/>
    <w:rsid w:val="38911F6C"/>
    <w:rsid w:val="38936601"/>
    <w:rsid w:val="389471A0"/>
    <w:rsid w:val="38964FC3"/>
    <w:rsid w:val="389655B6"/>
    <w:rsid w:val="389820A0"/>
    <w:rsid w:val="389A3789"/>
    <w:rsid w:val="389B393F"/>
    <w:rsid w:val="389C3179"/>
    <w:rsid w:val="389E0B7E"/>
    <w:rsid w:val="389E17EE"/>
    <w:rsid w:val="389E51DD"/>
    <w:rsid w:val="389F7E39"/>
    <w:rsid w:val="38A0386B"/>
    <w:rsid w:val="38A65E3F"/>
    <w:rsid w:val="38A731BC"/>
    <w:rsid w:val="38A7698B"/>
    <w:rsid w:val="38A85ACF"/>
    <w:rsid w:val="38AB2FCD"/>
    <w:rsid w:val="38AF3476"/>
    <w:rsid w:val="38AF3C75"/>
    <w:rsid w:val="38AF451F"/>
    <w:rsid w:val="38B1051E"/>
    <w:rsid w:val="38B22CB8"/>
    <w:rsid w:val="38B4460C"/>
    <w:rsid w:val="38B55069"/>
    <w:rsid w:val="38B559CA"/>
    <w:rsid w:val="38B71431"/>
    <w:rsid w:val="38B84141"/>
    <w:rsid w:val="38B8629F"/>
    <w:rsid w:val="38B93499"/>
    <w:rsid w:val="38BA743B"/>
    <w:rsid w:val="38BB7B3D"/>
    <w:rsid w:val="38BD31FB"/>
    <w:rsid w:val="38BD38B5"/>
    <w:rsid w:val="38BE0CDB"/>
    <w:rsid w:val="38BE13DB"/>
    <w:rsid w:val="38BE3117"/>
    <w:rsid w:val="38BF587F"/>
    <w:rsid w:val="38C364D5"/>
    <w:rsid w:val="38C430B9"/>
    <w:rsid w:val="38C509BB"/>
    <w:rsid w:val="38C516E9"/>
    <w:rsid w:val="38C56769"/>
    <w:rsid w:val="38C56C0D"/>
    <w:rsid w:val="38C7401E"/>
    <w:rsid w:val="38C8225A"/>
    <w:rsid w:val="38CA2E9D"/>
    <w:rsid w:val="38CA4224"/>
    <w:rsid w:val="38CA5F8E"/>
    <w:rsid w:val="38D00445"/>
    <w:rsid w:val="38D34E86"/>
    <w:rsid w:val="38D5710E"/>
    <w:rsid w:val="38D806EF"/>
    <w:rsid w:val="38D81DC4"/>
    <w:rsid w:val="38D90A00"/>
    <w:rsid w:val="38DB4591"/>
    <w:rsid w:val="38E04985"/>
    <w:rsid w:val="38E04A8D"/>
    <w:rsid w:val="38E13F6E"/>
    <w:rsid w:val="38E2331B"/>
    <w:rsid w:val="38E30E42"/>
    <w:rsid w:val="38E31684"/>
    <w:rsid w:val="38E366CF"/>
    <w:rsid w:val="38E726E0"/>
    <w:rsid w:val="38E87616"/>
    <w:rsid w:val="38ED4791"/>
    <w:rsid w:val="38ED5C53"/>
    <w:rsid w:val="38EE1CC0"/>
    <w:rsid w:val="38EF5A38"/>
    <w:rsid w:val="38EF7C2F"/>
    <w:rsid w:val="38F17772"/>
    <w:rsid w:val="38F47B30"/>
    <w:rsid w:val="38F56527"/>
    <w:rsid w:val="38F65D26"/>
    <w:rsid w:val="38F815D3"/>
    <w:rsid w:val="38F82B3F"/>
    <w:rsid w:val="38F85146"/>
    <w:rsid w:val="38FA6DE4"/>
    <w:rsid w:val="38FB3B56"/>
    <w:rsid w:val="38FD1043"/>
    <w:rsid w:val="38FF3ECD"/>
    <w:rsid w:val="39033292"/>
    <w:rsid w:val="39050DB8"/>
    <w:rsid w:val="390521DA"/>
    <w:rsid w:val="3905700A"/>
    <w:rsid w:val="390674B2"/>
    <w:rsid w:val="390908A8"/>
    <w:rsid w:val="390D7B86"/>
    <w:rsid w:val="391060DB"/>
    <w:rsid w:val="3911775D"/>
    <w:rsid w:val="39121996"/>
    <w:rsid w:val="39155CC9"/>
    <w:rsid w:val="39161217"/>
    <w:rsid w:val="39184F8F"/>
    <w:rsid w:val="391A396D"/>
    <w:rsid w:val="391D0DE1"/>
    <w:rsid w:val="391E1A91"/>
    <w:rsid w:val="391E1E7A"/>
    <w:rsid w:val="391F5BE8"/>
    <w:rsid w:val="3921516E"/>
    <w:rsid w:val="39227BBC"/>
    <w:rsid w:val="39231DC6"/>
    <w:rsid w:val="3923219C"/>
    <w:rsid w:val="3924733A"/>
    <w:rsid w:val="392515F3"/>
    <w:rsid w:val="39253208"/>
    <w:rsid w:val="39292CF8"/>
    <w:rsid w:val="392A5548"/>
    <w:rsid w:val="392C0A3B"/>
    <w:rsid w:val="392C27E9"/>
    <w:rsid w:val="392E33FF"/>
    <w:rsid w:val="392F4087"/>
    <w:rsid w:val="3930052B"/>
    <w:rsid w:val="3930729B"/>
    <w:rsid w:val="39311EBA"/>
    <w:rsid w:val="39330ED1"/>
    <w:rsid w:val="39333B77"/>
    <w:rsid w:val="39343745"/>
    <w:rsid w:val="393450E2"/>
    <w:rsid w:val="393618B9"/>
    <w:rsid w:val="393A76FB"/>
    <w:rsid w:val="393C0BCA"/>
    <w:rsid w:val="393D0552"/>
    <w:rsid w:val="393D2C48"/>
    <w:rsid w:val="393D49F6"/>
    <w:rsid w:val="393D53EF"/>
    <w:rsid w:val="393E644C"/>
    <w:rsid w:val="39400042"/>
    <w:rsid w:val="394175B7"/>
    <w:rsid w:val="39461AFC"/>
    <w:rsid w:val="394C61B4"/>
    <w:rsid w:val="3950297B"/>
    <w:rsid w:val="395064D7"/>
    <w:rsid w:val="39507A11"/>
    <w:rsid w:val="395104A1"/>
    <w:rsid w:val="39512091"/>
    <w:rsid w:val="39543E64"/>
    <w:rsid w:val="39553AED"/>
    <w:rsid w:val="39557F91"/>
    <w:rsid w:val="395A5F90"/>
    <w:rsid w:val="395B11CE"/>
    <w:rsid w:val="395D0BF4"/>
    <w:rsid w:val="395F2BBE"/>
    <w:rsid w:val="39603161"/>
    <w:rsid w:val="396106F6"/>
    <w:rsid w:val="39627FB8"/>
    <w:rsid w:val="39644D95"/>
    <w:rsid w:val="39671A73"/>
    <w:rsid w:val="396957EB"/>
    <w:rsid w:val="396C409F"/>
    <w:rsid w:val="396E1DD6"/>
    <w:rsid w:val="396E33EB"/>
    <w:rsid w:val="39705995"/>
    <w:rsid w:val="3972687A"/>
    <w:rsid w:val="39754190"/>
    <w:rsid w:val="39755F3E"/>
    <w:rsid w:val="3976136F"/>
    <w:rsid w:val="39766971"/>
    <w:rsid w:val="39771D61"/>
    <w:rsid w:val="39777AE1"/>
    <w:rsid w:val="39777F08"/>
    <w:rsid w:val="397877DC"/>
    <w:rsid w:val="39790B1B"/>
    <w:rsid w:val="397A13FE"/>
    <w:rsid w:val="397A3745"/>
    <w:rsid w:val="397B72CC"/>
    <w:rsid w:val="397F007B"/>
    <w:rsid w:val="398041A1"/>
    <w:rsid w:val="3980722A"/>
    <w:rsid w:val="39810D86"/>
    <w:rsid w:val="39833122"/>
    <w:rsid w:val="39847402"/>
    <w:rsid w:val="398647D6"/>
    <w:rsid w:val="39877995"/>
    <w:rsid w:val="398B5761"/>
    <w:rsid w:val="398B750F"/>
    <w:rsid w:val="398C683F"/>
    <w:rsid w:val="398D44FC"/>
    <w:rsid w:val="39902D77"/>
    <w:rsid w:val="39910DD9"/>
    <w:rsid w:val="39916AF0"/>
    <w:rsid w:val="39934616"/>
    <w:rsid w:val="3995038E"/>
    <w:rsid w:val="39972358"/>
    <w:rsid w:val="399724DB"/>
    <w:rsid w:val="399830AD"/>
    <w:rsid w:val="399C542F"/>
    <w:rsid w:val="399C796E"/>
    <w:rsid w:val="399D36E6"/>
    <w:rsid w:val="39A078A0"/>
    <w:rsid w:val="39A14F85"/>
    <w:rsid w:val="39A369DF"/>
    <w:rsid w:val="39A836C1"/>
    <w:rsid w:val="39A965F2"/>
    <w:rsid w:val="39AB1F27"/>
    <w:rsid w:val="39AB2E16"/>
    <w:rsid w:val="39AD3929"/>
    <w:rsid w:val="39AE6463"/>
    <w:rsid w:val="39AE76A2"/>
    <w:rsid w:val="39B01653"/>
    <w:rsid w:val="39B34182"/>
    <w:rsid w:val="39B527DE"/>
    <w:rsid w:val="39B65E08"/>
    <w:rsid w:val="39B80B16"/>
    <w:rsid w:val="39BC591B"/>
    <w:rsid w:val="39BD1693"/>
    <w:rsid w:val="39BF3306"/>
    <w:rsid w:val="39BF540B"/>
    <w:rsid w:val="39C2240A"/>
    <w:rsid w:val="39C26CA9"/>
    <w:rsid w:val="39C45AE1"/>
    <w:rsid w:val="39C80763"/>
    <w:rsid w:val="39C834E2"/>
    <w:rsid w:val="39C864C5"/>
    <w:rsid w:val="39C96289"/>
    <w:rsid w:val="39CA3915"/>
    <w:rsid w:val="39CB0253"/>
    <w:rsid w:val="39CB740D"/>
    <w:rsid w:val="39CC2A82"/>
    <w:rsid w:val="39CD3FCC"/>
    <w:rsid w:val="39CE0641"/>
    <w:rsid w:val="39CF1B0C"/>
    <w:rsid w:val="39D02E0A"/>
    <w:rsid w:val="39D05844"/>
    <w:rsid w:val="39D55A01"/>
    <w:rsid w:val="39D57E34"/>
    <w:rsid w:val="39D7143D"/>
    <w:rsid w:val="39D864CC"/>
    <w:rsid w:val="39D968A0"/>
    <w:rsid w:val="39DA282A"/>
    <w:rsid w:val="39DB368A"/>
    <w:rsid w:val="39DC7D6B"/>
    <w:rsid w:val="39DD5DE7"/>
    <w:rsid w:val="39DE7F87"/>
    <w:rsid w:val="39E05BC6"/>
    <w:rsid w:val="39E11825"/>
    <w:rsid w:val="39E245F9"/>
    <w:rsid w:val="39E62997"/>
    <w:rsid w:val="39E73B05"/>
    <w:rsid w:val="39E80EC0"/>
    <w:rsid w:val="39EA77A0"/>
    <w:rsid w:val="39EC65AC"/>
    <w:rsid w:val="39F02795"/>
    <w:rsid w:val="39F07CBA"/>
    <w:rsid w:val="39F27413"/>
    <w:rsid w:val="39F452CD"/>
    <w:rsid w:val="39F839AC"/>
    <w:rsid w:val="39FA26AF"/>
    <w:rsid w:val="39FD1520"/>
    <w:rsid w:val="39FF3A59"/>
    <w:rsid w:val="39FF3BFA"/>
    <w:rsid w:val="39FF676A"/>
    <w:rsid w:val="3A021F67"/>
    <w:rsid w:val="3A0241BD"/>
    <w:rsid w:val="3A0C109C"/>
    <w:rsid w:val="3A0D78F2"/>
    <w:rsid w:val="3A12461D"/>
    <w:rsid w:val="3A1439A9"/>
    <w:rsid w:val="3A15327D"/>
    <w:rsid w:val="3A156E7D"/>
    <w:rsid w:val="3A186706"/>
    <w:rsid w:val="3A1C3049"/>
    <w:rsid w:val="3A1C4631"/>
    <w:rsid w:val="3A1F2C73"/>
    <w:rsid w:val="3A220ABD"/>
    <w:rsid w:val="3A234B2E"/>
    <w:rsid w:val="3A243B97"/>
    <w:rsid w:val="3A2B0CF2"/>
    <w:rsid w:val="3A2D05C6"/>
    <w:rsid w:val="3A30455A"/>
    <w:rsid w:val="3A31374A"/>
    <w:rsid w:val="3A3169B0"/>
    <w:rsid w:val="3A3257CF"/>
    <w:rsid w:val="3A340B0B"/>
    <w:rsid w:val="3A351565"/>
    <w:rsid w:val="3A351C27"/>
    <w:rsid w:val="3A361B71"/>
    <w:rsid w:val="3A383CB2"/>
    <w:rsid w:val="3A38766F"/>
    <w:rsid w:val="3A3C355E"/>
    <w:rsid w:val="3A3C4CAD"/>
    <w:rsid w:val="3A3D1187"/>
    <w:rsid w:val="3A3F654C"/>
    <w:rsid w:val="3A3F68EA"/>
    <w:rsid w:val="3A3F7F22"/>
    <w:rsid w:val="3A40479E"/>
    <w:rsid w:val="3A4164A5"/>
    <w:rsid w:val="3A426B43"/>
    <w:rsid w:val="3A4447B2"/>
    <w:rsid w:val="3A451DB4"/>
    <w:rsid w:val="3A4604CC"/>
    <w:rsid w:val="3A485CA9"/>
    <w:rsid w:val="3A4909BD"/>
    <w:rsid w:val="3A4A00A8"/>
    <w:rsid w:val="3A4A72A3"/>
    <w:rsid w:val="3A4B0824"/>
    <w:rsid w:val="3A4C5D6C"/>
    <w:rsid w:val="3A4D19D4"/>
    <w:rsid w:val="3A4F678F"/>
    <w:rsid w:val="3A525947"/>
    <w:rsid w:val="3A52705B"/>
    <w:rsid w:val="3A531190"/>
    <w:rsid w:val="3A532C86"/>
    <w:rsid w:val="3A542215"/>
    <w:rsid w:val="3A580D7A"/>
    <w:rsid w:val="3A5867E9"/>
    <w:rsid w:val="3A59585F"/>
    <w:rsid w:val="3A5A3DE1"/>
    <w:rsid w:val="3A5A59FA"/>
    <w:rsid w:val="3A5D7130"/>
    <w:rsid w:val="3A5E2E76"/>
    <w:rsid w:val="3A5E4C24"/>
    <w:rsid w:val="3A5E7E93"/>
    <w:rsid w:val="3A5F50F7"/>
    <w:rsid w:val="3A601A2D"/>
    <w:rsid w:val="3A60672A"/>
    <w:rsid w:val="3A60703B"/>
    <w:rsid w:val="3A61085A"/>
    <w:rsid w:val="3A633EFE"/>
    <w:rsid w:val="3A6369BA"/>
    <w:rsid w:val="3A6730A3"/>
    <w:rsid w:val="3A681C72"/>
    <w:rsid w:val="3A6A5B10"/>
    <w:rsid w:val="3A6C2245"/>
    <w:rsid w:val="3A6D130B"/>
    <w:rsid w:val="3A6D4E67"/>
    <w:rsid w:val="3A6F27BA"/>
    <w:rsid w:val="3A6F6E31"/>
    <w:rsid w:val="3A744447"/>
    <w:rsid w:val="3A7601BF"/>
    <w:rsid w:val="3A7A7B33"/>
    <w:rsid w:val="3A816B64"/>
    <w:rsid w:val="3A825DDE"/>
    <w:rsid w:val="3A830B2E"/>
    <w:rsid w:val="3A83468A"/>
    <w:rsid w:val="3A846FC3"/>
    <w:rsid w:val="3A860E49"/>
    <w:rsid w:val="3A8A2E3E"/>
    <w:rsid w:val="3A8B353F"/>
    <w:rsid w:val="3A8F1281"/>
    <w:rsid w:val="3A95616C"/>
    <w:rsid w:val="3A9B6793"/>
    <w:rsid w:val="3A9D2F2C"/>
    <w:rsid w:val="3AA0523C"/>
    <w:rsid w:val="3AA06FEA"/>
    <w:rsid w:val="3AA30100"/>
    <w:rsid w:val="3AA30888"/>
    <w:rsid w:val="3AA43493"/>
    <w:rsid w:val="3AA47D1A"/>
    <w:rsid w:val="3AA64A0C"/>
    <w:rsid w:val="3AA8387C"/>
    <w:rsid w:val="3AAA1C17"/>
    <w:rsid w:val="3AAD6AC6"/>
    <w:rsid w:val="3AAD7959"/>
    <w:rsid w:val="3AAD7C02"/>
    <w:rsid w:val="3AAE5142"/>
    <w:rsid w:val="3AB111F7"/>
    <w:rsid w:val="3AB31C5D"/>
    <w:rsid w:val="3AB343AB"/>
    <w:rsid w:val="3AB62162"/>
    <w:rsid w:val="3AB7090A"/>
    <w:rsid w:val="3AB7160D"/>
    <w:rsid w:val="3AB73267"/>
    <w:rsid w:val="3AB900AC"/>
    <w:rsid w:val="3AB94E96"/>
    <w:rsid w:val="3ABB2076"/>
    <w:rsid w:val="3ABE2993"/>
    <w:rsid w:val="3AC147A5"/>
    <w:rsid w:val="3AC16F61"/>
    <w:rsid w:val="3AC30F2B"/>
    <w:rsid w:val="3AC32A70"/>
    <w:rsid w:val="3AC37A6B"/>
    <w:rsid w:val="3AC423BF"/>
    <w:rsid w:val="3AC52EF5"/>
    <w:rsid w:val="3AC65D45"/>
    <w:rsid w:val="3AC776D7"/>
    <w:rsid w:val="3AC94DA9"/>
    <w:rsid w:val="3ACC3DD7"/>
    <w:rsid w:val="3ACD1DA9"/>
    <w:rsid w:val="3ACE6B2C"/>
    <w:rsid w:val="3ACE7FFB"/>
    <w:rsid w:val="3AD07404"/>
    <w:rsid w:val="3AD14283"/>
    <w:rsid w:val="3AD273C0"/>
    <w:rsid w:val="3AD3060E"/>
    <w:rsid w:val="3AD35612"/>
    <w:rsid w:val="3AD35CDD"/>
    <w:rsid w:val="3AD46C94"/>
    <w:rsid w:val="3AD52BF8"/>
    <w:rsid w:val="3AD57AD7"/>
    <w:rsid w:val="3AD7041F"/>
    <w:rsid w:val="3AD74A85"/>
    <w:rsid w:val="3AD8588A"/>
    <w:rsid w:val="3AD85C82"/>
    <w:rsid w:val="3ADB4647"/>
    <w:rsid w:val="3ADB6274"/>
    <w:rsid w:val="3ADB6EFD"/>
    <w:rsid w:val="3ADC631C"/>
    <w:rsid w:val="3ADD4291"/>
    <w:rsid w:val="3AE01ADD"/>
    <w:rsid w:val="3AE02C12"/>
    <w:rsid w:val="3AE03F44"/>
    <w:rsid w:val="3AE07043"/>
    <w:rsid w:val="3AE113B1"/>
    <w:rsid w:val="3AE25855"/>
    <w:rsid w:val="3AE35149"/>
    <w:rsid w:val="3AE42A27"/>
    <w:rsid w:val="3AE66429"/>
    <w:rsid w:val="3AE66A84"/>
    <w:rsid w:val="3AE707CA"/>
    <w:rsid w:val="3AEA64B7"/>
    <w:rsid w:val="3AEB1466"/>
    <w:rsid w:val="3AEC222F"/>
    <w:rsid w:val="3AED1748"/>
    <w:rsid w:val="3AEE244B"/>
    <w:rsid w:val="3AEF5E7C"/>
    <w:rsid w:val="3AF15824"/>
    <w:rsid w:val="3AF15A98"/>
    <w:rsid w:val="3AF20837"/>
    <w:rsid w:val="3AF33C79"/>
    <w:rsid w:val="3AF85A22"/>
    <w:rsid w:val="3AFA0DF0"/>
    <w:rsid w:val="3AFB0BB8"/>
    <w:rsid w:val="3AFB6C09"/>
    <w:rsid w:val="3AFC62E5"/>
    <w:rsid w:val="3AFD44E9"/>
    <w:rsid w:val="3AFF1F91"/>
    <w:rsid w:val="3B011405"/>
    <w:rsid w:val="3B020F5F"/>
    <w:rsid w:val="3B033335"/>
    <w:rsid w:val="3B035FAC"/>
    <w:rsid w:val="3B051543"/>
    <w:rsid w:val="3B0532F1"/>
    <w:rsid w:val="3B0603D8"/>
    <w:rsid w:val="3B061A2D"/>
    <w:rsid w:val="3B0949EF"/>
    <w:rsid w:val="3B0A6B5A"/>
    <w:rsid w:val="3B0B7708"/>
    <w:rsid w:val="3B0F69DA"/>
    <w:rsid w:val="3B117D1D"/>
    <w:rsid w:val="3B125121"/>
    <w:rsid w:val="3B1310C0"/>
    <w:rsid w:val="3B143CDD"/>
    <w:rsid w:val="3B1479D8"/>
    <w:rsid w:val="3B15619A"/>
    <w:rsid w:val="3B157003"/>
    <w:rsid w:val="3B170965"/>
    <w:rsid w:val="3B174FE4"/>
    <w:rsid w:val="3B180FBF"/>
    <w:rsid w:val="3B183024"/>
    <w:rsid w:val="3B1A2737"/>
    <w:rsid w:val="3B1B4F82"/>
    <w:rsid w:val="3B1E1EE3"/>
    <w:rsid w:val="3B201ED9"/>
    <w:rsid w:val="3B2220F5"/>
    <w:rsid w:val="3B223EA3"/>
    <w:rsid w:val="3B23389E"/>
    <w:rsid w:val="3B236155"/>
    <w:rsid w:val="3B253993"/>
    <w:rsid w:val="3B27770B"/>
    <w:rsid w:val="3B280033"/>
    <w:rsid w:val="3B284357"/>
    <w:rsid w:val="3B2929B3"/>
    <w:rsid w:val="3B2A1AA2"/>
    <w:rsid w:val="3B2A71FC"/>
    <w:rsid w:val="3B2B47D3"/>
    <w:rsid w:val="3B2C6AD0"/>
    <w:rsid w:val="3B300DFB"/>
    <w:rsid w:val="3B305927"/>
    <w:rsid w:val="3B312AAE"/>
    <w:rsid w:val="3B313D2D"/>
    <w:rsid w:val="3B337E25"/>
    <w:rsid w:val="3B3479AB"/>
    <w:rsid w:val="3B36794F"/>
    <w:rsid w:val="3B38059C"/>
    <w:rsid w:val="3B385475"/>
    <w:rsid w:val="3B3A381D"/>
    <w:rsid w:val="3B3A70B3"/>
    <w:rsid w:val="3B3B31B7"/>
    <w:rsid w:val="3B3E5963"/>
    <w:rsid w:val="3B42376F"/>
    <w:rsid w:val="3B467D00"/>
    <w:rsid w:val="3B473250"/>
    <w:rsid w:val="3B47390A"/>
    <w:rsid w:val="3B4958D4"/>
    <w:rsid w:val="3B4C078F"/>
    <w:rsid w:val="3B4C0F20"/>
    <w:rsid w:val="3B4D3158"/>
    <w:rsid w:val="3B501C3D"/>
    <w:rsid w:val="3B516536"/>
    <w:rsid w:val="3B5351C8"/>
    <w:rsid w:val="3B535EA0"/>
    <w:rsid w:val="3B542D8C"/>
    <w:rsid w:val="3B547DD5"/>
    <w:rsid w:val="3B5833C3"/>
    <w:rsid w:val="3B5A4B44"/>
    <w:rsid w:val="3B5B2B56"/>
    <w:rsid w:val="3B5E6E75"/>
    <w:rsid w:val="3B5F0C53"/>
    <w:rsid w:val="3B5F6CB1"/>
    <w:rsid w:val="3B605CF3"/>
    <w:rsid w:val="3B623BB1"/>
    <w:rsid w:val="3B630EF4"/>
    <w:rsid w:val="3B631895"/>
    <w:rsid w:val="3B651551"/>
    <w:rsid w:val="3B654B07"/>
    <w:rsid w:val="3B694F97"/>
    <w:rsid w:val="3B6953A3"/>
    <w:rsid w:val="3B6A75F8"/>
    <w:rsid w:val="3B6C215E"/>
    <w:rsid w:val="3B7010B2"/>
    <w:rsid w:val="3B716DF8"/>
    <w:rsid w:val="3B753CD7"/>
    <w:rsid w:val="3B7641EF"/>
    <w:rsid w:val="3B782EAA"/>
    <w:rsid w:val="3B783AC3"/>
    <w:rsid w:val="3B7D37CF"/>
    <w:rsid w:val="3B7D557D"/>
    <w:rsid w:val="3B7E6550"/>
    <w:rsid w:val="3B7E6C11"/>
    <w:rsid w:val="3B804E7C"/>
    <w:rsid w:val="3B8107CA"/>
    <w:rsid w:val="3B835649"/>
    <w:rsid w:val="3B836A7A"/>
    <w:rsid w:val="3B837FE1"/>
    <w:rsid w:val="3B8F1F8C"/>
    <w:rsid w:val="3B9308FD"/>
    <w:rsid w:val="3B99218B"/>
    <w:rsid w:val="3B9E0E08"/>
    <w:rsid w:val="3B9E1685"/>
    <w:rsid w:val="3B9F72A2"/>
    <w:rsid w:val="3BA24FE4"/>
    <w:rsid w:val="3BA32073"/>
    <w:rsid w:val="3BA448B8"/>
    <w:rsid w:val="3BA47D82"/>
    <w:rsid w:val="3BA66882"/>
    <w:rsid w:val="3BA725FA"/>
    <w:rsid w:val="3BAA4638"/>
    <w:rsid w:val="3BAB0D0E"/>
    <w:rsid w:val="3BAB34BA"/>
    <w:rsid w:val="3BAD75AB"/>
    <w:rsid w:val="3BAE7611"/>
    <w:rsid w:val="3BB014AF"/>
    <w:rsid w:val="3BB01BF9"/>
    <w:rsid w:val="3BB05953"/>
    <w:rsid w:val="3BB15227"/>
    <w:rsid w:val="3BB3575B"/>
    <w:rsid w:val="3BB431FC"/>
    <w:rsid w:val="3BB43871"/>
    <w:rsid w:val="3BB46AFC"/>
    <w:rsid w:val="3BB545D4"/>
    <w:rsid w:val="3BB55065"/>
    <w:rsid w:val="3BB70A8F"/>
    <w:rsid w:val="3BB738FF"/>
    <w:rsid w:val="3BBA40DC"/>
    <w:rsid w:val="3BBB4275"/>
    <w:rsid w:val="3BBB4756"/>
    <w:rsid w:val="3BBC0A63"/>
    <w:rsid w:val="3BBD3CBB"/>
    <w:rsid w:val="3BBD508A"/>
    <w:rsid w:val="3BBD597A"/>
    <w:rsid w:val="3BBE68B6"/>
    <w:rsid w:val="3BC1546A"/>
    <w:rsid w:val="3BC33901"/>
    <w:rsid w:val="3BC56B64"/>
    <w:rsid w:val="3BC73B35"/>
    <w:rsid w:val="3BC84D65"/>
    <w:rsid w:val="3BC8543C"/>
    <w:rsid w:val="3BC85517"/>
    <w:rsid w:val="3BC907C3"/>
    <w:rsid w:val="3BCA0E79"/>
    <w:rsid w:val="3BCE402B"/>
    <w:rsid w:val="3BCE6C1F"/>
    <w:rsid w:val="3BCF518A"/>
    <w:rsid w:val="3BCF5A2A"/>
    <w:rsid w:val="3BD11425"/>
    <w:rsid w:val="3BD12F39"/>
    <w:rsid w:val="3BD42201"/>
    <w:rsid w:val="3BD54A59"/>
    <w:rsid w:val="3BD827B4"/>
    <w:rsid w:val="3BD86C58"/>
    <w:rsid w:val="3BDA29D0"/>
    <w:rsid w:val="3BDA7C1C"/>
    <w:rsid w:val="3BDB34DF"/>
    <w:rsid w:val="3BDC04F6"/>
    <w:rsid w:val="3BDE6333"/>
    <w:rsid w:val="3BE05D81"/>
    <w:rsid w:val="3BE104E3"/>
    <w:rsid w:val="3BE11B2A"/>
    <w:rsid w:val="3BE14825"/>
    <w:rsid w:val="3BE21884"/>
    <w:rsid w:val="3BE2277D"/>
    <w:rsid w:val="3BE23822"/>
    <w:rsid w:val="3BE3135C"/>
    <w:rsid w:val="3BE47317"/>
    <w:rsid w:val="3BE51B6A"/>
    <w:rsid w:val="3BE57666"/>
    <w:rsid w:val="3BE64C6A"/>
    <w:rsid w:val="3BE837B4"/>
    <w:rsid w:val="3BE91E7F"/>
    <w:rsid w:val="3BEB52A9"/>
    <w:rsid w:val="3BED0A07"/>
    <w:rsid w:val="3BED218D"/>
    <w:rsid w:val="3BEE1FD7"/>
    <w:rsid w:val="3BEF5E66"/>
    <w:rsid w:val="3BF13876"/>
    <w:rsid w:val="3BF25A29"/>
    <w:rsid w:val="3BF84C04"/>
    <w:rsid w:val="3BF910A8"/>
    <w:rsid w:val="3BFA6BCE"/>
    <w:rsid w:val="3BFC64A2"/>
    <w:rsid w:val="3C007AC4"/>
    <w:rsid w:val="3C017F5D"/>
    <w:rsid w:val="3C025A83"/>
    <w:rsid w:val="3C027E36"/>
    <w:rsid w:val="3C0435A9"/>
    <w:rsid w:val="3C044687"/>
    <w:rsid w:val="3C067321"/>
    <w:rsid w:val="3C0A4D16"/>
    <w:rsid w:val="3C0B10D5"/>
    <w:rsid w:val="3C0F313B"/>
    <w:rsid w:val="3C101B8D"/>
    <w:rsid w:val="3C12737C"/>
    <w:rsid w:val="3C13747B"/>
    <w:rsid w:val="3C1465C3"/>
    <w:rsid w:val="3C152AF5"/>
    <w:rsid w:val="3C1557B6"/>
    <w:rsid w:val="3C157564"/>
    <w:rsid w:val="3C16379A"/>
    <w:rsid w:val="3C177780"/>
    <w:rsid w:val="3C1F2841"/>
    <w:rsid w:val="3C225D0A"/>
    <w:rsid w:val="3C256A70"/>
    <w:rsid w:val="3C27372F"/>
    <w:rsid w:val="3C290A23"/>
    <w:rsid w:val="3C2C71A5"/>
    <w:rsid w:val="3C2D2B00"/>
    <w:rsid w:val="3C2D447E"/>
    <w:rsid w:val="3C2E5791"/>
    <w:rsid w:val="3C332EBE"/>
    <w:rsid w:val="3C3420E0"/>
    <w:rsid w:val="3C3642B7"/>
    <w:rsid w:val="3C37397E"/>
    <w:rsid w:val="3C3873EC"/>
    <w:rsid w:val="3C40376A"/>
    <w:rsid w:val="3C410359"/>
    <w:rsid w:val="3C4270A9"/>
    <w:rsid w:val="3C4318B0"/>
    <w:rsid w:val="3C441DC2"/>
    <w:rsid w:val="3C464312"/>
    <w:rsid w:val="3C480F98"/>
    <w:rsid w:val="3C485B8B"/>
    <w:rsid w:val="3C493E80"/>
    <w:rsid w:val="3C4B1C3D"/>
    <w:rsid w:val="3C4C6976"/>
    <w:rsid w:val="3C4D4F50"/>
    <w:rsid w:val="3C506122"/>
    <w:rsid w:val="3C541BBE"/>
    <w:rsid w:val="3C541E0D"/>
    <w:rsid w:val="3C541F51"/>
    <w:rsid w:val="3C561796"/>
    <w:rsid w:val="3C562EF0"/>
    <w:rsid w:val="3C577D2E"/>
    <w:rsid w:val="3C591B47"/>
    <w:rsid w:val="3C5964A8"/>
    <w:rsid w:val="3C597D99"/>
    <w:rsid w:val="3C5C3FC2"/>
    <w:rsid w:val="3C5D29F0"/>
    <w:rsid w:val="3C650B22"/>
    <w:rsid w:val="3C6B206F"/>
    <w:rsid w:val="3C6B35D0"/>
    <w:rsid w:val="3C6C2C0E"/>
    <w:rsid w:val="3C6C6155"/>
    <w:rsid w:val="3C6C772B"/>
    <w:rsid w:val="3C6D4580"/>
    <w:rsid w:val="3C6F136A"/>
    <w:rsid w:val="3C700C3E"/>
    <w:rsid w:val="3C740F4F"/>
    <w:rsid w:val="3C7539B7"/>
    <w:rsid w:val="3C756198"/>
    <w:rsid w:val="3C7626F9"/>
    <w:rsid w:val="3C7A703A"/>
    <w:rsid w:val="3C7C5835"/>
    <w:rsid w:val="3C8223B5"/>
    <w:rsid w:val="3C8367CC"/>
    <w:rsid w:val="3C856409"/>
    <w:rsid w:val="3C862210"/>
    <w:rsid w:val="3C863640"/>
    <w:rsid w:val="3C86517E"/>
    <w:rsid w:val="3C8B3CCA"/>
    <w:rsid w:val="3C8D4FC7"/>
    <w:rsid w:val="3C8E74C0"/>
    <w:rsid w:val="3C955537"/>
    <w:rsid w:val="3C982CA7"/>
    <w:rsid w:val="3C9A2914"/>
    <w:rsid w:val="3C9C1A33"/>
    <w:rsid w:val="3C9C5234"/>
    <w:rsid w:val="3C9C66B4"/>
    <w:rsid w:val="3CA14805"/>
    <w:rsid w:val="3CA16D0C"/>
    <w:rsid w:val="3CA1704A"/>
    <w:rsid w:val="3CA27F74"/>
    <w:rsid w:val="3CA36517"/>
    <w:rsid w:val="3CA64660"/>
    <w:rsid w:val="3CA809E1"/>
    <w:rsid w:val="3CA8487C"/>
    <w:rsid w:val="3CA8505F"/>
    <w:rsid w:val="3CA97838"/>
    <w:rsid w:val="3CAA54CE"/>
    <w:rsid w:val="3CAB7EC8"/>
    <w:rsid w:val="3CAD2B7D"/>
    <w:rsid w:val="3CAE7391"/>
    <w:rsid w:val="3CAF40A0"/>
    <w:rsid w:val="3CB034FE"/>
    <w:rsid w:val="3CB257FF"/>
    <w:rsid w:val="3CB324B6"/>
    <w:rsid w:val="3CB43221"/>
    <w:rsid w:val="3CB533D6"/>
    <w:rsid w:val="3CB72D11"/>
    <w:rsid w:val="3CB7686D"/>
    <w:rsid w:val="3CBA255F"/>
    <w:rsid w:val="3CBB2900"/>
    <w:rsid w:val="3CBC56FE"/>
    <w:rsid w:val="3CBC5CAE"/>
    <w:rsid w:val="3CC1149A"/>
    <w:rsid w:val="3CC11CFC"/>
    <w:rsid w:val="3CC17597"/>
    <w:rsid w:val="3CC45B80"/>
    <w:rsid w:val="3CC626D7"/>
    <w:rsid w:val="3CC66AB0"/>
    <w:rsid w:val="3CC80D5D"/>
    <w:rsid w:val="3CC82828"/>
    <w:rsid w:val="3CC95107"/>
    <w:rsid w:val="3CCA2A44"/>
    <w:rsid w:val="3CCC7305"/>
    <w:rsid w:val="3CD00846"/>
    <w:rsid w:val="3CD236AA"/>
    <w:rsid w:val="3CD32E13"/>
    <w:rsid w:val="3CD73725"/>
    <w:rsid w:val="3CD93138"/>
    <w:rsid w:val="3CD94A35"/>
    <w:rsid w:val="3CDB07AE"/>
    <w:rsid w:val="3CDB7754"/>
    <w:rsid w:val="3CDC535E"/>
    <w:rsid w:val="3CDD06FA"/>
    <w:rsid w:val="3CDE01D9"/>
    <w:rsid w:val="3CE10A05"/>
    <w:rsid w:val="3CE33B06"/>
    <w:rsid w:val="3CE358B4"/>
    <w:rsid w:val="3CE36F49"/>
    <w:rsid w:val="3CE77152"/>
    <w:rsid w:val="3CEB33F8"/>
    <w:rsid w:val="3CEC1573"/>
    <w:rsid w:val="3CEC19FB"/>
    <w:rsid w:val="3CEC29BB"/>
    <w:rsid w:val="3CEC4769"/>
    <w:rsid w:val="3CED6733"/>
    <w:rsid w:val="3CEF4B43"/>
    <w:rsid w:val="3CF33D49"/>
    <w:rsid w:val="3CF47AC1"/>
    <w:rsid w:val="3CF52898"/>
    <w:rsid w:val="3CF655E7"/>
    <w:rsid w:val="3CF87A96"/>
    <w:rsid w:val="3CF950D8"/>
    <w:rsid w:val="3CF962AB"/>
    <w:rsid w:val="3CF96E86"/>
    <w:rsid w:val="3CFA2845"/>
    <w:rsid w:val="3CFD4BC8"/>
    <w:rsid w:val="3CFE0D79"/>
    <w:rsid w:val="3CFF178B"/>
    <w:rsid w:val="3D06469E"/>
    <w:rsid w:val="3D0737A9"/>
    <w:rsid w:val="3D0777F5"/>
    <w:rsid w:val="3D080C3E"/>
    <w:rsid w:val="3D0A4BEF"/>
    <w:rsid w:val="3D0C064B"/>
    <w:rsid w:val="3D0C37AF"/>
    <w:rsid w:val="3D0D40C6"/>
    <w:rsid w:val="3D0E47D6"/>
    <w:rsid w:val="3D0F786D"/>
    <w:rsid w:val="3D115F7D"/>
    <w:rsid w:val="3D136199"/>
    <w:rsid w:val="3D1413C8"/>
    <w:rsid w:val="3D143AEE"/>
    <w:rsid w:val="3D14529E"/>
    <w:rsid w:val="3D165E8C"/>
    <w:rsid w:val="3D194358"/>
    <w:rsid w:val="3D1A798A"/>
    <w:rsid w:val="3D1C3055"/>
    <w:rsid w:val="3D1C4922"/>
    <w:rsid w:val="3D204412"/>
    <w:rsid w:val="3D22018A"/>
    <w:rsid w:val="3D223932"/>
    <w:rsid w:val="3D232155"/>
    <w:rsid w:val="3D2415AC"/>
    <w:rsid w:val="3D2757A1"/>
    <w:rsid w:val="3D281519"/>
    <w:rsid w:val="3D2C3663"/>
    <w:rsid w:val="3D2D341C"/>
    <w:rsid w:val="3D300B58"/>
    <w:rsid w:val="3D311C7C"/>
    <w:rsid w:val="3D314871"/>
    <w:rsid w:val="3D324BB7"/>
    <w:rsid w:val="3D346110"/>
    <w:rsid w:val="3D3777C8"/>
    <w:rsid w:val="3D393BB1"/>
    <w:rsid w:val="3D3954D4"/>
    <w:rsid w:val="3D3A5D6D"/>
    <w:rsid w:val="3D3B124C"/>
    <w:rsid w:val="3D3B2FFA"/>
    <w:rsid w:val="3D3B56F0"/>
    <w:rsid w:val="3D3C244E"/>
    <w:rsid w:val="3D3D4FC4"/>
    <w:rsid w:val="3D3F6F8E"/>
    <w:rsid w:val="3D3F7442"/>
    <w:rsid w:val="3D404AB5"/>
    <w:rsid w:val="3D406863"/>
    <w:rsid w:val="3D4218E5"/>
    <w:rsid w:val="3D436353"/>
    <w:rsid w:val="3D440489"/>
    <w:rsid w:val="3D451162"/>
    <w:rsid w:val="3D464256"/>
    <w:rsid w:val="3D4733C3"/>
    <w:rsid w:val="3D485717"/>
    <w:rsid w:val="3D4A5478"/>
    <w:rsid w:val="3D4E71D1"/>
    <w:rsid w:val="3D4F2F4A"/>
    <w:rsid w:val="3D51281E"/>
    <w:rsid w:val="3D516792"/>
    <w:rsid w:val="3D516CC2"/>
    <w:rsid w:val="3D532B6D"/>
    <w:rsid w:val="3D555E47"/>
    <w:rsid w:val="3D5A3D61"/>
    <w:rsid w:val="3D5C49EF"/>
    <w:rsid w:val="3D5D647C"/>
    <w:rsid w:val="3D5F13DF"/>
    <w:rsid w:val="3D606F05"/>
    <w:rsid w:val="3D627E02"/>
    <w:rsid w:val="3D632551"/>
    <w:rsid w:val="3D641A85"/>
    <w:rsid w:val="3D6476A8"/>
    <w:rsid w:val="3D654B68"/>
    <w:rsid w:val="3D6562C9"/>
    <w:rsid w:val="3D6805FB"/>
    <w:rsid w:val="3D69646F"/>
    <w:rsid w:val="3D6A0A80"/>
    <w:rsid w:val="3D6C098B"/>
    <w:rsid w:val="3D6C4E3E"/>
    <w:rsid w:val="3D6C58AA"/>
    <w:rsid w:val="3D6D1026"/>
    <w:rsid w:val="3D711112"/>
    <w:rsid w:val="3D72217D"/>
    <w:rsid w:val="3D7310BF"/>
    <w:rsid w:val="3D74475E"/>
    <w:rsid w:val="3D765F0E"/>
    <w:rsid w:val="3D766728"/>
    <w:rsid w:val="3D79028A"/>
    <w:rsid w:val="3D7977B7"/>
    <w:rsid w:val="3D7A6218"/>
    <w:rsid w:val="3D7C2FF5"/>
    <w:rsid w:val="3D7F1816"/>
    <w:rsid w:val="3D7F382F"/>
    <w:rsid w:val="3D801355"/>
    <w:rsid w:val="3D802027"/>
    <w:rsid w:val="3D8076FD"/>
    <w:rsid w:val="3D816779"/>
    <w:rsid w:val="3D842BF3"/>
    <w:rsid w:val="3D850719"/>
    <w:rsid w:val="3D85757B"/>
    <w:rsid w:val="3D8B6754"/>
    <w:rsid w:val="3D8B718C"/>
    <w:rsid w:val="3D8E3A72"/>
    <w:rsid w:val="3D8F3346"/>
    <w:rsid w:val="3D8F4C75"/>
    <w:rsid w:val="3D95265F"/>
    <w:rsid w:val="3D952B40"/>
    <w:rsid w:val="3D956BAE"/>
    <w:rsid w:val="3D9C33D4"/>
    <w:rsid w:val="3DA0764A"/>
    <w:rsid w:val="3DA43295"/>
    <w:rsid w:val="3DA51EF6"/>
    <w:rsid w:val="3DA6012C"/>
    <w:rsid w:val="3DA60DBB"/>
    <w:rsid w:val="3DA70690"/>
    <w:rsid w:val="3DA75A55"/>
    <w:rsid w:val="3DA90C0B"/>
    <w:rsid w:val="3DAA3342"/>
    <w:rsid w:val="3DAB1E38"/>
    <w:rsid w:val="3DAC6CE1"/>
    <w:rsid w:val="3DAE3153"/>
    <w:rsid w:val="3DAE3D88"/>
    <w:rsid w:val="3DAF5796"/>
    <w:rsid w:val="3DB00644"/>
    <w:rsid w:val="3DB06CBA"/>
    <w:rsid w:val="3DB159B2"/>
    <w:rsid w:val="3DB23467"/>
    <w:rsid w:val="3DB459CA"/>
    <w:rsid w:val="3DB52051"/>
    <w:rsid w:val="3DB6341F"/>
    <w:rsid w:val="3DB66B25"/>
    <w:rsid w:val="3DB673CB"/>
    <w:rsid w:val="3DB902F9"/>
    <w:rsid w:val="3DBB413B"/>
    <w:rsid w:val="3DC06319"/>
    <w:rsid w:val="3DC141DE"/>
    <w:rsid w:val="3DC24C44"/>
    <w:rsid w:val="3DC6023A"/>
    <w:rsid w:val="3DC63261"/>
    <w:rsid w:val="3DC70D32"/>
    <w:rsid w:val="3DC92CFC"/>
    <w:rsid w:val="3DC96858"/>
    <w:rsid w:val="3DCA4932"/>
    <w:rsid w:val="3DCC606F"/>
    <w:rsid w:val="3DCC7E1D"/>
    <w:rsid w:val="3DD0408A"/>
    <w:rsid w:val="3DD554C0"/>
    <w:rsid w:val="3DD60F75"/>
    <w:rsid w:val="3DDD67A7"/>
    <w:rsid w:val="3DDF3C75"/>
    <w:rsid w:val="3DE019AF"/>
    <w:rsid w:val="3DE03515"/>
    <w:rsid w:val="3DE15BC8"/>
    <w:rsid w:val="3DE304A8"/>
    <w:rsid w:val="3DE356DF"/>
    <w:rsid w:val="3DE52903"/>
    <w:rsid w:val="3DE713D4"/>
    <w:rsid w:val="3DE72818"/>
    <w:rsid w:val="3DEA51FF"/>
    <w:rsid w:val="3DEC4562"/>
    <w:rsid w:val="3DEE62BF"/>
    <w:rsid w:val="3DEF2017"/>
    <w:rsid w:val="3DF00289"/>
    <w:rsid w:val="3DF15512"/>
    <w:rsid w:val="3DF20A21"/>
    <w:rsid w:val="3DF47BC8"/>
    <w:rsid w:val="3DF7627D"/>
    <w:rsid w:val="3DF777C1"/>
    <w:rsid w:val="3DF77869"/>
    <w:rsid w:val="3DF8538F"/>
    <w:rsid w:val="3DF862C0"/>
    <w:rsid w:val="3DF9171D"/>
    <w:rsid w:val="3DF95DAC"/>
    <w:rsid w:val="3DFA4FA7"/>
    <w:rsid w:val="3DFB326E"/>
    <w:rsid w:val="3DFD3FA3"/>
    <w:rsid w:val="3DFE0710"/>
    <w:rsid w:val="3DFE1172"/>
    <w:rsid w:val="3DFF19BF"/>
    <w:rsid w:val="3DFF227A"/>
    <w:rsid w:val="3E007984"/>
    <w:rsid w:val="3E076851"/>
    <w:rsid w:val="3E097DBF"/>
    <w:rsid w:val="3E0A667E"/>
    <w:rsid w:val="3E0C2BE9"/>
    <w:rsid w:val="3E0E4BB3"/>
    <w:rsid w:val="3E0E4BE8"/>
    <w:rsid w:val="3E114195"/>
    <w:rsid w:val="3E11707D"/>
    <w:rsid w:val="3E126451"/>
    <w:rsid w:val="3E133F77"/>
    <w:rsid w:val="3E147DEA"/>
    <w:rsid w:val="3E154F6C"/>
    <w:rsid w:val="3E160FCF"/>
    <w:rsid w:val="3E1A5306"/>
    <w:rsid w:val="3E1F291C"/>
    <w:rsid w:val="3E1F2A71"/>
    <w:rsid w:val="3E1F46CA"/>
    <w:rsid w:val="3E2148E6"/>
    <w:rsid w:val="3E21737C"/>
    <w:rsid w:val="3E225321"/>
    <w:rsid w:val="3E247050"/>
    <w:rsid w:val="3E252BC6"/>
    <w:rsid w:val="3E292910"/>
    <w:rsid w:val="3E2962A3"/>
    <w:rsid w:val="3E2B7462"/>
    <w:rsid w:val="3E2D328B"/>
    <w:rsid w:val="3E2F0CFE"/>
    <w:rsid w:val="3E313C31"/>
    <w:rsid w:val="3E3143FD"/>
    <w:rsid w:val="3E32634B"/>
    <w:rsid w:val="3E33045B"/>
    <w:rsid w:val="3E364197"/>
    <w:rsid w:val="3E3B76FC"/>
    <w:rsid w:val="3E3C34CE"/>
    <w:rsid w:val="3E3E1CCA"/>
    <w:rsid w:val="3E424D9F"/>
    <w:rsid w:val="3E4405D4"/>
    <w:rsid w:val="3E456134"/>
    <w:rsid w:val="3E46150A"/>
    <w:rsid w:val="3E483C86"/>
    <w:rsid w:val="3E4D33B6"/>
    <w:rsid w:val="3E4F01C5"/>
    <w:rsid w:val="3E4F10C4"/>
    <w:rsid w:val="3E501DE2"/>
    <w:rsid w:val="3E5527E2"/>
    <w:rsid w:val="3E566A68"/>
    <w:rsid w:val="3E5A1BA6"/>
    <w:rsid w:val="3E5E074C"/>
    <w:rsid w:val="3E6673A8"/>
    <w:rsid w:val="3E685667"/>
    <w:rsid w:val="3E691343"/>
    <w:rsid w:val="3E6A48DD"/>
    <w:rsid w:val="3E6B790F"/>
    <w:rsid w:val="3E6C59E0"/>
    <w:rsid w:val="3E6D3687"/>
    <w:rsid w:val="3E6E06E4"/>
    <w:rsid w:val="3E6E73FF"/>
    <w:rsid w:val="3E6F5651"/>
    <w:rsid w:val="3E6F60C9"/>
    <w:rsid w:val="3E703177"/>
    <w:rsid w:val="3E704F26"/>
    <w:rsid w:val="3E706473"/>
    <w:rsid w:val="3E720CBE"/>
    <w:rsid w:val="3E723F89"/>
    <w:rsid w:val="3E727AB2"/>
    <w:rsid w:val="3E7B713E"/>
    <w:rsid w:val="3E7C69A0"/>
    <w:rsid w:val="3E7F29FA"/>
    <w:rsid w:val="3E7F2C79"/>
    <w:rsid w:val="3E7F33BB"/>
    <w:rsid w:val="3E822EAC"/>
    <w:rsid w:val="3E831FB7"/>
    <w:rsid w:val="3E881D0B"/>
    <w:rsid w:val="3E891477"/>
    <w:rsid w:val="3E896631"/>
    <w:rsid w:val="3E8B1D5F"/>
    <w:rsid w:val="3E8B6203"/>
    <w:rsid w:val="3E8D0601"/>
    <w:rsid w:val="3E900150"/>
    <w:rsid w:val="3E907376"/>
    <w:rsid w:val="3E916A5A"/>
    <w:rsid w:val="3E923EA5"/>
    <w:rsid w:val="3E946E66"/>
    <w:rsid w:val="3E95498C"/>
    <w:rsid w:val="3E970704"/>
    <w:rsid w:val="3E970CEA"/>
    <w:rsid w:val="3E987A56"/>
    <w:rsid w:val="3E9B36AB"/>
    <w:rsid w:val="3E9B58E4"/>
    <w:rsid w:val="3E9E4E87"/>
    <w:rsid w:val="3E9F1660"/>
    <w:rsid w:val="3EA041E9"/>
    <w:rsid w:val="3EA13331"/>
    <w:rsid w:val="3EA3354D"/>
    <w:rsid w:val="3EA41B2F"/>
    <w:rsid w:val="3EA50473"/>
    <w:rsid w:val="3EAA7134"/>
    <w:rsid w:val="3EAB0654"/>
    <w:rsid w:val="3EAD511D"/>
    <w:rsid w:val="3EAD642E"/>
    <w:rsid w:val="3EAE162B"/>
    <w:rsid w:val="3EAE5A4E"/>
    <w:rsid w:val="3EB05890"/>
    <w:rsid w:val="3EB36B35"/>
    <w:rsid w:val="3EB43064"/>
    <w:rsid w:val="3EB44C7C"/>
    <w:rsid w:val="3EB72B54"/>
    <w:rsid w:val="3EB75953"/>
    <w:rsid w:val="3EB76D31"/>
    <w:rsid w:val="3EBF1A09"/>
    <w:rsid w:val="3EBF3856"/>
    <w:rsid w:val="3ECA1D69"/>
    <w:rsid w:val="3ECA21BA"/>
    <w:rsid w:val="3ECB5788"/>
    <w:rsid w:val="3ECC295E"/>
    <w:rsid w:val="3ECD05CA"/>
    <w:rsid w:val="3ECE27B7"/>
    <w:rsid w:val="3ECF0E18"/>
    <w:rsid w:val="3ECF30F6"/>
    <w:rsid w:val="3ED03C16"/>
    <w:rsid w:val="3ED277FC"/>
    <w:rsid w:val="3ED437FA"/>
    <w:rsid w:val="3ED61844"/>
    <w:rsid w:val="3ED65C74"/>
    <w:rsid w:val="3ED96F6F"/>
    <w:rsid w:val="3EDA6843"/>
    <w:rsid w:val="3EDD3F6D"/>
    <w:rsid w:val="3EE12A6E"/>
    <w:rsid w:val="3EE166BD"/>
    <w:rsid w:val="3EE17BD1"/>
    <w:rsid w:val="3EE37DED"/>
    <w:rsid w:val="3EE4477F"/>
    <w:rsid w:val="3EE45A19"/>
    <w:rsid w:val="3EE55913"/>
    <w:rsid w:val="3EE60D02"/>
    <w:rsid w:val="3EE8492E"/>
    <w:rsid w:val="3EED2A1A"/>
    <w:rsid w:val="3EEE26B9"/>
    <w:rsid w:val="3EEF6792"/>
    <w:rsid w:val="3EF075F6"/>
    <w:rsid w:val="3EF204E7"/>
    <w:rsid w:val="3EF21DDE"/>
    <w:rsid w:val="3EF2293B"/>
    <w:rsid w:val="3EF34CDE"/>
    <w:rsid w:val="3EF63E67"/>
    <w:rsid w:val="3EF75647"/>
    <w:rsid w:val="3EF766CA"/>
    <w:rsid w:val="3EF868E3"/>
    <w:rsid w:val="3EFB0C93"/>
    <w:rsid w:val="3EFB5260"/>
    <w:rsid w:val="3F047A57"/>
    <w:rsid w:val="3F06462F"/>
    <w:rsid w:val="3F0A3137"/>
    <w:rsid w:val="3F0B4C4E"/>
    <w:rsid w:val="3F0D51E3"/>
    <w:rsid w:val="3F125FDD"/>
    <w:rsid w:val="3F161F71"/>
    <w:rsid w:val="3F17564E"/>
    <w:rsid w:val="3F181B2A"/>
    <w:rsid w:val="3F1B10AF"/>
    <w:rsid w:val="3F1C50AD"/>
    <w:rsid w:val="3F214472"/>
    <w:rsid w:val="3F217C09"/>
    <w:rsid w:val="3F2268A2"/>
    <w:rsid w:val="3F227DAE"/>
    <w:rsid w:val="3F275F2C"/>
    <w:rsid w:val="3F2B1159"/>
    <w:rsid w:val="3F2B642F"/>
    <w:rsid w:val="3F2B7D93"/>
    <w:rsid w:val="3F3015A0"/>
    <w:rsid w:val="3F312907"/>
    <w:rsid w:val="3F316DAB"/>
    <w:rsid w:val="3F317F68"/>
    <w:rsid w:val="3F3348D1"/>
    <w:rsid w:val="3F340974"/>
    <w:rsid w:val="3F3423F7"/>
    <w:rsid w:val="3F3643C1"/>
    <w:rsid w:val="3F375D16"/>
    <w:rsid w:val="3F3932B2"/>
    <w:rsid w:val="3F3B3785"/>
    <w:rsid w:val="3F3D5750"/>
    <w:rsid w:val="3F3D6E81"/>
    <w:rsid w:val="3F3D74FE"/>
    <w:rsid w:val="3F4168C2"/>
    <w:rsid w:val="3F43232B"/>
    <w:rsid w:val="3F454093"/>
    <w:rsid w:val="3F47037C"/>
    <w:rsid w:val="3F482E9A"/>
    <w:rsid w:val="3F487C50"/>
    <w:rsid w:val="3F4A5324"/>
    <w:rsid w:val="3F4B392D"/>
    <w:rsid w:val="3F4B47B1"/>
    <w:rsid w:val="3F4C5993"/>
    <w:rsid w:val="3F4D3512"/>
    <w:rsid w:val="3F4F5483"/>
    <w:rsid w:val="3F5076D4"/>
    <w:rsid w:val="3F5274EE"/>
    <w:rsid w:val="3F530FDD"/>
    <w:rsid w:val="3F5542E2"/>
    <w:rsid w:val="3F575A7D"/>
    <w:rsid w:val="3F5860E5"/>
    <w:rsid w:val="3F586C61"/>
    <w:rsid w:val="3F5875F0"/>
    <w:rsid w:val="3F5900B0"/>
    <w:rsid w:val="3F5B3E28"/>
    <w:rsid w:val="3F5C1352"/>
    <w:rsid w:val="3F5C2084"/>
    <w:rsid w:val="3F5E7474"/>
    <w:rsid w:val="3F60708E"/>
    <w:rsid w:val="3F614776"/>
    <w:rsid w:val="3F6213F0"/>
    <w:rsid w:val="3F636838"/>
    <w:rsid w:val="3F663E5C"/>
    <w:rsid w:val="3F667183"/>
    <w:rsid w:val="3F6727CC"/>
    <w:rsid w:val="3F686569"/>
    <w:rsid w:val="3F6902F3"/>
    <w:rsid w:val="3F6B7328"/>
    <w:rsid w:val="3F6D1149"/>
    <w:rsid w:val="3F6F6993"/>
    <w:rsid w:val="3F707636"/>
    <w:rsid w:val="3F713229"/>
    <w:rsid w:val="3F731B39"/>
    <w:rsid w:val="3F7614BA"/>
    <w:rsid w:val="3F785466"/>
    <w:rsid w:val="3F786788"/>
    <w:rsid w:val="3F7B41F5"/>
    <w:rsid w:val="3F7D3D9E"/>
    <w:rsid w:val="3F7F7B16"/>
    <w:rsid w:val="3F811285"/>
    <w:rsid w:val="3F827A5D"/>
    <w:rsid w:val="3F843ABE"/>
    <w:rsid w:val="3F87704C"/>
    <w:rsid w:val="3F877F6D"/>
    <w:rsid w:val="3F887A43"/>
    <w:rsid w:val="3F8B7BCB"/>
    <w:rsid w:val="3F8C3FE1"/>
    <w:rsid w:val="3F8F587F"/>
    <w:rsid w:val="3F917849"/>
    <w:rsid w:val="3F964694"/>
    <w:rsid w:val="3F9A0617"/>
    <w:rsid w:val="3F9A4950"/>
    <w:rsid w:val="3F9B2DCE"/>
    <w:rsid w:val="3F9B6F7B"/>
    <w:rsid w:val="3F9B7174"/>
    <w:rsid w:val="3F9D515F"/>
    <w:rsid w:val="3F9E4414"/>
    <w:rsid w:val="3F9E5AC2"/>
    <w:rsid w:val="3F9F3D14"/>
    <w:rsid w:val="3FA0645E"/>
    <w:rsid w:val="3FA4094A"/>
    <w:rsid w:val="3FA4757D"/>
    <w:rsid w:val="3FA71126"/>
    <w:rsid w:val="3FA84969"/>
    <w:rsid w:val="3FA94B93"/>
    <w:rsid w:val="3FAA450F"/>
    <w:rsid w:val="3FAC6E41"/>
    <w:rsid w:val="3FAD5DE8"/>
    <w:rsid w:val="3FB00BB9"/>
    <w:rsid w:val="3FB31225"/>
    <w:rsid w:val="3FB35A12"/>
    <w:rsid w:val="3FB36D69"/>
    <w:rsid w:val="3FB377C0"/>
    <w:rsid w:val="3FB5147E"/>
    <w:rsid w:val="3FB53C32"/>
    <w:rsid w:val="3FB91D30"/>
    <w:rsid w:val="3FBA0B4E"/>
    <w:rsid w:val="3FBB55A3"/>
    <w:rsid w:val="3FBB578F"/>
    <w:rsid w:val="3FBF43B6"/>
    <w:rsid w:val="3FC05C00"/>
    <w:rsid w:val="3FC1012F"/>
    <w:rsid w:val="3FC1097F"/>
    <w:rsid w:val="3FC51264"/>
    <w:rsid w:val="3FC7326B"/>
    <w:rsid w:val="3FC80D62"/>
    <w:rsid w:val="3FC8246F"/>
    <w:rsid w:val="3FC92B3F"/>
    <w:rsid w:val="3FC94592"/>
    <w:rsid w:val="3FCA4B09"/>
    <w:rsid w:val="3FCA68B7"/>
    <w:rsid w:val="3FCC22BC"/>
    <w:rsid w:val="3FCD52B6"/>
    <w:rsid w:val="3FCE0156"/>
    <w:rsid w:val="3FCF5682"/>
    <w:rsid w:val="3FD140EA"/>
    <w:rsid w:val="3FD64EFF"/>
    <w:rsid w:val="3FD730B5"/>
    <w:rsid w:val="3FD80FD4"/>
    <w:rsid w:val="3FDA4D4C"/>
    <w:rsid w:val="3FDC4B61"/>
    <w:rsid w:val="3FDD2A8F"/>
    <w:rsid w:val="3FDE51C0"/>
    <w:rsid w:val="3FDF2363"/>
    <w:rsid w:val="3FE10873"/>
    <w:rsid w:val="3FE6131A"/>
    <w:rsid w:val="3FE61731"/>
    <w:rsid w:val="3FEA136F"/>
    <w:rsid w:val="3FEA5477"/>
    <w:rsid w:val="3FEB51AC"/>
    <w:rsid w:val="3FEC0F24"/>
    <w:rsid w:val="3FEC396F"/>
    <w:rsid w:val="3FF17F6E"/>
    <w:rsid w:val="3FF322B2"/>
    <w:rsid w:val="3FF37CB5"/>
    <w:rsid w:val="3FF57DD8"/>
    <w:rsid w:val="3FF6544F"/>
    <w:rsid w:val="3FF97FC1"/>
    <w:rsid w:val="3FFA703F"/>
    <w:rsid w:val="3FFB24B0"/>
    <w:rsid w:val="3FFE7576"/>
    <w:rsid w:val="3FFE7A4F"/>
    <w:rsid w:val="40010EF3"/>
    <w:rsid w:val="40014D92"/>
    <w:rsid w:val="4004557B"/>
    <w:rsid w:val="40063610"/>
    <w:rsid w:val="40072451"/>
    <w:rsid w:val="400B42C4"/>
    <w:rsid w:val="400C5122"/>
    <w:rsid w:val="400E0641"/>
    <w:rsid w:val="400E0926"/>
    <w:rsid w:val="400E3A6F"/>
    <w:rsid w:val="40100ABF"/>
    <w:rsid w:val="40104C12"/>
    <w:rsid w:val="4013025E"/>
    <w:rsid w:val="40131C77"/>
    <w:rsid w:val="40181C56"/>
    <w:rsid w:val="40185875"/>
    <w:rsid w:val="4019217C"/>
    <w:rsid w:val="401A339B"/>
    <w:rsid w:val="40215F3E"/>
    <w:rsid w:val="40224073"/>
    <w:rsid w:val="4024246B"/>
    <w:rsid w:val="40250117"/>
    <w:rsid w:val="40254369"/>
    <w:rsid w:val="402974E0"/>
    <w:rsid w:val="402B44C3"/>
    <w:rsid w:val="402C42AF"/>
    <w:rsid w:val="402D0DF6"/>
    <w:rsid w:val="402D7572"/>
    <w:rsid w:val="402E5098"/>
    <w:rsid w:val="402E6E46"/>
    <w:rsid w:val="403339A5"/>
    <w:rsid w:val="40354679"/>
    <w:rsid w:val="4036521E"/>
    <w:rsid w:val="403711EA"/>
    <w:rsid w:val="40380F6A"/>
    <w:rsid w:val="40396BF8"/>
    <w:rsid w:val="403D352D"/>
    <w:rsid w:val="40411699"/>
    <w:rsid w:val="4041301D"/>
    <w:rsid w:val="404137B4"/>
    <w:rsid w:val="4042436F"/>
    <w:rsid w:val="40442B0E"/>
    <w:rsid w:val="4044739A"/>
    <w:rsid w:val="40493C80"/>
    <w:rsid w:val="404D3645"/>
    <w:rsid w:val="405077C9"/>
    <w:rsid w:val="40511C5E"/>
    <w:rsid w:val="405729E4"/>
    <w:rsid w:val="4057639D"/>
    <w:rsid w:val="40580D2D"/>
    <w:rsid w:val="405A37D9"/>
    <w:rsid w:val="405A7836"/>
    <w:rsid w:val="405B059C"/>
    <w:rsid w:val="405B296A"/>
    <w:rsid w:val="405C39B3"/>
    <w:rsid w:val="405C6D27"/>
    <w:rsid w:val="405F1E76"/>
    <w:rsid w:val="4064460B"/>
    <w:rsid w:val="406801ED"/>
    <w:rsid w:val="406805AA"/>
    <w:rsid w:val="40683E84"/>
    <w:rsid w:val="406B3BF6"/>
    <w:rsid w:val="406D5BC1"/>
    <w:rsid w:val="406E35C7"/>
    <w:rsid w:val="40705105"/>
    <w:rsid w:val="40714F85"/>
    <w:rsid w:val="407231D7"/>
    <w:rsid w:val="40731A52"/>
    <w:rsid w:val="40742D5C"/>
    <w:rsid w:val="40756176"/>
    <w:rsid w:val="40774501"/>
    <w:rsid w:val="40776A3F"/>
    <w:rsid w:val="407927B7"/>
    <w:rsid w:val="407D3A62"/>
    <w:rsid w:val="407F4BE6"/>
    <w:rsid w:val="407F60FD"/>
    <w:rsid w:val="40802F5B"/>
    <w:rsid w:val="4081166C"/>
    <w:rsid w:val="4081341A"/>
    <w:rsid w:val="40850CB2"/>
    <w:rsid w:val="408A2332"/>
    <w:rsid w:val="408E5B37"/>
    <w:rsid w:val="408E7CE2"/>
    <w:rsid w:val="409009F6"/>
    <w:rsid w:val="40914268"/>
    <w:rsid w:val="40914967"/>
    <w:rsid w:val="40947FF0"/>
    <w:rsid w:val="40972CED"/>
    <w:rsid w:val="40980621"/>
    <w:rsid w:val="409A1A6A"/>
    <w:rsid w:val="409B6CA7"/>
    <w:rsid w:val="409C7793"/>
    <w:rsid w:val="409F305B"/>
    <w:rsid w:val="40A22506"/>
    <w:rsid w:val="40A5417C"/>
    <w:rsid w:val="40A80A9F"/>
    <w:rsid w:val="40A869C3"/>
    <w:rsid w:val="40A92971"/>
    <w:rsid w:val="40A97E53"/>
    <w:rsid w:val="40AA12E3"/>
    <w:rsid w:val="40AF442B"/>
    <w:rsid w:val="40B11938"/>
    <w:rsid w:val="40B23D1C"/>
    <w:rsid w:val="40B70D16"/>
    <w:rsid w:val="40B875BE"/>
    <w:rsid w:val="40B941A1"/>
    <w:rsid w:val="40BB2DD0"/>
    <w:rsid w:val="40BC1BEE"/>
    <w:rsid w:val="40C477AB"/>
    <w:rsid w:val="40C7232D"/>
    <w:rsid w:val="40C72791"/>
    <w:rsid w:val="40CA6906"/>
    <w:rsid w:val="40CB6B7B"/>
    <w:rsid w:val="40CB7F65"/>
    <w:rsid w:val="40CD20CB"/>
    <w:rsid w:val="40CD467D"/>
    <w:rsid w:val="40D12C2D"/>
    <w:rsid w:val="40D73166"/>
    <w:rsid w:val="40D7606B"/>
    <w:rsid w:val="40D83A48"/>
    <w:rsid w:val="40DC2329"/>
    <w:rsid w:val="40DD27B3"/>
    <w:rsid w:val="40DE77C3"/>
    <w:rsid w:val="40DF31F0"/>
    <w:rsid w:val="40E13EB9"/>
    <w:rsid w:val="40E165AE"/>
    <w:rsid w:val="40E23BE4"/>
    <w:rsid w:val="40E31BB1"/>
    <w:rsid w:val="40E37C31"/>
    <w:rsid w:val="40E51BFB"/>
    <w:rsid w:val="40E83C9B"/>
    <w:rsid w:val="40E90FBF"/>
    <w:rsid w:val="40ED1018"/>
    <w:rsid w:val="40ED32DF"/>
    <w:rsid w:val="40EF4827"/>
    <w:rsid w:val="40F14690"/>
    <w:rsid w:val="40F24800"/>
    <w:rsid w:val="40F277D2"/>
    <w:rsid w:val="40F32CD8"/>
    <w:rsid w:val="40F36BFF"/>
    <w:rsid w:val="40F57964"/>
    <w:rsid w:val="40F97454"/>
    <w:rsid w:val="40FD43DA"/>
    <w:rsid w:val="40FE69B5"/>
    <w:rsid w:val="4100099C"/>
    <w:rsid w:val="41022238"/>
    <w:rsid w:val="41022FFD"/>
    <w:rsid w:val="41032592"/>
    <w:rsid w:val="4105229D"/>
    <w:rsid w:val="41053CCD"/>
    <w:rsid w:val="41067DC3"/>
    <w:rsid w:val="41107DE5"/>
    <w:rsid w:val="41114342"/>
    <w:rsid w:val="41114F25"/>
    <w:rsid w:val="41130D6F"/>
    <w:rsid w:val="41133CAF"/>
    <w:rsid w:val="4113768A"/>
    <w:rsid w:val="41151DB4"/>
    <w:rsid w:val="41236C02"/>
    <w:rsid w:val="41251574"/>
    <w:rsid w:val="412520B5"/>
    <w:rsid w:val="41275288"/>
    <w:rsid w:val="41275C8E"/>
    <w:rsid w:val="41281AE7"/>
    <w:rsid w:val="412A5860"/>
    <w:rsid w:val="412B7C28"/>
    <w:rsid w:val="412C13F8"/>
    <w:rsid w:val="412D70FE"/>
    <w:rsid w:val="412F10C8"/>
    <w:rsid w:val="412F3A1A"/>
    <w:rsid w:val="412F731A"/>
    <w:rsid w:val="41306BEE"/>
    <w:rsid w:val="413466DE"/>
    <w:rsid w:val="413738CC"/>
    <w:rsid w:val="41377EA7"/>
    <w:rsid w:val="413807A8"/>
    <w:rsid w:val="41390199"/>
    <w:rsid w:val="41390F1D"/>
    <w:rsid w:val="413A550C"/>
    <w:rsid w:val="413B5CBF"/>
    <w:rsid w:val="413C37E5"/>
    <w:rsid w:val="413C5593"/>
    <w:rsid w:val="414018AD"/>
    <w:rsid w:val="41411671"/>
    <w:rsid w:val="4142074F"/>
    <w:rsid w:val="41441E1E"/>
    <w:rsid w:val="41443B0A"/>
    <w:rsid w:val="41452699"/>
    <w:rsid w:val="41474059"/>
    <w:rsid w:val="4149029A"/>
    <w:rsid w:val="414A533D"/>
    <w:rsid w:val="414B00C8"/>
    <w:rsid w:val="414B6458"/>
    <w:rsid w:val="414D59F2"/>
    <w:rsid w:val="41523008"/>
    <w:rsid w:val="41525EBB"/>
    <w:rsid w:val="415428DD"/>
    <w:rsid w:val="41550197"/>
    <w:rsid w:val="415648A7"/>
    <w:rsid w:val="415669EA"/>
    <w:rsid w:val="415B7B1D"/>
    <w:rsid w:val="415E19AD"/>
    <w:rsid w:val="415E7BFF"/>
    <w:rsid w:val="41614FF9"/>
    <w:rsid w:val="41621EB6"/>
    <w:rsid w:val="4162324B"/>
    <w:rsid w:val="41634113"/>
    <w:rsid w:val="41650F67"/>
    <w:rsid w:val="41660B31"/>
    <w:rsid w:val="41670862"/>
    <w:rsid w:val="41672795"/>
    <w:rsid w:val="41695456"/>
    <w:rsid w:val="416B36FF"/>
    <w:rsid w:val="416B3D32"/>
    <w:rsid w:val="416F3BBA"/>
    <w:rsid w:val="416F7716"/>
    <w:rsid w:val="41713170"/>
    <w:rsid w:val="417472CD"/>
    <w:rsid w:val="417606B2"/>
    <w:rsid w:val="41777FD1"/>
    <w:rsid w:val="417901AA"/>
    <w:rsid w:val="41792010"/>
    <w:rsid w:val="41795582"/>
    <w:rsid w:val="417B45A2"/>
    <w:rsid w:val="417B60BB"/>
    <w:rsid w:val="417D1127"/>
    <w:rsid w:val="417E2272"/>
    <w:rsid w:val="417F09E7"/>
    <w:rsid w:val="417F1B15"/>
    <w:rsid w:val="41813DE8"/>
    <w:rsid w:val="4182569C"/>
    <w:rsid w:val="41831414"/>
    <w:rsid w:val="41850CE8"/>
    <w:rsid w:val="41872CB2"/>
    <w:rsid w:val="4188599D"/>
    <w:rsid w:val="418B7876"/>
    <w:rsid w:val="41901A59"/>
    <w:rsid w:val="41916EBC"/>
    <w:rsid w:val="41924A76"/>
    <w:rsid w:val="41940A73"/>
    <w:rsid w:val="41981844"/>
    <w:rsid w:val="419B3797"/>
    <w:rsid w:val="419B675D"/>
    <w:rsid w:val="419E1DAA"/>
    <w:rsid w:val="419E3CA2"/>
    <w:rsid w:val="419E52FD"/>
    <w:rsid w:val="419E624E"/>
    <w:rsid w:val="419F684B"/>
    <w:rsid w:val="41A01FC6"/>
    <w:rsid w:val="41A03A7B"/>
    <w:rsid w:val="41A0599E"/>
    <w:rsid w:val="41A2048E"/>
    <w:rsid w:val="41A251CC"/>
    <w:rsid w:val="41A33AF4"/>
    <w:rsid w:val="41A33D4E"/>
    <w:rsid w:val="41A35612"/>
    <w:rsid w:val="41A43864"/>
    <w:rsid w:val="41A5138A"/>
    <w:rsid w:val="41A527D2"/>
    <w:rsid w:val="41A90E7A"/>
    <w:rsid w:val="41A96AA7"/>
    <w:rsid w:val="41A97BDE"/>
    <w:rsid w:val="41A97EC4"/>
    <w:rsid w:val="41AA2E44"/>
    <w:rsid w:val="41AA63D2"/>
    <w:rsid w:val="41AB2935"/>
    <w:rsid w:val="41AB6BF8"/>
    <w:rsid w:val="41AC1FA1"/>
    <w:rsid w:val="41AC6BFD"/>
    <w:rsid w:val="41AE6491"/>
    <w:rsid w:val="41AF401A"/>
    <w:rsid w:val="41B25855"/>
    <w:rsid w:val="41B2607B"/>
    <w:rsid w:val="41B31CF9"/>
    <w:rsid w:val="41B33AA7"/>
    <w:rsid w:val="41B521D6"/>
    <w:rsid w:val="41B80A98"/>
    <w:rsid w:val="41B83139"/>
    <w:rsid w:val="41B954FB"/>
    <w:rsid w:val="41B96BE3"/>
    <w:rsid w:val="41BA1ED3"/>
    <w:rsid w:val="41BB295C"/>
    <w:rsid w:val="41BD778A"/>
    <w:rsid w:val="41BE244C"/>
    <w:rsid w:val="41C47870"/>
    <w:rsid w:val="41C77552"/>
    <w:rsid w:val="41C9151C"/>
    <w:rsid w:val="41C921BB"/>
    <w:rsid w:val="41CA7043"/>
    <w:rsid w:val="41CC4B69"/>
    <w:rsid w:val="41CE1FB3"/>
    <w:rsid w:val="41CF1E7C"/>
    <w:rsid w:val="41CF4659"/>
    <w:rsid w:val="41D06DB9"/>
    <w:rsid w:val="41D261BD"/>
    <w:rsid w:val="41D51801"/>
    <w:rsid w:val="41D63C39"/>
    <w:rsid w:val="41D722E9"/>
    <w:rsid w:val="41D7297A"/>
    <w:rsid w:val="41D8350E"/>
    <w:rsid w:val="41D9553B"/>
    <w:rsid w:val="41DB7243"/>
    <w:rsid w:val="41DC7E7C"/>
    <w:rsid w:val="41DD0B24"/>
    <w:rsid w:val="41DD5436"/>
    <w:rsid w:val="41DD5697"/>
    <w:rsid w:val="41DE05FE"/>
    <w:rsid w:val="41E023C2"/>
    <w:rsid w:val="41E26B81"/>
    <w:rsid w:val="41E53E7C"/>
    <w:rsid w:val="41E6598A"/>
    <w:rsid w:val="41EA287D"/>
    <w:rsid w:val="41EC6FB9"/>
    <w:rsid w:val="41EE47A2"/>
    <w:rsid w:val="41EF0857"/>
    <w:rsid w:val="41F03E34"/>
    <w:rsid w:val="41F06AA9"/>
    <w:rsid w:val="41F1351F"/>
    <w:rsid w:val="41F5553B"/>
    <w:rsid w:val="41F71364"/>
    <w:rsid w:val="41F83BB0"/>
    <w:rsid w:val="41F8595E"/>
    <w:rsid w:val="41FA7928"/>
    <w:rsid w:val="41FB71FC"/>
    <w:rsid w:val="42024A2E"/>
    <w:rsid w:val="42026ACB"/>
    <w:rsid w:val="42033B0C"/>
    <w:rsid w:val="42037AA3"/>
    <w:rsid w:val="42041029"/>
    <w:rsid w:val="42044303"/>
    <w:rsid w:val="420473BE"/>
    <w:rsid w:val="4205007B"/>
    <w:rsid w:val="42073AF9"/>
    <w:rsid w:val="420822F7"/>
    <w:rsid w:val="42084E57"/>
    <w:rsid w:val="420B35BA"/>
    <w:rsid w:val="420E2AC6"/>
    <w:rsid w:val="420E33D3"/>
    <w:rsid w:val="420F0401"/>
    <w:rsid w:val="42127427"/>
    <w:rsid w:val="42133F79"/>
    <w:rsid w:val="421502BE"/>
    <w:rsid w:val="42160E91"/>
    <w:rsid w:val="421870E8"/>
    <w:rsid w:val="421B171B"/>
    <w:rsid w:val="421B789E"/>
    <w:rsid w:val="421F2EEA"/>
    <w:rsid w:val="42222764"/>
    <w:rsid w:val="42224789"/>
    <w:rsid w:val="422410D5"/>
    <w:rsid w:val="42255FAE"/>
    <w:rsid w:val="42263205"/>
    <w:rsid w:val="42274FB1"/>
    <w:rsid w:val="422876EA"/>
    <w:rsid w:val="422A188F"/>
    <w:rsid w:val="422A647D"/>
    <w:rsid w:val="422C1366"/>
    <w:rsid w:val="422C3859"/>
    <w:rsid w:val="422E62A5"/>
    <w:rsid w:val="4230334A"/>
    <w:rsid w:val="42322F7E"/>
    <w:rsid w:val="42350960"/>
    <w:rsid w:val="42360234"/>
    <w:rsid w:val="4236656C"/>
    <w:rsid w:val="423773F7"/>
    <w:rsid w:val="42386C43"/>
    <w:rsid w:val="423A0CFF"/>
    <w:rsid w:val="423A5D78"/>
    <w:rsid w:val="423B3A9C"/>
    <w:rsid w:val="423B7EBD"/>
    <w:rsid w:val="423C3578"/>
    <w:rsid w:val="423D2C52"/>
    <w:rsid w:val="423E007E"/>
    <w:rsid w:val="42424E2B"/>
    <w:rsid w:val="42425BDF"/>
    <w:rsid w:val="42434A20"/>
    <w:rsid w:val="42435874"/>
    <w:rsid w:val="4246491B"/>
    <w:rsid w:val="424757AB"/>
    <w:rsid w:val="42480A33"/>
    <w:rsid w:val="42483D4F"/>
    <w:rsid w:val="4249440B"/>
    <w:rsid w:val="424A1C69"/>
    <w:rsid w:val="424B0183"/>
    <w:rsid w:val="424B3CDF"/>
    <w:rsid w:val="424D1FAE"/>
    <w:rsid w:val="424D3A49"/>
    <w:rsid w:val="424D4F9D"/>
    <w:rsid w:val="424E1BB3"/>
    <w:rsid w:val="424E557E"/>
    <w:rsid w:val="424F4E6C"/>
    <w:rsid w:val="42500A1C"/>
    <w:rsid w:val="4253528A"/>
    <w:rsid w:val="4255690C"/>
    <w:rsid w:val="42556EB1"/>
    <w:rsid w:val="42565831"/>
    <w:rsid w:val="42581301"/>
    <w:rsid w:val="42590F91"/>
    <w:rsid w:val="425B1450"/>
    <w:rsid w:val="425E6C00"/>
    <w:rsid w:val="425F68B8"/>
    <w:rsid w:val="425F77F3"/>
    <w:rsid w:val="4262727B"/>
    <w:rsid w:val="42627860"/>
    <w:rsid w:val="42633A88"/>
    <w:rsid w:val="42666D6B"/>
    <w:rsid w:val="42672AE3"/>
    <w:rsid w:val="4269060A"/>
    <w:rsid w:val="4269685C"/>
    <w:rsid w:val="426D634C"/>
    <w:rsid w:val="426E45CA"/>
    <w:rsid w:val="426E477F"/>
    <w:rsid w:val="427044E0"/>
    <w:rsid w:val="42717828"/>
    <w:rsid w:val="42750D5C"/>
    <w:rsid w:val="42786A9F"/>
    <w:rsid w:val="427A76F5"/>
    <w:rsid w:val="427B20EB"/>
    <w:rsid w:val="427E48A2"/>
    <w:rsid w:val="427F375F"/>
    <w:rsid w:val="427F3924"/>
    <w:rsid w:val="42811AD0"/>
    <w:rsid w:val="42843695"/>
    <w:rsid w:val="4285031E"/>
    <w:rsid w:val="428606F1"/>
    <w:rsid w:val="42870A90"/>
    <w:rsid w:val="42881AA6"/>
    <w:rsid w:val="428C220E"/>
    <w:rsid w:val="428D254A"/>
    <w:rsid w:val="428D4140"/>
    <w:rsid w:val="428E647A"/>
    <w:rsid w:val="428F2687"/>
    <w:rsid w:val="4292190E"/>
    <w:rsid w:val="4292195C"/>
    <w:rsid w:val="429246A1"/>
    <w:rsid w:val="42943BEA"/>
    <w:rsid w:val="42945242"/>
    <w:rsid w:val="42981109"/>
    <w:rsid w:val="42983BC3"/>
    <w:rsid w:val="429A07C3"/>
    <w:rsid w:val="429C278D"/>
    <w:rsid w:val="429C7C25"/>
    <w:rsid w:val="42A25018"/>
    <w:rsid w:val="42A44D37"/>
    <w:rsid w:val="42A54FBD"/>
    <w:rsid w:val="42A67B0A"/>
    <w:rsid w:val="42A81132"/>
    <w:rsid w:val="42A948C7"/>
    <w:rsid w:val="42AA04E2"/>
    <w:rsid w:val="42AD2648"/>
    <w:rsid w:val="42AD499A"/>
    <w:rsid w:val="42AE32C6"/>
    <w:rsid w:val="42AF5206"/>
    <w:rsid w:val="42B0448A"/>
    <w:rsid w:val="42B1476A"/>
    <w:rsid w:val="42BA458C"/>
    <w:rsid w:val="42BC2168"/>
    <w:rsid w:val="42BD2703"/>
    <w:rsid w:val="42C02EB8"/>
    <w:rsid w:val="42C039BD"/>
    <w:rsid w:val="42C34E0B"/>
    <w:rsid w:val="42C359AA"/>
    <w:rsid w:val="42C47D1C"/>
    <w:rsid w:val="42C729C3"/>
    <w:rsid w:val="42CC1290"/>
    <w:rsid w:val="42CD18B8"/>
    <w:rsid w:val="42CD2946"/>
    <w:rsid w:val="42CF1434"/>
    <w:rsid w:val="42D04A91"/>
    <w:rsid w:val="42D31514"/>
    <w:rsid w:val="42D331F3"/>
    <w:rsid w:val="42D42037"/>
    <w:rsid w:val="42D45459"/>
    <w:rsid w:val="42D53DAF"/>
    <w:rsid w:val="42D56C49"/>
    <w:rsid w:val="42D60EDF"/>
    <w:rsid w:val="42D73420"/>
    <w:rsid w:val="42D77C69"/>
    <w:rsid w:val="42D950B7"/>
    <w:rsid w:val="42D956C8"/>
    <w:rsid w:val="42DA7EFB"/>
    <w:rsid w:val="42DE0D58"/>
    <w:rsid w:val="42E15EFC"/>
    <w:rsid w:val="42E163F2"/>
    <w:rsid w:val="42E23830"/>
    <w:rsid w:val="42E43B34"/>
    <w:rsid w:val="42E70332"/>
    <w:rsid w:val="42E94EA1"/>
    <w:rsid w:val="42E97785"/>
    <w:rsid w:val="42EA4B11"/>
    <w:rsid w:val="42EC3109"/>
    <w:rsid w:val="42EE0B0F"/>
    <w:rsid w:val="42EF4FB3"/>
    <w:rsid w:val="42F06799"/>
    <w:rsid w:val="42F26851"/>
    <w:rsid w:val="42F27D13"/>
    <w:rsid w:val="42F35C5E"/>
    <w:rsid w:val="42F44377"/>
    <w:rsid w:val="42F47B44"/>
    <w:rsid w:val="42F53ADA"/>
    <w:rsid w:val="42F57BFB"/>
    <w:rsid w:val="42F61468"/>
    <w:rsid w:val="42F8373B"/>
    <w:rsid w:val="42FA7629"/>
    <w:rsid w:val="42FC322C"/>
    <w:rsid w:val="42FF2D1C"/>
    <w:rsid w:val="430838B2"/>
    <w:rsid w:val="430D450A"/>
    <w:rsid w:val="430E60F0"/>
    <w:rsid w:val="43100A85"/>
    <w:rsid w:val="43103916"/>
    <w:rsid w:val="43127BD6"/>
    <w:rsid w:val="43140207"/>
    <w:rsid w:val="43167E43"/>
    <w:rsid w:val="431762B8"/>
    <w:rsid w:val="431A1904"/>
    <w:rsid w:val="431C1159"/>
    <w:rsid w:val="431C38CE"/>
    <w:rsid w:val="431E1012"/>
    <w:rsid w:val="431E52CB"/>
    <w:rsid w:val="431F0CC7"/>
    <w:rsid w:val="432033BE"/>
    <w:rsid w:val="43217283"/>
    <w:rsid w:val="43234C5C"/>
    <w:rsid w:val="43234D3C"/>
    <w:rsid w:val="432409C1"/>
    <w:rsid w:val="43241F5A"/>
    <w:rsid w:val="4328242F"/>
    <w:rsid w:val="43284414"/>
    <w:rsid w:val="432B2B89"/>
    <w:rsid w:val="432B6061"/>
    <w:rsid w:val="432C269E"/>
    <w:rsid w:val="432E724C"/>
    <w:rsid w:val="4331618E"/>
    <w:rsid w:val="433167C7"/>
    <w:rsid w:val="433354C7"/>
    <w:rsid w:val="43342E02"/>
    <w:rsid w:val="43362BE2"/>
    <w:rsid w:val="4338799D"/>
    <w:rsid w:val="43387D8A"/>
    <w:rsid w:val="433902DD"/>
    <w:rsid w:val="43392EE9"/>
    <w:rsid w:val="43396589"/>
    <w:rsid w:val="433A7BE0"/>
    <w:rsid w:val="433B5D9C"/>
    <w:rsid w:val="433C7ACC"/>
    <w:rsid w:val="433F1693"/>
    <w:rsid w:val="433F54EA"/>
    <w:rsid w:val="434019E2"/>
    <w:rsid w:val="434150E2"/>
    <w:rsid w:val="43420014"/>
    <w:rsid w:val="43432C09"/>
    <w:rsid w:val="43454BD3"/>
    <w:rsid w:val="434626F9"/>
    <w:rsid w:val="4348021F"/>
    <w:rsid w:val="43486471"/>
    <w:rsid w:val="434A02E4"/>
    <w:rsid w:val="434C12DB"/>
    <w:rsid w:val="434C44CE"/>
    <w:rsid w:val="4350776E"/>
    <w:rsid w:val="435412BA"/>
    <w:rsid w:val="43566DE0"/>
    <w:rsid w:val="435B43F6"/>
    <w:rsid w:val="435B59AA"/>
    <w:rsid w:val="435E3EE6"/>
    <w:rsid w:val="435E5C94"/>
    <w:rsid w:val="435F279F"/>
    <w:rsid w:val="43611D9C"/>
    <w:rsid w:val="43615785"/>
    <w:rsid w:val="43632D4D"/>
    <w:rsid w:val="4363365F"/>
    <w:rsid w:val="43657023"/>
    <w:rsid w:val="436639E6"/>
    <w:rsid w:val="43666A6A"/>
    <w:rsid w:val="436A63E7"/>
    <w:rsid w:val="436B0835"/>
    <w:rsid w:val="436C2636"/>
    <w:rsid w:val="436D260D"/>
    <w:rsid w:val="436F146E"/>
    <w:rsid w:val="436F4CB1"/>
    <w:rsid w:val="436F4FCF"/>
    <w:rsid w:val="43713C1A"/>
    <w:rsid w:val="43725E62"/>
    <w:rsid w:val="437270F3"/>
    <w:rsid w:val="43770394"/>
    <w:rsid w:val="43794C2E"/>
    <w:rsid w:val="437B05F4"/>
    <w:rsid w:val="437B23A2"/>
    <w:rsid w:val="437D25BE"/>
    <w:rsid w:val="437F1D8F"/>
    <w:rsid w:val="43801D92"/>
    <w:rsid w:val="438142C2"/>
    <w:rsid w:val="438144EC"/>
    <w:rsid w:val="438254F7"/>
    <w:rsid w:val="438A7EF8"/>
    <w:rsid w:val="438B1197"/>
    <w:rsid w:val="438C2802"/>
    <w:rsid w:val="438D078D"/>
    <w:rsid w:val="438D5FA0"/>
    <w:rsid w:val="438E0F9D"/>
    <w:rsid w:val="438E11C7"/>
    <w:rsid w:val="438F40A0"/>
    <w:rsid w:val="438F595A"/>
    <w:rsid w:val="438F5E4E"/>
    <w:rsid w:val="4391369E"/>
    <w:rsid w:val="439223D0"/>
    <w:rsid w:val="439237EA"/>
    <w:rsid w:val="43947908"/>
    <w:rsid w:val="439671DC"/>
    <w:rsid w:val="439912E3"/>
    <w:rsid w:val="43993170"/>
    <w:rsid w:val="43994F1E"/>
    <w:rsid w:val="439A27CD"/>
    <w:rsid w:val="439A7CE8"/>
    <w:rsid w:val="439B0D3D"/>
    <w:rsid w:val="439B0DDB"/>
    <w:rsid w:val="439B3F9B"/>
    <w:rsid w:val="439C056B"/>
    <w:rsid w:val="439C4B3A"/>
    <w:rsid w:val="439D67BD"/>
    <w:rsid w:val="439D7FCF"/>
    <w:rsid w:val="439E42E3"/>
    <w:rsid w:val="43A11C8B"/>
    <w:rsid w:val="43A12D8E"/>
    <w:rsid w:val="43A153A0"/>
    <w:rsid w:val="43A41F82"/>
    <w:rsid w:val="43A64DC3"/>
    <w:rsid w:val="43A7763B"/>
    <w:rsid w:val="43AB6B07"/>
    <w:rsid w:val="43B104BA"/>
    <w:rsid w:val="43B12268"/>
    <w:rsid w:val="43B1633C"/>
    <w:rsid w:val="43B2027F"/>
    <w:rsid w:val="43B34232"/>
    <w:rsid w:val="43B75AFF"/>
    <w:rsid w:val="43B9111D"/>
    <w:rsid w:val="43B9736F"/>
    <w:rsid w:val="43BB0535"/>
    <w:rsid w:val="43C006FD"/>
    <w:rsid w:val="43C008B6"/>
    <w:rsid w:val="43C26223"/>
    <w:rsid w:val="43C27FD1"/>
    <w:rsid w:val="43C30252"/>
    <w:rsid w:val="43C33D49"/>
    <w:rsid w:val="43C73F5E"/>
    <w:rsid w:val="43C7531C"/>
    <w:rsid w:val="43C95804"/>
    <w:rsid w:val="43CA50D8"/>
    <w:rsid w:val="43CC2BFE"/>
    <w:rsid w:val="43CC30F4"/>
    <w:rsid w:val="43CD6962"/>
    <w:rsid w:val="43CF3AAE"/>
    <w:rsid w:val="43D146B8"/>
    <w:rsid w:val="43D40DBC"/>
    <w:rsid w:val="43D441A9"/>
    <w:rsid w:val="43D80310"/>
    <w:rsid w:val="43D81357"/>
    <w:rsid w:val="43D85A47"/>
    <w:rsid w:val="43D91FB7"/>
    <w:rsid w:val="43D928BB"/>
    <w:rsid w:val="43DB0941"/>
    <w:rsid w:val="43DB1FD4"/>
    <w:rsid w:val="43DB6B7B"/>
    <w:rsid w:val="43DD6FBE"/>
    <w:rsid w:val="43DE2931"/>
    <w:rsid w:val="43DF4A9B"/>
    <w:rsid w:val="43E07AFA"/>
    <w:rsid w:val="43E16E7C"/>
    <w:rsid w:val="43E20674"/>
    <w:rsid w:val="43E32EF2"/>
    <w:rsid w:val="43E45C91"/>
    <w:rsid w:val="43E73EDC"/>
    <w:rsid w:val="43E95C6A"/>
    <w:rsid w:val="43EE12FB"/>
    <w:rsid w:val="43F03106"/>
    <w:rsid w:val="43F16B09"/>
    <w:rsid w:val="43F31C8B"/>
    <w:rsid w:val="43F403A7"/>
    <w:rsid w:val="43F565F9"/>
    <w:rsid w:val="43F6411F"/>
    <w:rsid w:val="43F646D3"/>
    <w:rsid w:val="43F85D40"/>
    <w:rsid w:val="43F86AEA"/>
    <w:rsid w:val="43FA274B"/>
    <w:rsid w:val="43FB1735"/>
    <w:rsid w:val="43FB7987"/>
    <w:rsid w:val="43FC488F"/>
    <w:rsid w:val="43FD53EB"/>
    <w:rsid w:val="43FE547B"/>
    <w:rsid w:val="43FF0ECA"/>
    <w:rsid w:val="44023036"/>
    <w:rsid w:val="44035CCB"/>
    <w:rsid w:val="44057E40"/>
    <w:rsid w:val="44071E88"/>
    <w:rsid w:val="440A3726"/>
    <w:rsid w:val="440B79EF"/>
    <w:rsid w:val="44102588"/>
    <w:rsid w:val="44123DA4"/>
    <w:rsid w:val="44130FB7"/>
    <w:rsid w:val="44136E5D"/>
    <w:rsid w:val="441445A5"/>
    <w:rsid w:val="4416656F"/>
    <w:rsid w:val="441724D7"/>
    <w:rsid w:val="44184095"/>
    <w:rsid w:val="44197128"/>
    <w:rsid w:val="441A1710"/>
    <w:rsid w:val="441C7085"/>
    <w:rsid w:val="441D78FE"/>
    <w:rsid w:val="44224F14"/>
    <w:rsid w:val="442440CF"/>
    <w:rsid w:val="4427077C"/>
    <w:rsid w:val="4427252A"/>
    <w:rsid w:val="44277F51"/>
    <w:rsid w:val="442A5BD9"/>
    <w:rsid w:val="442B201A"/>
    <w:rsid w:val="442C303A"/>
    <w:rsid w:val="442F18BF"/>
    <w:rsid w:val="442F3D6B"/>
    <w:rsid w:val="442F70F8"/>
    <w:rsid w:val="44304C12"/>
    <w:rsid w:val="44314AEE"/>
    <w:rsid w:val="443216AD"/>
    <w:rsid w:val="44323381"/>
    <w:rsid w:val="4433033C"/>
    <w:rsid w:val="44352E99"/>
    <w:rsid w:val="44357ADA"/>
    <w:rsid w:val="4436451B"/>
    <w:rsid w:val="44364FE3"/>
    <w:rsid w:val="4438014F"/>
    <w:rsid w:val="44392A6D"/>
    <w:rsid w:val="443A4914"/>
    <w:rsid w:val="443C4228"/>
    <w:rsid w:val="443E1986"/>
    <w:rsid w:val="443E41B9"/>
    <w:rsid w:val="44425279"/>
    <w:rsid w:val="44426CAB"/>
    <w:rsid w:val="4443784A"/>
    <w:rsid w:val="444473A5"/>
    <w:rsid w:val="444A6219"/>
    <w:rsid w:val="444B446B"/>
    <w:rsid w:val="444C4E5B"/>
    <w:rsid w:val="444E5F52"/>
    <w:rsid w:val="445117D8"/>
    <w:rsid w:val="44517690"/>
    <w:rsid w:val="445227D9"/>
    <w:rsid w:val="4453331F"/>
    <w:rsid w:val="44550186"/>
    <w:rsid w:val="44552246"/>
    <w:rsid w:val="4456166A"/>
    <w:rsid w:val="44594178"/>
    <w:rsid w:val="445A35C0"/>
    <w:rsid w:val="445C6678"/>
    <w:rsid w:val="44615424"/>
    <w:rsid w:val="446217B4"/>
    <w:rsid w:val="4464055E"/>
    <w:rsid w:val="4466626A"/>
    <w:rsid w:val="44691EC0"/>
    <w:rsid w:val="446B5E6B"/>
    <w:rsid w:val="446B6A74"/>
    <w:rsid w:val="446C4D53"/>
    <w:rsid w:val="446D651A"/>
    <w:rsid w:val="446D6E42"/>
    <w:rsid w:val="446F1EAD"/>
    <w:rsid w:val="446F57B3"/>
    <w:rsid w:val="447253F1"/>
    <w:rsid w:val="4473751E"/>
    <w:rsid w:val="44746E18"/>
    <w:rsid w:val="44790F60"/>
    <w:rsid w:val="447C53EE"/>
    <w:rsid w:val="44821996"/>
    <w:rsid w:val="44823C05"/>
    <w:rsid w:val="44863350"/>
    <w:rsid w:val="4486788D"/>
    <w:rsid w:val="44882904"/>
    <w:rsid w:val="44882D9B"/>
    <w:rsid w:val="44883190"/>
    <w:rsid w:val="4488746D"/>
    <w:rsid w:val="448B4867"/>
    <w:rsid w:val="448C2903"/>
    <w:rsid w:val="448C466B"/>
    <w:rsid w:val="448C5AFF"/>
    <w:rsid w:val="448F4563"/>
    <w:rsid w:val="449000D0"/>
    <w:rsid w:val="4490385E"/>
    <w:rsid w:val="449146DD"/>
    <w:rsid w:val="4493196E"/>
    <w:rsid w:val="4494102B"/>
    <w:rsid w:val="44953071"/>
    <w:rsid w:val="449679DC"/>
    <w:rsid w:val="4497591B"/>
    <w:rsid w:val="449942CE"/>
    <w:rsid w:val="449A3971"/>
    <w:rsid w:val="449B7DBA"/>
    <w:rsid w:val="449C35E2"/>
    <w:rsid w:val="449D0A3E"/>
    <w:rsid w:val="449F6565"/>
    <w:rsid w:val="44A3057F"/>
    <w:rsid w:val="44A61C99"/>
    <w:rsid w:val="44A96FDE"/>
    <w:rsid w:val="44AA5AB5"/>
    <w:rsid w:val="44AE71F8"/>
    <w:rsid w:val="44B21E06"/>
    <w:rsid w:val="44B26298"/>
    <w:rsid w:val="44B32413"/>
    <w:rsid w:val="44B429B0"/>
    <w:rsid w:val="44B774EB"/>
    <w:rsid w:val="44B809E3"/>
    <w:rsid w:val="44BA08DA"/>
    <w:rsid w:val="44BA514C"/>
    <w:rsid w:val="44BA6EFA"/>
    <w:rsid w:val="44BC2C73"/>
    <w:rsid w:val="44BF09B5"/>
    <w:rsid w:val="44C0240C"/>
    <w:rsid w:val="44C166F5"/>
    <w:rsid w:val="44C60A40"/>
    <w:rsid w:val="44CD43B0"/>
    <w:rsid w:val="44CD4E80"/>
    <w:rsid w:val="44CF7A97"/>
    <w:rsid w:val="44D206E8"/>
    <w:rsid w:val="44D4083C"/>
    <w:rsid w:val="44D50904"/>
    <w:rsid w:val="44D5226F"/>
    <w:rsid w:val="44D83825"/>
    <w:rsid w:val="44DB01A8"/>
    <w:rsid w:val="44DC50C3"/>
    <w:rsid w:val="44DD44BB"/>
    <w:rsid w:val="44DF5FC8"/>
    <w:rsid w:val="44E03839"/>
    <w:rsid w:val="44E1092B"/>
    <w:rsid w:val="44E334CB"/>
    <w:rsid w:val="44E45144"/>
    <w:rsid w:val="44E6547E"/>
    <w:rsid w:val="44E65F41"/>
    <w:rsid w:val="44E678A3"/>
    <w:rsid w:val="44E81CBA"/>
    <w:rsid w:val="44EB7D4B"/>
    <w:rsid w:val="44EC71E8"/>
    <w:rsid w:val="44EE129A"/>
    <w:rsid w:val="44EE3263"/>
    <w:rsid w:val="44EE4DF6"/>
    <w:rsid w:val="44F15B8B"/>
    <w:rsid w:val="44F22B38"/>
    <w:rsid w:val="44F50743"/>
    <w:rsid w:val="44F53486"/>
    <w:rsid w:val="44F543D6"/>
    <w:rsid w:val="44F62D7A"/>
    <w:rsid w:val="44F71EFD"/>
    <w:rsid w:val="44F8455F"/>
    <w:rsid w:val="44FA5EB5"/>
    <w:rsid w:val="44FB69A3"/>
    <w:rsid w:val="44FC39B7"/>
    <w:rsid w:val="45040ED5"/>
    <w:rsid w:val="450703F9"/>
    <w:rsid w:val="4508235C"/>
    <w:rsid w:val="450A60D4"/>
    <w:rsid w:val="450D0BC7"/>
    <w:rsid w:val="450F427E"/>
    <w:rsid w:val="4510058A"/>
    <w:rsid w:val="45101210"/>
    <w:rsid w:val="45102C66"/>
    <w:rsid w:val="451153EF"/>
    <w:rsid w:val="45127E15"/>
    <w:rsid w:val="45141DD1"/>
    <w:rsid w:val="451606F5"/>
    <w:rsid w:val="451A115F"/>
    <w:rsid w:val="451C17AD"/>
    <w:rsid w:val="451C5E07"/>
    <w:rsid w:val="451F4540"/>
    <w:rsid w:val="4520040D"/>
    <w:rsid w:val="45216F46"/>
    <w:rsid w:val="45237196"/>
    <w:rsid w:val="45264590"/>
    <w:rsid w:val="45280308"/>
    <w:rsid w:val="45290F50"/>
    <w:rsid w:val="452B373E"/>
    <w:rsid w:val="452C4F31"/>
    <w:rsid w:val="452D7765"/>
    <w:rsid w:val="452E5288"/>
    <w:rsid w:val="4530540F"/>
    <w:rsid w:val="453077F4"/>
    <w:rsid w:val="45323D49"/>
    <w:rsid w:val="45352A25"/>
    <w:rsid w:val="45355F4D"/>
    <w:rsid w:val="45384064"/>
    <w:rsid w:val="45390624"/>
    <w:rsid w:val="45396998"/>
    <w:rsid w:val="453A679C"/>
    <w:rsid w:val="453C4469"/>
    <w:rsid w:val="453D48AA"/>
    <w:rsid w:val="453D6639"/>
    <w:rsid w:val="453E51C6"/>
    <w:rsid w:val="453F3C4E"/>
    <w:rsid w:val="4541761C"/>
    <w:rsid w:val="45425A76"/>
    <w:rsid w:val="454471B5"/>
    <w:rsid w:val="454C191C"/>
    <w:rsid w:val="454D255F"/>
    <w:rsid w:val="45541875"/>
    <w:rsid w:val="4554734F"/>
    <w:rsid w:val="45551365"/>
    <w:rsid w:val="45554E5A"/>
    <w:rsid w:val="45554E75"/>
    <w:rsid w:val="45561319"/>
    <w:rsid w:val="45596713"/>
    <w:rsid w:val="455A248C"/>
    <w:rsid w:val="455C3910"/>
    <w:rsid w:val="455F5D55"/>
    <w:rsid w:val="45601EAE"/>
    <w:rsid w:val="45605CF4"/>
    <w:rsid w:val="45644E54"/>
    <w:rsid w:val="45660E30"/>
    <w:rsid w:val="456A2608"/>
    <w:rsid w:val="456C546E"/>
    <w:rsid w:val="456E79C4"/>
    <w:rsid w:val="45716A53"/>
    <w:rsid w:val="45725A27"/>
    <w:rsid w:val="45726666"/>
    <w:rsid w:val="4576699E"/>
    <w:rsid w:val="45770E90"/>
    <w:rsid w:val="457933AD"/>
    <w:rsid w:val="457B0D80"/>
    <w:rsid w:val="457B3B4C"/>
    <w:rsid w:val="457C2402"/>
    <w:rsid w:val="457E261E"/>
    <w:rsid w:val="457E5332"/>
    <w:rsid w:val="457E617A"/>
    <w:rsid w:val="45806396"/>
    <w:rsid w:val="45815C6A"/>
    <w:rsid w:val="45837C34"/>
    <w:rsid w:val="45842F6A"/>
    <w:rsid w:val="458539AC"/>
    <w:rsid w:val="458637C9"/>
    <w:rsid w:val="45877724"/>
    <w:rsid w:val="4588349D"/>
    <w:rsid w:val="458D0988"/>
    <w:rsid w:val="45963876"/>
    <w:rsid w:val="45964076"/>
    <w:rsid w:val="4597153B"/>
    <w:rsid w:val="459A2ECC"/>
    <w:rsid w:val="459B5914"/>
    <w:rsid w:val="459B6D2C"/>
    <w:rsid w:val="459F42D2"/>
    <w:rsid w:val="45A2210C"/>
    <w:rsid w:val="45A34199"/>
    <w:rsid w:val="45A5204C"/>
    <w:rsid w:val="45A55DFD"/>
    <w:rsid w:val="45A73923"/>
    <w:rsid w:val="45AD1268"/>
    <w:rsid w:val="45B003DA"/>
    <w:rsid w:val="45B147A1"/>
    <w:rsid w:val="45B21D97"/>
    <w:rsid w:val="45B421B9"/>
    <w:rsid w:val="45B57FB1"/>
    <w:rsid w:val="45B61ABB"/>
    <w:rsid w:val="45B61DB8"/>
    <w:rsid w:val="45B92F84"/>
    <w:rsid w:val="45BB06C6"/>
    <w:rsid w:val="45BB117C"/>
    <w:rsid w:val="45BB26B6"/>
    <w:rsid w:val="45BC0C9A"/>
    <w:rsid w:val="45BE046A"/>
    <w:rsid w:val="45BE2A1A"/>
    <w:rsid w:val="45BE34E3"/>
    <w:rsid w:val="45BF763D"/>
    <w:rsid w:val="45C44175"/>
    <w:rsid w:val="45C83899"/>
    <w:rsid w:val="45CA2915"/>
    <w:rsid w:val="45CC15DB"/>
    <w:rsid w:val="45CD7101"/>
    <w:rsid w:val="45CE2C78"/>
    <w:rsid w:val="45CF3BE1"/>
    <w:rsid w:val="45CF4C28"/>
    <w:rsid w:val="45CF7E80"/>
    <w:rsid w:val="45D368FE"/>
    <w:rsid w:val="45D70058"/>
    <w:rsid w:val="45D7301B"/>
    <w:rsid w:val="45D95AA6"/>
    <w:rsid w:val="45D97854"/>
    <w:rsid w:val="45DA0511"/>
    <w:rsid w:val="45DB5579"/>
    <w:rsid w:val="45DE30BD"/>
    <w:rsid w:val="45DE4E6B"/>
    <w:rsid w:val="45DE64FB"/>
    <w:rsid w:val="45E00F65"/>
    <w:rsid w:val="45E22BAD"/>
    <w:rsid w:val="45E45137"/>
    <w:rsid w:val="45E457FA"/>
    <w:rsid w:val="45E561F9"/>
    <w:rsid w:val="45E80805"/>
    <w:rsid w:val="45ED51BC"/>
    <w:rsid w:val="45EE0BDA"/>
    <w:rsid w:val="45EE0F6A"/>
    <w:rsid w:val="45EF0E26"/>
    <w:rsid w:val="45F1232C"/>
    <w:rsid w:val="45F3574E"/>
    <w:rsid w:val="45F610F0"/>
    <w:rsid w:val="45F87226"/>
    <w:rsid w:val="45F91CA4"/>
    <w:rsid w:val="45F969D6"/>
    <w:rsid w:val="45FD025E"/>
    <w:rsid w:val="45FD79E7"/>
    <w:rsid w:val="45FE550D"/>
    <w:rsid w:val="46032B23"/>
    <w:rsid w:val="46051016"/>
    <w:rsid w:val="46066C06"/>
    <w:rsid w:val="460729DB"/>
    <w:rsid w:val="460A09F6"/>
    <w:rsid w:val="460A4BD7"/>
    <w:rsid w:val="460D74FE"/>
    <w:rsid w:val="460E39A2"/>
    <w:rsid w:val="46130617"/>
    <w:rsid w:val="461406BE"/>
    <w:rsid w:val="46146ADE"/>
    <w:rsid w:val="4618037D"/>
    <w:rsid w:val="461807D7"/>
    <w:rsid w:val="46182787"/>
    <w:rsid w:val="46192347"/>
    <w:rsid w:val="461B1C1B"/>
    <w:rsid w:val="461C1C44"/>
    <w:rsid w:val="461E4B14"/>
    <w:rsid w:val="4620055F"/>
    <w:rsid w:val="46223947"/>
    <w:rsid w:val="46231A70"/>
    <w:rsid w:val="462323F3"/>
    <w:rsid w:val="4624135F"/>
    <w:rsid w:val="46242373"/>
    <w:rsid w:val="46243C8E"/>
    <w:rsid w:val="462553F1"/>
    <w:rsid w:val="46267EDC"/>
    <w:rsid w:val="462741C1"/>
    <w:rsid w:val="46274A64"/>
    <w:rsid w:val="462868FC"/>
    <w:rsid w:val="462927CC"/>
    <w:rsid w:val="4629283D"/>
    <w:rsid w:val="46295A03"/>
    <w:rsid w:val="462A0CCA"/>
    <w:rsid w:val="462A456B"/>
    <w:rsid w:val="462A63A3"/>
    <w:rsid w:val="462B129A"/>
    <w:rsid w:val="462F4D56"/>
    <w:rsid w:val="46323D4A"/>
    <w:rsid w:val="46342CDD"/>
    <w:rsid w:val="463769DC"/>
    <w:rsid w:val="463827CD"/>
    <w:rsid w:val="463B050F"/>
    <w:rsid w:val="463B4C52"/>
    <w:rsid w:val="463C4CB2"/>
    <w:rsid w:val="463E71C8"/>
    <w:rsid w:val="46404AD9"/>
    <w:rsid w:val="46462F83"/>
    <w:rsid w:val="464B2908"/>
    <w:rsid w:val="464C2F23"/>
    <w:rsid w:val="464E0242"/>
    <w:rsid w:val="464F2DE8"/>
    <w:rsid w:val="464F7C90"/>
    <w:rsid w:val="46537607"/>
    <w:rsid w:val="46555136"/>
    <w:rsid w:val="465619C6"/>
    <w:rsid w:val="46567018"/>
    <w:rsid w:val="46595220"/>
    <w:rsid w:val="465A166B"/>
    <w:rsid w:val="465B1809"/>
    <w:rsid w:val="465B2048"/>
    <w:rsid w:val="46607F75"/>
    <w:rsid w:val="4662784A"/>
    <w:rsid w:val="46654C28"/>
    <w:rsid w:val="46693933"/>
    <w:rsid w:val="46693C23"/>
    <w:rsid w:val="46694F98"/>
    <w:rsid w:val="466972EF"/>
    <w:rsid w:val="466A4F31"/>
    <w:rsid w:val="466F61DE"/>
    <w:rsid w:val="46701873"/>
    <w:rsid w:val="46704FD2"/>
    <w:rsid w:val="46713F31"/>
    <w:rsid w:val="467248DA"/>
    <w:rsid w:val="46730D78"/>
    <w:rsid w:val="467460EE"/>
    <w:rsid w:val="46750783"/>
    <w:rsid w:val="467521DF"/>
    <w:rsid w:val="46771D17"/>
    <w:rsid w:val="4678383F"/>
    <w:rsid w:val="467C4DAF"/>
    <w:rsid w:val="467D073D"/>
    <w:rsid w:val="467E491E"/>
    <w:rsid w:val="468123C6"/>
    <w:rsid w:val="46900FBA"/>
    <w:rsid w:val="46911EDD"/>
    <w:rsid w:val="46923DF0"/>
    <w:rsid w:val="46924AAE"/>
    <w:rsid w:val="46963A2E"/>
    <w:rsid w:val="46965D99"/>
    <w:rsid w:val="4698326B"/>
    <w:rsid w:val="4698770F"/>
    <w:rsid w:val="469B1418"/>
    <w:rsid w:val="469C32A9"/>
    <w:rsid w:val="469C3FEF"/>
    <w:rsid w:val="46A02970"/>
    <w:rsid w:val="46A04AA9"/>
    <w:rsid w:val="46A141FF"/>
    <w:rsid w:val="46A169DD"/>
    <w:rsid w:val="46A240EA"/>
    <w:rsid w:val="46A41C10"/>
    <w:rsid w:val="46A5119F"/>
    <w:rsid w:val="46A55988"/>
    <w:rsid w:val="46A6389B"/>
    <w:rsid w:val="46A80BCA"/>
    <w:rsid w:val="46A936CA"/>
    <w:rsid w:val="46AA452D"/>
    <w:rsid w:val="46AD199E"/>
    <w:rsid w:val="46AE27B4"/>
    <w:rsid w:val="46AE2908"/>
    <w:rsid w:val="46AE5E98"/>
    <w:rsid w:val="46B06807"/>
    <w:rsid w:val="46B201E0"/>
    <w:rsid w:val="46B20AD6"/>
    <w:rsid w:val="46B56FC9"/>
    <w:rsid w:val="46B67B95"/>
    <w:rsid w:val="46B77BE3"/>
    <w:rsid w:val="46B84340"/>
    <w:rsid w:val="46BA1434"/>
    <w:rsid w:val="46BB1594"/>
    <w:rsid w:val="46BE123E"/>
    <w:rsid w:val="46BE67F0"/>
    <w:rsid w:val="46BF0C42"/>
    <w:rsid w:val="46C029FB"/>
    <w:rsid w:val="46C25B9D"/>
    <w:rsid w:val="46C2653A"/>
    <w:rsid w:val="46C4266C"/>
    <w:rsid w:val="46C45D93"/>
    <w:rsid w:val="46C465EB"/>
    <w:rsid w:val="46C95F38"/>
    <w:rsid w:val="46CB1893"/>
    <w:rsid w:val="46CB4320"/>
    <w:rsid w:val="46CD06C6"/>
    <w:rsid w:val="46CD198D"/>
    <w:rsid w:val="46D02A05"/>
    <w:rsid w:val="46D075C8"/>
    <w:rsid w:val="46D324F5"/>
    <w:rsid w:val="46D46400"/>
    <w:rsid w:val="46D715E9"/>
    <w:rsid w:val="46DA56D2"/>
    <w:rsid w:val="46DA686A"/>
    <w:rsid w:val="46DC3AA0"/>
    <w:rsid w:val="46DE4FE0"/>
    <w:rsid w:val="46E22DFA"/>
    <w:rsid w:val="46E26BDC"/>
    <w:rsid w:val="46E464B1"/>
    <w:rsid w:val="46E561B7"/>
    <w:rsid w:val="46E7130E"/>
    <w:rsid w:val="46E841F3"/>
    <w:rsid w:val="46E97F6B"/>
    <w:rsid w:val="46EB347B"/>
    <w:rsid w:val="46EC132E"/>
    <w:rsid w:val="46F20D80"/>
    <w:rsid w:val="46F22218"/>
    <w:rsid w:val="46F26061"/>
    <w:rsid w:val="46F30DEA"/>
    <w:rsid w:val="46F31B5E"/>
    <w:rsid w:val="46F51556"/>
    <w:rsid w:val="46F752D4"/>
    <w:rsid w:val="46F96A11"/>
    <w:rsid w:val="46FA2240"/>
    <w:rsid w:val="46FB034D"/>
    <w:rsid w:val="46FB623B"/>
    <w:rsid w:val="46FC59CC"/>
    <w:rsid w:val="46FE02F8"/>
    <w:rsid w:val="47000D52"/>
    <w:rsid w:val="47017063"/>
    <w:rsid w:val="47040901"/>
    <w:rsid w:val="47065D63"/>
    <w:rsid w:val="47094169"/>
    <w:rsid w:val="470D1EAB"/>
    <w:rsid w:val="4710374A"/>
    <w:rsid w:val="471054F8"/>
    <w:rsid w:val="47116C31"/>
    <w:rsid w:val="47182221"/>
    <w:rsid w:val="471824D6"/>
    <w:rsid w:val="4719274D"/>
    <w:rsid w:val="471A6804"/>
    <w:rsid w:val="471A72D1"/>
    <w:rsid w:val="471B0463"/>
    <w:rsid w:val="471C41FF"/>
    <w:rsid w:val="471E03DE"/>
    <w:rsid w:val="472015A9"/>
    <w:rsid w:val="4723522B"/>
    <w:rsid w:val="47242D51"/>
    <w:rsid w:val="4725528A"/>
    <w:rsid w:val="47262F6D"/>
    <w:rsid w:val="47264F1F"/>
    <w:rsid w:val="47266002"/>
    <w:rsid w:val="472D55C2"/>
    <w:rsid w:val="472D7E58"/>
    <w:rsid w:val="472E5B48"/>
    <w:rsid w:val="472E72A2"/>
    <w:rsid w:val="472F6895"/>
    <w:rsid w:val="473138E7"/>
    <w:rsid w:val="47327E1C"/>
    <w:rsid w:val="47336E76"/>
    <w:rsid w:val="47352751"/>
    <w:rsid w:val="47376F28"/>
    <w:rsid w:val="47392CA0"/>
    <w:rsid w:val="473C62ED"/>
    <w:rsid w:val="4743722B"/>
    <w:rsid w:val="474417D8"/>
    <w:rsid w:val="47490A0A"/>
    <w:rsid w:val="474A052B"/>
    <w:rsid w:val="474A6215"/>
    <w:rsid w:val="474C107E"/>
    <w:rsid w:val="474C1D5B"/>
    <w:rsid w:val="474F4272"/>
    <w:rsid w:val="475573AE"/>
    <w:rsid w:val="47571D30"/>
    <w:rsid w:val="47577371"/>
    <w:rsid w:val="475A5D99"/>
    <w:rsid w:val="475B6DD9"/>
    <w:rsid w:val="475D64CE"/>
    <w:rsid w:val="475E2A51"/>
    <w:rsid w:val="475E44B5"/>
    <w:rsid w:val="475E6263"/>
    <w:rsid w:val="47601E9E"/>
    <w:rsid w:val="47627C1A"/>
    <w:rsid w:val="47650EE8"/>
    <w:rsid w:val="47653A95"/>
    <w:rsid w:val="47663D1A"/>
    <w:rsid w:val="47673CAC"/>
    <w:rsid w:val="47680E90"/>
    <w:rsid w:val="4769333A"/>
    <w:rsid w:val="476A1887"/>
    <w:rsid w:val="476A3995"/>
    <w:rsid w:val="476B0980"/>
    <w:rsid w:val="476D294A"/>
    <w:rsid w:val="476E221E"/>
    <w:rsid w:val="476E7D71"/>
    <w:rsid w:val="47737835"/>
    <w:rsid w:val="47746D69"/>
    <w:rsid w:val="47747B1C"/>
    <w:rsid w:val="47765DDA"/>
    <w:rsid w:val="47775577"/>
    <w:rsid w:val="47782FCC"/>
    <w:rsid w:val="477A7820"/>
    <w:rsid w:val="477D002C"/>
    <w:rsid w:val="477E04D8"/>
    <w:rsid w:val="4781627B"/>
    <w:rsid w:val="4782258D"/>
    <w:rsid w:val="47825C22"/>
    <w:rsid w:val="47847D2F"/>
    <w:rsid w:val="478902C6"/>
    <w:rsid w:val="478903BB"/>
    <w:rsid w:val="478B0F43"/>
    <w:rsid w:val="478B4B7E"/>
    <w:rsid w:val="478D1745"/>
    <w:rsid w:val="478F28C0"/>
    <w:rsid w:val="47902E10"/>
    <w:rsid w:val="47906638"/>
    <w:rsid w:val="47911A05"/>
    <w:rsid w:val="47930250"/>
    <w:rsid w:val="47947ED7"/>
    <w:rsid w:val="479D6B22"/>
    <w:rsid w:val="479E417C"/>
    <w:rsid w:val="479E76ED"/>
    <w:rsid w:val="47A0687C"/>
    <w:rsid w:val="47A14704"/>
    <w:rsid w:val="47A3011A"/>
    <w:rsid w:val="47A345BE"/>
    <w:rsid w:val="47A3636C"/>
    <w:rsid w:val="47A520E4"/>
    <w:rsid w:val="47A5368E"/>
    <w:rsid w:val="47A72F0F"/>
    <w:rsid w:val="47AA0E1C"/>
    <w:rsid w:val="47AA594C"/>
    <w:rsid w:val="47AB60C7"/>
    <w:rsid w:val="47AC5725"/>
    <w:rsid w:val="47AD71EA"/>
    <w:rsid w:val="47B265C4"/>
    <w:rsid w:val="47B406DC"/>
    <w:rsid w:val="47B440D5"/>
    <w:rsid w:val="47B57A38"/>
    <w:rsid w:val="47B916EB"/>
    <w:rsid w:val="47BA5463"/>
    <w:rsid w:val="47BF20A8"/>
    <w:rsid w:val="47C03E21"/>
    <w:rsid w:val="47C23228"/>
    <w:rsid w:val="47C3362C"/>
    <w:rsid w:val="47C36A0E"/>
    <w:rsid w:val="47C56F66"/>
    <w:rsid w:val="47C67E7A"/>
    <w:rsid w:val="47C953AE"/>
    <w:rsid w:val="47CA16E7"/>
    <w:rsid w:val="47CA1B4A"/>
    <w:rsid w:val="47CB141F"/>
    <w:rsid w:val="47CC503A"/>
    <w:rsid w:val="47CC58C3"/>
    <w:rsid w:val="47D1337E"/>
    <w:rsid w:val="47D209FF"/>
    <w:rsid w:val="47D26C51"/>
    <w:rsid w:val="47D34348"/>
    <w:rsid w:val="47D50512"/>
    <w:rsid w:val="47D74267"/>
    <w:rsid w:val="47D91D8D"/>
    <w:rsid w:val="47D93B3C"/>
    <w:rsid w:val="47DA45FF"/>
    <w:rsid w:val="47DE1152"/>
    <w:rsid w:val="47DE7578"/>
    <w:rsid w:val="47DF0FED"/>
    <w:rsid w:val="47DF7052"/>
    <w:rsid w:val="47E21BF4"/>
    <w:rsid w:val="47E250E6"/>
    <w:rsid w:val="47E26E94"/>
    <w:rsid w:val="47E349BA"/>
    <w:rsid w:val="47E51606"/>
    <w:rsid w:val="47E55C5F"/>
    <w:rsid w:val="47E924FF"/>
    <w:rsid w:val="47EB2FFC"/>
    <w:rsid w:val="47EE1AA6"/>
    <w:rsid w:val="47EE2C06"/>
    <w:rsid w:val="47EF335F"/>
    <w:rsid w:val="47F05FF3"/>
    <w:rsid w:val="47F45763"/>
    <w:rsid w:val="47F93301"/>
    <w:rsid w:val="47FC7110"/>
    <w:rsid w:val="47FF4EB4"/>
    <w:rsid w:val="480212E4"/>
    <w:rsid w:val="48021483"/>
    <w:rsid w:val="48054931"/>
    <w:rsid w:val="48090F70"/>
    <w:rsid w:val="480D710A"/>
    <w:rsid w:val="480F1C53"/>
    <w:rsid w:val="480F2E5A"/>
    <w:rsid w:val="4810162F"/>
    <w:rsid w:val="48131A71"/>
    <w:rsid w:val="481967CE"/>
    <w:rsid w:val="48196859"/>
    <w:rsid w:val="481A70C2"/>
    <w:rsid w:val="481B44B0"/>
    <w:rsid w:val="481C5495"/>
    <w:rsid w:val="481D1C15"/>
    <w:rsid w:val="48243A3C"/>
    <w:rsid w:val="48272AF9"/>
    <w:rsid w:val="48276F9D"/>
    <w:rsid w:val="482E032B"/>
    <w:rsid w:val="482F7BFF"/>
    <w:rsid w:val="48311BC9"/>
    <w:rsid w:val="48312561"/>
    <w:rsid w:val="48314DBB"/>
    <w:rsid w:val="4836579A"/>
    <w:rsid w:val="48390A7E"/>
    <w:rsid w:val="483B0836"/>
    <w:rsid w:val="483D056E"/>
    <w:rsid w:val="483D231C"/>
    <w:rsid w:val="483D45DA"/>
    <w:rsid w:val="483D49AD"/>
    <w:rsid w:val="48424EAC"/>
    <w:rsid w:val="484266DA"/>
    <w:rsid w:val="48427C04"/>
    <w:rsid w:val="48472745"/>
    <w:rsid w:val="4848391D"/>
    <w:rsid w:val="48487B3C"/>
    <w:rsid w:val="484B1A0D"/>
    <w:rsid w:val="484C4DFF"/>
    <w:rsid w:val="484C65AB"/>
    <w:rsid w:val="484D502E"/>
    <w:rsid w:val="484F16A2"/>
    <w:rsid w:val="48507E7F"/>
    <w:rsid w:val="48510BF8"/>
    <w:rsid w:val="48513D5B"/>
    <w:rsid w:val="485350A5"/>
    <w:rsid w:val="48537497"/>
    <w:rsid w:val="485708FA"/>
    <w:rsid w:val="485853A8"/>
    <w:rsid w:val="485A0874"/>
    <w:rsid w:val="485A2082"/>
    <w:rsid w:val="485B09F4"/>
    <w:rsid w:val="485B0CC3"/>
    <w:rsid w:val="485B29EC"/>
    <w:rsid w:val="485C4628"/>
    <w:rsid w:val="48617748"/>
    <w:rsid w:val="48650C15"/>
    <w:rsid w:val="48653621"/>
    <w:rsid w:val="486637E6"/>
    <w:rsid w:val="48671147"/>
    <w:rsid w:val="486A0C38"/>
    <w:rsid w:val="486A5E8E"/>
    <w:rsid w:val="486B66A9"/>
    <w:rsid w:val="486D73A7"/>
    <w:rsid w:val="486F44A0"/>
    <w:rsid w:val="486F53C0"/>
    <w:rsid w:val="486F7876"/>
    <w:rsid w:val="48723AE3"/>
    <w:rsid w:val="487554ED"/>
    <w:rsid w:val="48757D08"/>
    <w:rsid w:val="4876582E"/>
    <w:rsid w:val="48774226"/>
    <w:rsid w:val="487815A6"/>
    <w:rsid w:val="487A30EC"/>
    <w:rsid w:val="487C235B"/>
    <w:rsid w:val="487D0C1F"/>
    <w:rsid w:val="487E491C"/>
    <w:rsid w:val="487F0B87"/>
    <w:rsid w:val="487F52F6"/>
    <w:rsid w:val="4880045B"/>
    <w:rsid w:val="48816A33"/>
    <w:rsid w:val="48820171"/>
    <w:rsid w:val="4882187E"/>
    <w:rsid w:val="488520C4"/>
    <w:rsid w:val="488561C1"/>
    <w:rsid w:val="488717E9"/>
    <w:rsid w:val="488752E3"/>
    <w:rsid w:val="488D4AAC"/>
    <w:rsid w:val="48904B42"/>
    <w:rsid w:val="48905DEF"/>
    <w:rsid w:val="489155C8"/>
    <w:rsid w:val="48924B48"/>
    <w:rsid w:val="48934632"/>
    <w:rsid w:val="48967C7F"/>
    <w:rsid w:val="489740E3"/>
    <w:rsid w:val="48A028AB"/>
    <w:rsid w:val="48A205AA"/>
    <w:rsid w:val="48A835C4"/>
    <w:rsid w:val="48A979B2"/>
    <w:rsid w:val="48AA4E97"/>
    <w:rsid w:val="48AB3FC1"/>
    <w:rsid w:val="48AC1250"/>
    <w:rsid w:val="48AE6D76"/>
    <w:rsid w:val="48B56357"/>
    <w:rsid w:val="48BA396D"/>
    <w:rsid w:val="48BB0D4E"/>
    <w:rsid w:val="48BD520B"/>
    <w:rsid w:val="48BD61CD"/>
    <w:rsid w:val="48BE4A6C"/>
    <w:rsid w:val="48C31DB3"/>
    <w:rsid w:val="48C37541"/>
    <w:rsid w:val="48C42A3E"/>
    <w:rsid w:val="48C42D49"/>
    <w:rsid w:val="48C5316A"/>
    <w:rsid w:val="48C742DC"/>
    <w:rsid w:val="48C93BB0"/>
    <w:rsid w:val="48CA15A1"/>
    <w:rsid w:val="48CA3030"/>
    <w:rsid w:val="48CB4E19"/>
    <w:rsid w:val="48CC544E"/>
    <w:rsid w:val="48CE566A"/>
    <w:rsid w:val="48CF0775"/>
    <w:rsid w:val="48CF3887"/>
    <w:rsid w:val="48D12A65"/>
    <w:rsid w:val="48D2339E"/>
    <w:rsid w:val="48D552C8"/>
    <w:rsid w:val="48D567ED"/>
    <w:rsid w:val="48D6125E"/>
    <w:rsid w:val="48D80297"/>
    <w:rsid w:val="48D82045"/>
    <w:rsid w:val="48D90D7D"/>
    <w:rsid w:val="48DB1376"/>
    <w:rsid w:val="48DB6941"/>
    <w:rsid w:val="48DD02C3"/>
    <w:rsid w:val="48DE4D6F"/>
    <w:rsid w:val="48DF023B"/>
    <w:rsid w:val="48E00829"/>
    <w:rsid w:val="48E00EFA"/>
    <w:rsid w:val="48E1714C"/>
    <w:rsid w:val="48E21116"/>
    <w:rsid w:val="48E413A1"/>
    <w:rsid w:val="48E809A4"/>
    <w:rsid w:val="48E91CE9"/>
    <w:rsid w:val="48EB621C"/>
    <w:rsid w:val="48EF2F0A"/>
    <w:rsid w:val="48F0738F"/>
    <w:rsid w:val="48F11E7F"/>
    <w:rsid w:val="48F549A5"/>
    <w:rsid w:val="48F563DF"/>
    <w:rsid w:val="48F65D82"/>
    <w:rsid w:val="48FA020D"/>
    <w:rsid w:val="48FA1FBB"/>
    <w:rsid w:val="48FD2B21"/>
    <w:rsid w:val="48FD7CFE"/>
    <w:rsid w:val="48FF23C8"/>
    <w:rsid w:val="48FF75D2"/>
    <w:rsid w:val="49016A01"/>
    <w:rsid w:val="49031920"/>
    <w:rsid w:val="49035633"/>
    <w:rsid w:val="49042E3A"/>
    <w:rsid w:val="49043881"/>
    <w:rsid w:val="4905074B"/>
    <w:rsid w:val="49054987"/>
    <w:rsid w:val="49061623"/>
    <w:rsid w:val="4909160A"/>
    <w:rsid w:val="491017DF"/>
    <w:rsid w:val="491237A9"/>
    <w:rsid w:val="491400F3"/>
    <w:rsid w:val="49144504"/>
    <w:rsid w:val="49164DDF"/>
    <w:rsid w:val="4918213C"/>
    <w:rsid w:val="491A5E9D"/>
    <w:rsid w:val="491C61DA"/>
    <w:rsid w:val="491E0224"/>
    <w:rsid w:val="492139EC"/>
    <w:rsid w:val="49213ACE"/>
    <w:rsid w:val="49214975"/>
    <w:rsid w:val="4922747B"/>
    <w:rsid w:val="49237DCA"/>
    <w:rsid w:val="49262DB0"/>
    <w:rsid w:val="492939CC"/>
    <w:rsid w:val="4929464F"/>
    <w:rsid w:val="492C7085"/>
    <w:rsid w:val="492D5A1F"/>
    <w:rsid w:val="49315AE0"/>
    <w:rsid w:val="493404D6"/>
    <w:rsid w:val="49343ADA"/>
    <w:rsid w:val="493556E9"/>
    <w:rsid w:val="493A02D3"/>
    <w:rsid w:val="493A2D00"/>
    <w:rsid w:val="493A685C"/>
    <w:rsid w:val="493B2C4E"/>
    <w:rsid w:val="493C0826"/>
    <w:rsid w:val="493C25D4"/>
    <w:rsid w:val="493E459E"/>
    <w:rsid w:val="493F1574"/>
    <w:rsid w:val="494254CB"/>
    <w:rsid w:val="49441489"/>
    <w:rsid w:val="49465C88"/>
    <w:rsid w:val="494871CB"/>
    <w:rsid w:val="49492299"/>
    <w:rsid w:val="494B0A69"/>
    <w:rsid w:val="494C0793"/>
    <w:rsid w:val="494D62C3"/>
    <w:rsid w:val="49532C07"/>
    <w:rsid w:val="49535CBF"/>
    <w:rsid w:val="49553A98"/>
    <w:rsid w:val="49566C12"/>
    <w:rsid w:val="495A31B3"/>
    <w:rsid w:val="495A6762"/>
    <w:rsid w:val="495C6A49"/>
    <w:rsid w:val="495D53AD"/>
    <w:rsid w:val="495D6F47"/>
    <w:rsid w:val="495E1242"/>
    <w:rsid w:val="495F570C"/>
    <w:rsid w:val="495F741D"/>
    <w:rsid w:val="496140CE"/>
    <w:rsid w:val="49643ED9"/>
    <w:rsid w:val="49647D7D"/>
    <w:rsid w:val="49666531"/>
    <w:rsid w:val="49695393"/>
    <w:rsid w:val="49696660"/>
    <w:rsid w:val="496A2DDB"/>
    <w:rsid w:val="496D4D42"/>
    <w:rsid w:val="496D4E83"/>
    <w:rsid w:val="496D4F07"/>
    <w:rsid w:val="496D6C31"/>
    <w:rsid w:val="496E301B"/>
    <w:rsid w:val="496E7D4E"/>
    <w:rsid w:val="496F3E88"/>
    <w:rsid w:val="49710515"/>
    <w:rsid w:val="4972249A"/>
    <w:rsid w:val="497241A8"/>
    <w:rsid w:val="497576BC"/>
    <w:rsid w:val="49763089"/>
    <w:rsid w:val="49766D2C"/>
    <w:rsid w:val="49777AB0"/>
    <w:rsid w:val="49794CE7"/>
    <w:rsid w:val="49794E63"/>
    <w:rsid w:val="497B4195"/>
    <w:rsid w:val="497E3790"/>
    <w:rsid w:val="497F0713"/>
    <w:rsid w:val="497F2E77"/>
    <w:rsid w:val="497F4CEC"/>
    <w:rsid w:val="49804BB7"/>
    <w:rsid w:val="49804EB2"/>
    <w:rsid w:val="498126DD"/>
    <w:rsid w:val="498159E6"/>
    <w:rsid w:val="498174A7"/>
    <w:rsid w:val="49821348"/>
    <w:rsid w:val="49821F37"/>
    <w:rsid w:val="49826689"/>
    <w:rsid w:val="4983035C"/>
    <w:rsid w:val="49831044"/>
    <w:rsid w:val="49836818"/>
    <w:rsid w:val="49845D8B"/>
    <w:rsid w:val="49846628"/>
    <w:rsid w:val="49851138"/>
    <w:rsid w:val="498576BF"/>
    <w:rsid w:val="498814C5"/>
    <w:rsid w:val="498C23FF"/>
    <w:rsid w:val="498E4EBE"/>
    <w:rsid w:val="498F60E8"/>
    <w:rsid w:val="498F64FC"/>
    <w:rsid w:val="49902920"/>
    <w:rsid w:val="4991085D"/>
    <w:rsid w:val="49952D80"/>
    <w:rsid w:val="49973CAE"/>
    <w:rsid w:val="499917D4"/>
    <w:rsid w:val="49997A26"/>
    <w:rsid w:val="499C0CBA"/>
    <w:rsid w:val="499C7517"/>
    <w:rsid w:val="499E503D"/>
    <w:rsid w:val="49A259EF"/>
    <w:rsid w:val="49A64D52"/>
    <w:rsid w:val="49A81A17"/>
    <w:rsid w:val="49AA06D1"/>
    <w:rsid w:val="49AA1C33"/>
    <w:rsid w:val="49AD2737"/>
    <w:rsid w:val="49AD43B4"/>
    <w:rsid w:val="49AE2DA6"/>
    <w:rsid w:val="49AF2B26"/>
    <w:rsid w:val="49B758A3"/>
    <w:rsid w:val="49BC54C3"/>
    <w:rsid w:val="49BD5860"/>
    <w:rsid w:val="49BE3EF1"/>
    <w:rsid w:val="49BF07A0"/>
    <w:rsid w:val="49C0532A"/>
    <w:rsid w:val="49C10D2B"/>
    <w:rsid w:val="49C113FF"/>
    <w:rsid w:val="49C12AD9"/>
    <w:rsid w:val="49C26F36"/>
    <w:rsid w:val="49C36851"/>
    <w:rsid w:val="49C629D7"/>
    <w:rsid w:val="49CD36F0"/>
    <w:rsid w:val="49CD76D0"/>
    <w:rsid w:val="49CF169A"/>
    <w:rsid w:val="49D34515"/>
    <w:rsid w:val="49D433E9"/>
    <w:rsid w:val="49D62A28"/>
    <w:rsid w:val="49D67550"/>
    <w:rsid w:val="49D767A1"/>
    <w:rsid w:val="49D83A04"/>
    <w:rsid w:val="49D93B4E"/>
    <w:rsid w:val="49D96075"/>
    <w:rsid w:val="49DC7913"/>
    <w:rsid w:val="49DE368B"/>
    <w:rsid w:val="49E46123"/>
    <w:rsid w:val="49E52C6C"/>
    <w:rsid w:val="49E71C16"/>
    <w:rsid w:val="49E80120"/>
    <w:rsid w:val="49E8204B"/>
    <w:rsid w:val="49EA2030"/>
    <w:rsid w:val="49EB7B56"/>
    <w:rsid w:val="49EC22F3"/>
    <w:rsid w:val="49EF0F03"/>
    <w:rsid w:val="49EF7C48"/>
    <w:rsid w:val="49F107DC"/>
    <w:rsid w:val="49F27774"/>
    <w:rsid w:val="49F432E6"/>
    <w:rsid w:val="49F72751"/>
    <w:rsid w:val="49F8034B"/>
    <w:rsid w:val="49F83255"/>
    <w:rsid w:val="49F9610D"/>
    <w:rsid w:val="49FB31BE"/>
    <w:rsid w:val="49FB423D"/>
    <w:rsid w:val="49FD6207"/>
    <w:rsid w:val="49FD6BAA"/>
    <w:rsid w:val="49FF132D"/>
    <w:rsid w:val="4A011472"/>
    <w:rsid w:val="4A031344"/>
    <w:rsid w:val="4A065361"/>
    <w:rsid w:val="4A070E34"/>
    <w:rsid w:val="4A0749B4"/>
    <w:rsid w:val="4A0A4480"/>
    <w:rsid w:val="4A0A4A38"/>
    <w:rsid w:val="4A0B1FA6"/>
    <w:rsid w:val="4A0D3F70"/>
    <w:rsid w:val="4A0D7540"/>
    <w:rsid w:val="4A0E2C84"/>
    <w:rsid w:val="4A0E66EB"/>
    <w:rsid w:val="4A0F64E6"/>
    <w:rsid w:val="4A113A61"/>
    <w:rsid w:val="4A117F6C"/>
    <w:rsid w:val="4A120366"/>
    <w:rsid w:val="4A15042C"/>
    <w:rsid w:val="4A1649E3"/>
    <w:rsid w:val="4A187215"/>
    <w:rsid w:val="4A191BB4"/>
    <w:rsid w:val="4A1A3935"/>
    <w:rsid w:val="4A1A4124"/>
    <w:rsid w:val="4A1D2868"/>
    <w:rsid w:val="4A1E3088"/>
    <w:rsid w:val="4A1F5030"/>
    <w:rsid w:val="4A2117CA"/>
    <w:rsid w:val="4A217C4B"/>
    <w:rsid w:val="4A225C6E"/>
    <w:rsid w:val="4A263A35"/>
    <w:rsid w:val="4A282B58"/>
    <w:rsid w:val="4A2A74E3"/>
    <w:rsid w:val="4A2D016F"/>
    <w:rsid w:val="4A2E48B0"/>
    <w:rsid w:val="4A2F6066"/>
    <w:rsid w:val="4A327B01"/>
    <w:rsid w:val="4A35650B"/>
    <w:rsid w:val="4A3634C7"/>
    <w:rsid w:val="4A380B23"/>
    <w:rsid w:val="4A395BB5"/>
    <w:rsid w:val="4A3C6604"/>
    <w:rsid w:val="4A3E4206"/>
    <w:rsid w:val="4A402CC2"/>
    <w:rsid w:val="4A4200BE"/>
    <w:rsid w:val="4A467655"/>
    <w:rsid w:val="4A473639"/>
    <w:rsid w:val="4A494EE7"/>
    <w:rsid w:val="4A4B3F64"/>
    <w:rsid w:val="4A4C2CF7"/>
    <w:rsid w:val="4A4C3910"/>
    <w:rsid w:val="4A5144F5"/>
    <w:rsid w:val="4A527BD5"/>
    <w:rsid w:val="4A527FA5"/>
    <w:rsid w:val="4A546D2B"/>
    <w:rsid w:val="4A54747B"/>
    <w:rsid w:val="4A58168F"/>
    <w:rsid w:val="4A583605"/>
    <w:rsid w:val="4A592141"/>
    <w:rsid w:val="4A5B1180"/>
    <w:rsid w:val="4A5B4858"/>
    <w:rsid w:val="4A5D7178"/>
    <w:rsid w:val="4A600544"/>
    <w:rsid w:val="4A604A63"/>
    <w:rsid w:val="4A617494"/>
    <w:rsid w:val="4A6209BE"/>
    <w:rsid w:val="4A626CDA"/>
    <w:rsid w:val="4A6476D1"/>
    <w:rsid w:val="4A6534B0"/>
    <w:rsid w:val="4A653DAC"/>
    <w:rsid w:val="4A657908"/>
    <w:rsid w:val="4A657D4C"/>
    <w:rsid w:val="4A66399E"/>
    <w:rsid w:val="4A6A13C3"/>
    <w:rsid w:val="4A6A506A"/>
    <w:rsid w:val="4A6B75B6"/>
    <w:rsid w:val="4A714C75"/>
    <w:rsid w:val="4A724208"/>
    <w:rsid w:val="4A7428FB"/>
    <w:rsid w:val="4A767D68"/>
    <w:rsid w:val="4A784300"/>
    <w:rsid w:val="4A7A13F6"/>
    <w:rsid w:val="4A7B3EC9"/>
    <w:rsid w:val="4A7C2A2F"/>
    <w:rsid w:val="4A7F66F1"/>
    <w:rsid w:val="4A800BE6"/>
    <w:rsid w:val="4A817509"/>
    <w:rsid w:val="4A85368F"/>
    <w:rsid w:val="4A8537FC"/>
    <w:rsid w:val="4A8619F3"/>
    <w:rsid w:val="4A876179"/>
    <w:rsid w:val="4A882BBB"/>
    <w:rsid w:val="4A883CCD"/>
    <w:rsid w:val="4A8B5F7D"/>
    <w:rsid w:val="4A8C5062"/>
    <w:rsid w:val="4A8C70C9"/>
    <w:rsid w:val="4A8D7C62"/>
    <w:rsid w:val="4A906C2F"/>
    <w:rsid w:val="4A91694F"/>
    <w:rsid w:val="4A930919"/>
    <w:rsid w:val="4A934476"/>
    <w:rsid w:val="4A941E17"/>
    <w:rsid w:val="4A955E78"/>
    <w:rsid w:val="4A977AF4"/>
    <w:rsid w:val="4A987CDE"/>
    <w:rsid w:val="4A9B05A9"/>
    <w:rsid w:val="4A9C37DF"/>
    <w:rsid w:val="4A9E50FD"/>
    <w:rsid w:val="4AA06B93"/>
    <w:rsid w:val="4AA30431"/>
    <w:rsid w:val="4AA31C82"/>
    <w:rsid w:val="4AA32311"/>
    <w:rsid w:val="4AA43E69"/>
    <w:rsid w:val="4AA6409B"/>
    <w:rsid w:val="4AA7028D"/>
    <w:rsid w:val="4AA928D4"/>
    <w:rsid w:val="4AAA5D75"/>
    <w:rsid w:val="4AAB009E"/>
    <w:rsid w:val="4AAE7AFD"/>
    <w:rsid w:val="4AAF5028"/>
    <w:rsid w:val="4AB443EC"/>
    <w:rsid w:val="4AB56AE2"/>
    <w:rsid w:val="4AB62F3F"/>
    <w:rsid w:val="4AB77C70"/>
    <w:rsid w:val="4AB80380"/>
    <w:rsid w:val="4AB904B0"/>
    <w:rsid w:val="4AB97539"/>
    <w:rsid w:val="4ABA5FDF"/>
    <w:rsid w:val="4ABC1315"/>
    <w:rsid w:val="4ABC313C"/>
    <w:rsid w:val="4ABD24B3"/>
    <w:rsid w:val="4ABD7744"/>
    <w:rsid w:val="4ABF34BD"/>
    <w:rsid w:val="4ABF59B7"/>
    <w:rsid w:val="4AC00E34"/>
    <w:rsid w:val="4AC07235"/>
    <w:rsid w:val="4AC11ECE"/>
    <w:rsid w:val="4AC26B09"/>
    <w:rsid w:val="4AC665C2"/>
    <w:rsid w:val="4AC74505"/>
    <w:rsid w:val="4AC95E02"/>
    <w:rsid w:val="4ACA0780"/>
    <w:rsid w:val="4ACA1D18"/>
    <w:rsid w:val="4ACA7D7A"/>
    <w:rsid w:val="4ACC7DDB"/>
    <w:rsid w:val="4ACD36E9"/>
    <w:rsid w:val="4ACE470E"/>
    <w:rsid w:val="4ACF7478"/>
    <w:rsid w:val="4AD056CA"/>
    <w:rsid w:val="4AD43BE1"/>
    <w:rsid w:val="4AD60806"/>
    <w:rsid w:val="4AD65667"/>
    <w:rsid w:val="4AD72235"/>
    <w:rsid w:val="4AD8457E"/>
    <w:rsid w:val="4AD8632C"/>
    <w:rsid w:val="4ADD1B95"/>
    <w:rsid w:val="4ADD66D9"/>
    <w:rsid w:val="4ADD6D8E"/>
    <w:rsid w:val="4ADF4F9C"/>
    <w:rsid w:val="4AE178D7"/>
    <w:rsid w:val="4AE63099"/>
    <w:rsid w:val="4AE83401"/>
    <w:rsid w:val="4AEA0DBB"/>
    <w:rsid w:val="4AEA0FDE"/>
    <w:rsid w:val="4AEA4C8F"/>
    <w:rsid w:val="4AEA73C7"/>
    <w:rsid w:val="4AEB2284"/>
    <w:rsid w:val="4AEC627C"/>
    <w:rsid w:val="4AEE5B50"/>
    <w:rsid w:val="4AEF2E2C"/>
    <w:rsid w:val="4AEF3676"/>
    <w:rsid w:val="4AF550ED"/>
    <w:rsid w:val="4AF61B6A"/>
    <w:rsid w:val="4AF8594A"/>
    <w:rsid w:val="4AFD5D93"/>
    <w:rsid w:val="4B005C5D"/>
    <w:rsid w:val="4B007631"/>
    <w:rsid w:val="4B032553"/>
    <w:rsid w:val="4B050A17"/>
    <w:rsid w:val="4B052E99"/>
    <w:rsid w:val="4B0542B3"/>
    <w:rsid w:val="4B06436D"/>
    <w:rsid w:val="4B072149"/>
    <w:rsid w:val="4B094738"/>
    <w:rsid w:val="4B0A47E5"/>
    <w:rsid w:val="4B0A5209"/>
    <w:rsid w:val="4B0B3E76"/>
    <w:rsid w:val="4B0E61F2"/>
    <w:rsid w:val="4B0F594C"/>
    <w:rsid w:val="4B115A3A"/>
    <w:rsid w:val="4B16174D"/>
    <w:rsid w:val="4B166E55"/>
    <w:rsid w:val="4B186FF8"/>
    <w:rsid w:val="4B1C090F"/>
    <w:rsid w:val="4B1C363A"/>
    <w:rsid w:val="4B1D6435"/>
    <w:rsid w:val="4B205CD2"/>
    <w:rsid w:val="4B217CD3"/>
    <w:rsid w:val="4B217E16"/>
    <w:rsid w:val="4B2257F9"/>
    <w:rsid w:val="4B2509CF"/>
    <w:rsid w:val="4B280582"/>
    <w:rsid w:val="4B2B6C3E"/>
    <w:rsid w:val="4B2C0426"/>
    <w:rsid w:val="4B2E0642"/>
    <w:rsid w:val="4B2F43E5"/>
    <w:rsid w:val="4B3043BA"/>
    <w:rsid w:val="4B323E7C"/>
    <w:rsid w:val="4B335C59"/>
    <w:rsid w:val="4B35202E"/>
    <w:rsid w:val="4B375C2E"/>
    <w:rsid w:val="4B377858"/>
    <w:rsid w:val="4B383FED"/>
    <w:rsid w:val="4B386DCB"/>
    <w:rsid w:val="4B3B3748"/>
    <w:rsid w:val="4B3D2633"/>
    <w:rsid w:val="4B3D3F04"/>
    <w:rsid w:val="4B3E3296"/>
    <w:rsid w:val="4B4045D7"/>
    <w:rsid w:val="4B4100A8"/>
    <w:rsid w:val="4B41375A"/>
    <w:rsid w:val="4B46512A"/>
    <w:rsid w:val="4B466544"/>
    <w:rsid w:val="4B47726B"/>
    <w:rsid w:val="4B487E57"/>
    <w:rsid w:val="4B4A5F4D"/>
    <w:rsid w:val="4B4B2FA2"/>
    <w:rsid w:val="4B4B4D50"/>
    <w:rsid w:val="4B4B4D7A"/>
    <w:rsid w:val="4B4B6AFE"/>
    <w:rsid w:val="4B546727"/>
    <w:rsid w:val="4B58746D"/>
    <w:rsid w:val="4B5A0C77"/>
    <w:rsid w:val="4B5A1437"/>
    <w:rsid w:val="4B5A4890"/>
    <w:rsid w:val="4B5C3570"/>
    <w:rsid w:val="4B5D5079"/>
    <w:rsid w:val="4B5E44C4"/>
    <w:rsid w:val="4B614574"/>
    <w:rsid w:val="4B616AF5"/>
    <w:rsid w:val="4B647BC0"/>
    <w:rsid w:val="4B69167A"/>
    <w:rsid w:val="4B6A4C38"/>
    <w:rsid w:val="4B6B0F4E"/>
    <w:rsid w:val="4B6B7E57"/>
    <w:rsid w:val="4B6E0A3F"/>
    <w:rsid w:val="4B7063B8"/>
    <w:rsid w:val="4B751DCD"/>
    <w:rsid w:val="4B75264A"/>
    <w:rsid w:val="4B753A52"/>
    <w:rsid w:val="4B7604A4"/>
    <w:rsid w:val="4B78366B"/>
    <w:rsid w:val="4B784EF6"/>
    <w:rsid w:val="4B7A70E2"/>
    <w:rsid w:val="4B7C5C51"/>
    <w:rsid w:val="4B7D226C"/>
    <w:rsid w:val="4B7F49FA"/>
    <w:rsid w:val="4B801753"/>
    <w:rsid w:val="4B817745"/>
    <w:rsid w:val="4B817EFD"/>
    <w:rsid w:val="4B820492"/>
    <w:rsid w:val="4B8464B4"/>
    <w:rsid w:val="4B8517C9"/>
    <w:rsid w:val="4B874136"/>
    <w:rsid w:val="4B8819D4"/>
    <w:rsid w:val="4B8D35BB"/>
    <w:rsid w:val="4B900655"/>
    <w:rsid w:val="4B902123"/>
    <w:rsid w:val="4B90799F"/>
    <w:rsid w:val="4B910A04"/>
    <w:rsid w:val="4B92297F"/>
    <w:rsid w:val="4B9506C1"/>
    <w:rsid w:val="4B956967"/>
    <w:rsid w:val="4B977F95"/>
    <w:rsid w:val="4B9868B7"/>
    <w:rsid w:val="4B991F60"/>
    <w:rsid w:val="4B9B5282"/>
    <w:rsid w:val="4B9C37FE"/>
    <w:rsid w:val="4B9F101C"/>
    <w:rsid w:val="4B9F32EE"/>
    <w:rsid w:val="4BA01D01"/>
    <w:rsid w:val="4BA07F46"/>
    <w:rsid w:val="4BA10E14"/>
    <w:rsid w:val="4BA37EF3"/>
    <w:rsid w:val="4BA45863"/>
    <w:rsid w:val="4BA52911"/>
    <w:rsid w:val="4BA6467C"/>
    <w:rsid w:val="4BA729C7"/>
    <w:rsid w:val="4BA73A4E"/>
    <w:rsid w:val="4BA80A71"/>
    <w:rsid w:val="4BA8188C"/>
    <w:rsid w:val="4BA83353"/>
    <w:rsid w:val="4BAB2DD0"/>
    <w:rsid w:val="4BAD77B9"/>
    <w:rsid w:val="4BAE6383"/>
    <w:rsid w:val="4BAF1783"/>
    <w:rsid w:val="4BB33A7C"/>
    <w:rsid w:val="4BB67EC9"/>
    <w:rsid w:val="4BBA3C84"/>
    <w:rsid w:val="4BBC5EF3"/>
    <w:rsid w:val="4BBC7D76"/>
    <w:rsid w:val="4BC30D8B"/>
    <w:rsid w:val="4BC31139"/>
    <w:rsid w:val="4BC31A99"/>
    <w:rsid w:val="4BC863A1"/>
    <w:rsid w:val="4BCC491D"/>
    <w:rsid w:val="4BCE41B0"/>
    <w:rsid w:val="4BCE617D"/>
    <w:rsid w:val="4BCE7FB9"/>
    <w:rsid w:val="4BCF3BD3"/>
    <w:rsid w:val="4BD061D0"/>
    <w:rsid w:val="4BD56D10"/>
    <w:rsid w:val="4BD85ABE"/>
    <w:rsid w:val="4BD86D14"/>
    <w:rsid w:val="4BD91F73"/>
    <w:rsid w:val="4BDD19BC"/>
    <w:rsid w:val="4BDE38F1"/>
    <w:rsid w:val="4BDE3E16"/>
    <w:rsid w:val="4BDE5BC4"/>
    <w:rsid w:val="4BE13907"/>
    <w:rsid w:val="4BE3357A"/>
    <w:rsid w:val="4BE65A97"/>
    <w:rsid w:val="4BE83DFC"/>
    <w:rsid w:val="4BE96317"/>
    <w:rsid w:val="4BEB6533"/>
    <w:rsid w:val="4BEC4616"/>
    <w:rsid w:val="4BED22AB"/>
    <w:rsid w:val="4BEE56E3"/>
    <w:rsid w:val="4BF076A6"/>
    <w:rsid w:val="4BF2154C"/>
    <w:rsid w:val="4BF309D3"/>
    <w:rsid w:val="4BF42CD4"/>
    <w:rsid w:val="4BF54F6F"/>
    <w:rsid w:val="4BF7536C"/>
    <w:rsid w:val="4BF8047C"/>
    <w:rsid w:val="4BF900B2"/>
    <w:rsid w:val="4BFE4B66"/>
    <w:rsid w:val="4C013661"/>
    <w:rsid w:val="4C01598E"/>
    <w:rsid w:val="4C0233B4"/>
    <w:rsid w:val="4C036058"/>
    <w:rsid w:val="4C0441F7"/>
    <w:rsid w:val="4C075A54"/>
    <w:rsid w:val="4C093A8A"/>
    <w:rsid w:val="4C096474"/>
    <w:rsid w:val="4C0A0997"/>
    <w:rsid w:val="4C0A69B9"/>
    <w:rsid w:val="4C0C0F11"/>
    <w:rsid w:val="4C0D3091"/>
    <w:rsid w:val="4C0E3CA1"/>
    <w:rsid w:val="4C0F6E78"/>
    <w:rsid w:val="4C101AF6"/>
    <w:rsid w:val="4C121900"/>
    <w:rsid w:val="4C150230"/>
    <w:rsid w:val="4C15535E"/>
    <w:rsid w:val="4C1623EB"/>
    <w:rsid w:val="4C1A6793"/>
    <w:rsid w:val="4C1F5029"/>
    <w:rsid w:val="4C2061DD"/>
    <w:rsid w:val="4C224A56"/>
    <w:rsid w:val="4C235CCD"/>
    <w:rsid w:val="4C243F0A"/>
    <w:rsid w:val="4C25440C"/>
    <w:rsid w:val="4C290139"/>
    <w:rsid w:val="4C296DA4"/>
    <w:rsid w:val="4C2B34A4"/>
    <w:rsid w:val="4C2B6930"/>
    <w:rsid w:val="4C2F31D0"/>
    <w:rsid w:val="4C2F4672"/>
    <w:rsid w:val="4C2F6420"/>
    <w:rsid w:val="4C307344"/>
    <w:rsid w:val="4C321E33"/>
    <w:rsid w:val="4C326C8E"/>
    <w:rsid w:val="4C354463"/>
    <w:rsid w:val="4C360942"/>
    <w:rsid w:val="4C3D7453"/>
    <w:rsid w:val="4C3E2B07"/>
    <w:rsid w:val="4C3F5E28"/>
    <w:rsid w:val="4C3F66C8"/>
    <w:rsid w:val="4C4046D8"/>
    <w:rsid w:val="4C4109A5"/>
    <w:rsid w:val="4C432948"/>
    <w:rsid w:val="4C473013"/>
    <w:rsid w:val="4C481290"/>
    <w:rsid w:val="4C4C7539"/>
    <w:rsid w:val="4C500E81"/>
    <w:rsid w:val="4C520360"/>
    <w:rsid w:val="4C5314CC"/>
    <w:rsid w:val="4C545E87"/>
    <w:rsid w:val="4C556EE6"/>
    <w:rsid w:val="4C56217A"/>
    <w:rsid w:val="4C5656C1"/>
    <w:rsid w:val="4C5729F1"/>
    <w:rsid w:val="4C587B46"/>
    <w:rsid w:val="4C5C6593"/>
    <w:rsid w:val="4C5C7A0A"/>
    <w:rsid w:val="4C603B11"/>
    <w:rsid w:val="4C634BA7"/>
    <w:rsid w:val="4C665ECB"/>
    <w:rsid w:val="4C681932"/>
    <w:rsid w:val="4C687B84"/>
    <w:rsid w:val="4C6B49CF"/>
    <w:rsid w:val="4C6C6FA4"/>
    <w:rsid w:val="4C6E0E52"/>
    <w:rsid w:val="4C6E2B14"/>
    <w:rsid w:val="4C6F2CC0"/>
    <w:rsid w:val="4C70464E"/>
    <w:rsid w:val="4C704EB3"/>
    <w:rsid w:val="4C70587D"/>
    <w:rsid w:val="4C713A3D"/>
    <w:rsid w:val="4C714A8E"/>
    <w:rsid w:val="4C72455F"/>
    <w:rsid w:val="4C75760F"/>
    <w:rsid w:val="4C777FC6"/>
    <w:rsid w:val="4C781D6C"/>
    <w:rsid w:val="4C7C6A47"/>
    <w:rsid w:val="4C7E5B37"/>
    <w:rsid w:val="4C7F2D46"/>
    <w:rsid w:val="4C855898"/>
    <w:rsid w:val="4C871DB8"/>
    <w:rsid w:val="4C88556D"/>
    <w:rsid w:val="4C89165D"/>
    <w:rsid w:val="4C893887"/>
    <w:rsid w:val="4C8958D2"/>
    <w:rsid w:val="4C8C0019"/>
    <w:rsid w:val="4C8C0A87"/>
    <w:rsid w:val="4C8C3872"/>
    <w:rsid w:val="4C8D75D0"/>
    <w:rsid w:val="4C925A56"/>
    <w:rsid w:val="4C9362EB"/>
    <w:rsid w:val="4C9431EA"/>
    <w:rsid w:val="4C952CDF"/>
    <w:rsid w:val="4C971A72"/>
    <w:rsid w:val="4C983FC5"/>
    <w:rsid w:val="4C9854FF"/>
    <w:rsid w:val="4C9D5A7F"/>
    <w:rsid w:val="4CA30BBC"/>
    <w:rsid w:val="4CA45413"/>
    <w:rsid w:val="4CA47AE0"/>
    <w:rsid w:val="4CA92473"/>
    <w:rsid w:val="4CAD0BB5"/>
    <w:rsid w:val="4CAD20F3"/>
    <w:rsid w:val="4CAF130F"/>
    <w:rsid w:val="4CB132D9"/>
    <w:rsid w:val="4CB16E35"/>
    <w:rsid w:val="4CB35983"/>
    <w:rsid w:val="4CB46925"/>
    <w:rsid w:val="4CB47370"/>
    <w:rsid w:val="4CB56EFC"/>
    <w:rsid w:val="4CB64D10"/>
    <w:rsid w:val="4CB77DA6"/>
    <w:rsid w:val="4CBA03DF"/>
    <w:rsid w:val="4CBC202A"/>
    <w:rsid w:val="4CBD1C7E"/>
    <w:rsid w:val="4CBD7ED0"/>
    <w:rsid w:val="4CBE77A4"/>
    <w:rsid w:val="4CC4400D"/>
    <w:rsid w:val="4CC52286"/>
    <w:rsid w:val="4CC759FC"/>
    <w:rsid w:val="4CCA0E09"/>
    <w:rsid w:val="4CCA6149"/>
    <w:rsid w:val="4CCC7D64"/>
    <w:rsid w:val="4CCE6E08"/>
    <w:rsid w:val="4CCF375F"/>
    <w:rsid w:val="4CD15729"/>
    <w:rsid w:val="4CD36F8C"/>
    <w:rsid w:val="4CD40D75"/>
    <w:rsid w:val="4CD46FC7"/>
    <w:rsid w:val="4CD52BD1"/>
    <w:rsid w:val="4CD80866"/>
    <w:rsid w:val="4CDD40CE"/>
    <w:rsid w:val="4CDE08E1"/>
    <w:rsid w:val="4CE01D90"/>
    <w:rsid w:val="4CE07F1F"/>
    <w:rsid w:val="4CE1714D"/>
    <w:rsid w:val="4CE17311"/>
    <w:rsid w:val="4CE32979"/>
    <w:rsid w:val="4CE70AA9"/>
    <w:rsid w:val="4CE9277E"/>
    <w:rsid w:val="4CEE0B24"/>
    <w:rsid w:val="4CEE5539"/>
    <w:rsid w:val="4CEE62DB"/>
    <w:rsid w:val="4CEF1611"/>
    <w:rsid w:val="4CEF4C08"/>
    <w:rsid w:val="4CF02490"/>
    <w:rsid w:val="4CF60CEC"/>
    <w:rsid w:val="4CF722FD"/>
    <w:rsid w:val="4CF84A64"/>
    <w:rsid w:val="4CF85F6B"/>
    <w:rsid w:val="4CF91A9B"/>
    <w:rsid w:val="4CF97234"/>
    <w:rsid w:val="4CFC6CBF"/>
    <w:rsid w:val="4CFD68B5"/>
    <w:rsid w:val="4CFE5DF2"/>
    <w:rsid w:val="4D064171"/>
    <w:rsid w:val="4D084563"/>
    <w:rsid w:val="4D087989"/>
    <w:rsid w:val="4D090A1F"/>
    <w:rsid w:val="4D0C2EA5"/>
    <w:rsid w:val="4D0D7E13"/>
    <w:rsid w:val="4D0E652F"/>
    <w:rsid w:val="4D115B26"/>
    <w:rsid w:val="4D153868"/>
    <w:rsid w:val="4D16313C"/>
    <w:rsid w:val="4D183358"/>
    <w:rsid w:val="4D192A7C"/>
    <w:rsid w:val="4D1A0E7E"/>
    <w:rsid w:val="4D1C3AC2"/>
    <w:rsid w:val="4D1C3C25"/>
    <w:rsid w:val="4D1C5366"/>
    <w:rsid w:val="4D1D096E"/>
    <w:rsid w:val="4D1E3BF0"/>
    <w:rsid w:val="4D1E3CE7"/>
    <w:rsid w:val="4D225A59"/>
    <w:rsid w:val="4D236632"/>
    <w:rsid w:val="4D267451"/>
    <w:rsid w:val="4D267823"/>
    <w:rsid w:val="4D271DD5"/>
    <w:rsid w:val="4D27359B"/>
    <w:rsid w:val="4D2A240B"/>
    <w:rsid w:val="4D2C4D36"/>
    <w:rsid w:val="4D305B91"/>
    <w:rsid w:val="4D312A34"/>
    <w:rsid w:val="4D3B1D7F"/>
    <w:rsid w:val="4D3C3D05"/>
    <w:rsid w:val="4D3C7046"/>
    <w:rsid w:val="4D40004E"/>
    <w:rsid w:val="4D405120"/>
    <w:rsid w:val="4D4128AF"/>
    <w:rsid w:val="4D4324C7"/>
    <w:rsid w:val="4D44414D"/>
    <w:rsid w:val="4D4529C5"/>
    <w:rsid w:val="4D4544B2"/>
    <w:rsid w:val="4D4A3E41"/>
    <w:rsid w:val="4D4B570A"/>
    <w:rsid w:val="4D52686A"/>
    <w:rsid w:val="4D526B76"/>
    <w:rsid w:val="4D550108"/>
    <w:rsid w:val="4D5636C2"/>
    <w:rsid w:val="4D57542E"/>
    <w:rsid w:val="4D6054BD"/>
    <w:rsid w:val="4D6245D3"/>
    <w:rsid w:val="4D626381"/>
    <w:rsid w:val="4D636575"/>
    <w:rsid w:val="4D6455F8"/>
    <w:rsid w:val="4D665E71"/>
    <w:rsid w:val="4D66689B"/>
    <w:rsid w:val="4D67545C"/>
    <w:rsid w:val="4D682209"/>
    <w:rsid w:val="4D687FBC"/>
    <w:rsid w:val="4D69222C"/>
    <w:rsid w:val="4D6D36A4"/>
    <w:rsid w:val="4D6D778D"/>
    <w:rsid w:val="4D6F007A"/>
    <w:rsid w:val="4D700CBE"/>
    <w:rsid w:val="4D704352"/>
    <w:rsid w:val="4D716F40"/>
    <w:rsid w:val="4D720CBA"/>
    <w:rsid w:val="4D7275E0"/>
    <w:rsid w:val="4D7364AC"/>
    <w:rsid w:val="4D767F72"/>
    <w:rsid w:val="4D795AE7"/>
    <w:rsid w:val="4D7A191D"/>
    <w:rsid w:val="4D7A2EA3"/>
    <w:rsid w:val="4D7C3CED"/>
    <w:rsid w:val="4D7C4474"/>
    <w:rsid w:val="4D7D194D"/>
    <w:rsid w:val="4D7D3EC1"/>
    <w:rsid w:val="4D830708"/>
    <w:rsid w:val="4D84279B"/>
    <w:rsid w:val="4D87403A"/>
    <w:rsid w:val="4D943D57"/>
    <w:rsid w:val="4D97427D"/>
    <w:rsid w:val="4D981DA3"/>
    <w:rsid w:val="4D987FF5"/>
    <w:rsid w:val="4D996326"/>
    <w:rsid w:val="4D9F43E8"/>
    <w:rsid w:val="4D9F6104"/>
    <w:rsid w:val="4DA04F2A"/>
    <w:rsid w:val="4DA10F2C"/>
    <w:rsid w:val="4DA30E74"/>
    <w:rsid w:val="4DA32F50"/>
    <w:rsid w:val="4DA3306D"/>
    <w:rsid w:val="4DA56C09"/>
    <w:rsid w:val="4DA93FB0"/>
    <w:rsid w:val="4DAB3F2C"/>
    <w:rsid w:val="4DAC5D2A"/>
    <w:rsid w:val="4DAD3AA0"/>
    <w:rsid w:val="4DAE49FC"/>
    <w:rsid w:val="4DAF0AEB"/>
    <w:rsid w:val="4DB03871"/>
    <w:rsid w:val="4DB12E65"/>
    <w:rsid w:val="4DB27309"/>
    <w:rsid w:val="4DB46A0C"/>
    <w:rsid w:val="4DB56DF9"/>
    <w:rsid w:val="4DB61CC2"/>
    <w:rsid w:val="4DB66A62"/>
    <w:rsid w:val="4DB73152"/>
    <w:rsid w:val="4DB841F3"/>
    <w:rsid w:val="4DBA7F6B"/>
    <w:rsid w:val="4DBD3AD3"/>
    <w:rsid w:val="4DBF250C"/>
    <w:rsid w:val="4DC10EB2"/>
    <w:rsid w:val="4DC1357D"/>
    <w:rsid w:val="4DC23403"/>
    <w:rsid w:val="4DC42B98"/>
    <w:rsid w:val="4DC4528E"/>
    <w:rsid w:val="4DC50087"/>
    <w:rsid w:val="4DCB3F26"/>
    <w:rsid w:val="4DCB6644"/>
    <w:rsid w:val="4DCE1C69"/>
    <w:rsid w:val="4DD406AE"/>
    <w:rsid w:val="4DD52FF7"/>
    <w:rsid w:val="4DD54B7C"/>
    <w:rsid w:val="4DD633E1"/>
    <w:rsid w:val="4DD70125"/>
    <w:rsid w:val="4DD75353"/>
    <w:rsid w:val="4DD9016A"/>
    <w:rsid w:val="4DD9648A"/>
    <w:rsid w:val="4DDE00FE"/>
    <w:rsid w:val="4DDE4787"/>
    <w:rsid w:val="4DDE481E"/>
    <w:rsid w:val="4DDE67F4"/>
    <w:rsid w:val="4DE67660"/>
    <w:rsid w:val="4DE7646C"/>
    <w:rsid w:val="4DE869A1"/>
    <w:rsid w:val="4DE90850"/>
    <w:rsid w:val="4DE941F9"/>
    <w:rsid w:val="4DEB6CBA"/>
    <w:rsid w:val="4DEE6C6B"/>
    <w:rsid w:val="4DF10DBD"/>
    <w:rsid w:val="4DF204A6"/>
    <w:rsid w:val="4DF416CF"/>
    <w:rsid w:val="4DF530D3"/>
    <w:rsid w:val="4DF86159"/>
    <w:rsid w:val="4DF94F37"/>
    <w:rsid w:val="4DFA2A5E"/>
    <w:rsid w:val="4DFA6321"/>
    <w:rsid w:val="4DFB18C0"/>
    <w:rsid w:val="4DFB264B"/>
    <w:rsid w:val="4DFB6352"/>
    <w:rsid w:val="4DFB7B6F"/>
    <w:rsid w:val="4DFE254E"/>
    <w:rsid w:val="4E037EE6"/>
    <w:rsid w:val="4E0474A5"/>
    <w:rsid w:val="4E0538DC"/>
    <w:rsid w:val="4E055CD0"/>
    <w:rsid w:val="4E067885"/>
    <w:rsid w:val="4E0B6448"/>
    <w:rsid w:val="4E0E6A31"/>
    <w:rsid w:val="4E112952"/>
    <w:rsid w:val="4E162199"/>
    <w:rsid w:val="4E1A60A2"/>
    <w:rsid w:val="4E1A61EC"/>
    <w:rsid w:val="4E217FEA"/>
    <w:rsid w:val="4E231EC4"/>
    <w:rsid w:val="4E255D2C"/>
    <w:rsid w:val="4E261AA5"/>
    <w:rsid w:val="4E2704BB"/>
    <w:rsid w:val="4E2777FC"/>
    <w:rsid w:val="4E28118B"/>
    <w:rsid w:val="4E2B207B"/>
    <w:rsid w:val="4E2B2885"/>
    <w:rsid w:val="4E2B5342"/>
    <w:rsid w:val="4E2B70BB"/>
    <w:rsid w:val="4E2F2707"/>
    <w:rsid w:val="4E2F59DC"/>
    <w:rsid w:val="4E350309"/>
    <w:rsid w:val="4E3C4E24"/>
    <w:rsid w:val="4E3E0D57"/>
    <w:rsid w:val="4E406B13"/>
    <w:rsid w:val="4E4168DE"/>
    <w:rsid w:val="4E4238A2"/>
    <w:rsid w:val="4E423CF6"/>
    <w:rsid w:val="4E4306F0"/>
    <w:rsid w:val="4E4A3EC7"/>
    <w:rsid w:val="4E4A7541"/>
    <w:rsid w:val="4E4B1494"/>
    <w:rsid w:val="4E4C0E5D"/>
    <w:rsid w:val="4E4E7EB5"/>
    <w:rsid w:val="4E4F6905"/>
    <w:rsid w:val="4E5054FE"/>
    <w:rsid w:val="4E5263F6"/>
    <w:rsid w:val="4E526BD2"/>
    <w:rsid w:val="4E5377DA"/>
    <w:rsid w:val="4E544FA0"/>
    <w:rsid w:val="4E555EE6"/>
    <w:rsid w:val="4E557C94"/>
    <w:rsid w:val="4E557E59"/>
    <w:rsid w:val="4E573809"/>
    <w:rsid w:val="4E575244"/>
    <w:rsid w:val="4E596CB2"/>
    <w:rsid w:val="4E5F42F3"/>
    <w:rsid w:val="4E617544"/>
    <w:rsid w:val="4E63558F"/>
    <w:rsid w:val="4E635EB8"/>
    <w:rsid w:val="4E650709"/>
    <w:rsid w:val="4E6525CD"/>
    <w:rsid w:val="4E653588"/>
    <w:rsid w:val="4E65437B"/>
    <w:rsid w:val="4E685C19"/>
    <w:rsid w:val="4E697980"/>
    <w:rsid w:val="4E6E699C"/>
    <w:rsid w:val="4E740A62"/>
    <w:rsid w:val="4E752F33"/>
    <w:rsid w:val="4E79477B"/>
    <w:rsid w:val="4E796078"/>
    <w:rsid w:val="4E7C672B"/>
    <w:rsid w:val="4E7D7917"/>
    <w:rsid w:val="4E7E71EB"/>
    <w:rsid w:val="4E7F2D9B"/>
    <w:rsid w:val="4E8430BC"/>
    <w:rsid w:val="4E870795"/>
    <w:rsid w:val="4E895320"/>
    <w:rsid w:val="4E8A40AF"/>
    <w:rsid w:val="4E8C7B5A"/>
    <w:rsid w:val="4E907FC7"/>
    <w:rsid w:val="4E93713A"/>
    <w:rsid w:val="4E973E54"/>
    <w:rsid w:val="4E9904C8"/>
    <w:rsid w:val="4E9A04D3"/>
    <w:rsid w:val="4E9B5FEF"/>
    <w:rsid w:val="4E9C1394"/>
    <w:rsid w:val="4E9E0420"/>
    <w:rsid w:val="4E9E4DCF"/>
    <w:rsid w:val="4E9E5ADF"/>
    <w:rsid w:val="4EA34EE2"/>
    <w:rsid w:val="4EA36C51"/>
    <w:rsid w:val="4EA4053F"/>
    <w:rsid w:val="4EA50C1B"/>
    <w:rsid w:val="4EA7554A"/>
    <w:rsid w:val="4EA76741"/>
    <w:rsid w:val="4EA77C7C"/>
    <w:rsid w:val="4EA824BA"/>
    <w:rsid w:val="4EAA25F0"/>
    <w:rsid w:val="4EAA6347"/>
    <w:rsid w:val="4EAB7FFC"/>
    <w:rsid w:val="4EAD47F6"/>
    <w:rsid w:val="4EAE40A9"/>
    <w:rsid w:val="4EB1100B"/>
    <w:rsid w:val="4EB26E94"/>
    <w:rsid w:val="4EB5120D"/>
    <w:rsid w:val="4EBB3F02"/>
    <w:rsid w:val="4EBE7BC4"/>
    <w:rsid w:val="4EBF1FDE"/>
    <w:rsid w:val="4EC117D6"/>
    <w:rsid w:val="4EC254B1"/>
    <w:rsid w:val="4EC310A1"/>
    <w:rsid w:val="4EC372F3"/>
    <w:rsid w:val="4EC42650"/>
    <w:rsid w:val="4EC72940"/>
    <w:rsid w:val="4EC77E93"/>
    <w:rsid w:val="4EC81BA7"/>
    <w:rsid w:val="4EC92207"/>
    <w:rsid w:val="4ECA68D4"/>
    <w:rsid w:val="4ECB427A"/>
    <w:rsid w:val="4ECC05C8"/>
    <w:rsid w:val="4ECC13F9"/>
    <w:rsid w:val="4ECC1F41"/>
    <w:rsid w:val="4ED13DDD"/>
    <w:rsid w:val="4ED5452D"/>
    <w:rsid w:val="4ED67027"/>
    <w:rsid w:val="4ED71E68"/>
    <w:rsid w:val="4ED84B4D"/>
    <w:rsid w:val="4ED92533"/>
    <w:rsid w:val="4EDB288F"/>
    <w:rsid w:val="4EDE7C89"/>
    <w:rsid w:val="4EE05D27"/>
    <w:rsid w:val="4EE129A3"/>
    <w:rsid w:val="4EE51018"/>
    <w:rsid w:val="4EE554BC"/>
    <w:rsid w:val="4EE73FC3"/>
    <w:rsid w:val="4EE96D5A"/>
    <w:rsid w:val="4EEC684A"/>
    <w:rsid w:val="4EEE26EB"/>
    <w:rsid w:val="4EEE4370"/>
    <w:rsid w:val="4EF07680"/>
    <w:rsid w:val="4EF07DFA"/>
    <w:rsid w:val="4EF22C74"/>
    <w:rsid w:val="4EF34B7E"/>
    <w:rsid w:val="4EF460F6"/>
    <w:rsid w:val="4EF770CB"/>
    <w:rsid w:val="4EF85249"/>
    <w:rsid w:val="4EFB083B"/>
    <w:rsid w:val="4F02606E"/>
    <w:rsid w:val="4F035942"/>
    <w:rsid w:val="4F063ED2"/>
    <w:rsid w:val="4F074C2C"/>
    <w:rsid w:val="4F0911AA"/>
    <w:rsid w:val="4F0E056F"/>
    <w:rsid w:val="4F0E4A13"/>
    <w:rsid w:val="4F1106C8"/>
    <w:rsid w:val="4F13675C"/>
    <w:rsid w:val="4F147B4F"/>
    <w:rsid w:val="4F1639D2"/>
    <w:rsid w:val="4F165675"/>
    <w:rsid w:val="4F196F13"/>
    <w:rsid w:val="4F1A3332"/>
    <w:rsid w:val="4F1A3377"/>
    <w:rsid w:val="4F1D4C56"/>
    <w:rsid w:val="4F1E452A"/>
    <w:rsid w:val="4F20671C"/>
    <w:rsid w:val="4F2E0C11"/>
    <w:rsid w:val="4F2F71CE"/>
    <w:rsid w:val="4F304531"/>
    <w:rsid w:val="4F310701"/>
    <w:rsid w:val="4F320305"/>
    <w:rsid w:val="4F325912"/>
    <w:rsid w:val="4F337FD5"/>
    <w:rsid w:val="4F351261"/>
    <w:rsid w:val="4F3B1580"/>
    <w:rsid w:val="4F3D0C32"/>
    <w:rsid w:val="4F3E4639"/>
    <w:rsid w:val="4F3E697A"/>
    <w:rsid w:val="4F3F2E1E"/>
    <w:rsid w:val="4F405D22"/>
    <w:rsid w:val="4F406680"/>
    <w:rsid w:val="4F422894"/>
    <w:rsid w:val="4F42290E"/>
    <w:rsid w:val="4F4246BC"/>
    <w:rsid w:val="4F430979"/>
    <w:rsid w:val="4F447101"/>
    <w:rsid w:val="4F451DDD"/>
    <w:rsid w:val="4F452028"/>
    <w:rsid w:val="4F475607"/>
    <w:rsid w:val="4F4937FD"/>
    <w:rsid w:val="4F4B3CC6"/>
    <w:rsid w:val="4F4B6F82"/>
    <w:rsid w:val="4F4D08E4"/>
    <w:rsid w:val="4F4E005F"/>
    <w:rsid w:val="4F510191"/>
    <w:rsid w:val="4F54124B"/>
    <w:rsid w:val="4F555EC1"/>
    <w:rsid w:val="4F560168"/>
    <w:rsid w:val="4F587A3C"/>
    <w:rsid w:val="4F5B74ED"/>
    <w:rsid w:val="4F5C2410"/>
    <w:rsid w:val="4F5F74D0"/>
    <w:rsid w:val="4F615A4A"/>
    <w:rsid w:val="4F650512"/>
    <w:rsid w:val="4F67010E"/>
    <w:rsid w:val="4F681AF1"/>
    <w:rsid w:val="4F693ACA"/>
    <w:rsid w:val="4F6C1BB7"/>
    <w:rsid w:val="4F6E54B1"/>
    <w:rsid w:val="4F6E725F"/>
    <w:rsid w:val="4F7216D7"/>
    <w:rsid w:val="4F732AC8"/>
    <w:rsid w:val="4F764366"/>
    <w:rsid w:val="4F7839EB"/>
    <w:rsid w:val="4F785B41"/>
    <w:rsid w:val="4F790CE5"/>
    <w:rsid w:val="4F790EA8"/>
    <w:rsid w:val="4F7B05C2"/>
    <w:rsid w:val="4F7C65F8"/>
    <w:rsid w:val="4F7C7BCE"/>
    <w:rsid w:val="4F7E7026"/>
    <w:rsid w:val="4F7F321A"/>
    <w:rsid w:val="4F814367"/>
    <w:rsid w:val="4F821BB4"/>
    <w:rsid w:val="4F824AB9"/>
    <w:rsid w:val="4F840831"/>
    <w:rsid w:val="4F8477C6"/>
    <w:rsid w:val="4F855792"/>
    <w:rsid w:val="4F855BBA"/>
    <w:rsid w:val="4F860A4D"/>
    <w:rsid w:val="4F876573"/>
    <w:rsid w:val="4F895C51"/>
    <w:rsid w:val="4F8971FE"/>
    <w:rsid w:val="4F8A4760"/>
    <w:rsid w:val="4F8A4C36"/>
    <w:rsid w:val="4F8B6063"/>
    <w:rsid w:val="4F8C3113"/>
    <w:rsid w:val="4F9071D6"/>
    <w:rsid w:val="4F92170C"/>
    <w:rsid w:val="4F936CC6"/>
    <w:rsid w:val="4F94365E"/>
    <w:rsid w:val="4F954768"/>
    <w:rsid w:val="4F957BA3"/>
    <w:rsid w:val="4F964BD7"/>
    <w:rsid w:val="4F98252E"/>
    <w:rsid w:val="4F984708"/>
    <w:rsid w:val="4F9C7B5B"/>
    <w:rsid w:val="4F9D1D6A"/>
    <w:rsid w:val="4FA03814"/>
    <w:rsid w:val="4FA20FED"/>
    <w:rsid w:val="4FA21C82"/>
    <w:rsid w:val="4FA2515B"/>
    <w:rsid w:val="4FA33BE5"/>
    <w:rsid w:val="4FA45FB8"/>
    <w:rsid w:val="4FA5088A"/>
    <w:rsid w:val="4FA964E9"/>
    <w:rsid w:val="4FAA2338"/>
    <w:rsid w:val="4FAB646B"/>
    <w:rsid w:val="4FAE60B5"/>
    <w:rsid w:val="4FB21100"/>
    <w:rsid w:val="4FB455DD"/>
    <w:rsid w:val="4FB530E0"/>
    <w:rsid w:val="4FBA3755"/>
    <w:rsid w:val="4FBB3B01"/>
    <w:rsid w:val="4FBB7E8C"/>
    <w:rsid w:val="4FBD372E"/>
    <w:rsid w:val="4FC13B86"/>
    <w:rsid w:val="4FC22CE4"/>
    <w:rsid w:val="4FC26BC4"/>
    <w:rsid w:val="4FC33100"/>
    <w:rsid w:val="4FC3725F"/>
    <w:rsid w:val="4FC60F3A"/>
    <w:rsid w:val="4FC61429"/>
    <w:rsid w:val="4FC7250D"/>
    <w:rsid w:val="4FC77B7E"/>
    <w:rsid w:val="4FC81820"/>
    <w:rsid w:val="4FC92959"/>
    <w:rsid w:val="4FCA510C"/>
    <w:rsid w:val="4FCB6460"/>
    <w:rsid w:val="4FCC0CD7"/>
    <w:rsid w:val="4FCC21D8"/>
    <w:rsid w:val="4FCD667C"/>
    <w:rsid w:val="4FCE7D9E"/>
    <w:rsid w:val="4FCE7FB4"/>
    <w:rsid w:val="4FCF7562"/>
    <w:rsid w:val="4FD03A76"/>
    <w:rsid w:val="4FD44B11"/>
    <w:rsid w:val="4FD74E04"/>
    <w:rsid w:val="4FDC241B"/>
    <w:rsid w:val="4FDD44E4"/>
    <w:rsid w:val="4FDE23A5"/>
    <w:rsid w:val="4FE63299"/>
    <w:rsid w:val="4FE65048"/>
    <w:rsid w:val="4FE73A6D"/>
    <w:rsid w:val="4FE87176"/>
    <w:rsid w:val="4FEC12BB"/>
    <w:rsid w:val="4FEC63D6"/>
    <w:rsid w:val="4FF21FBB"/>
    <w:rsid w:val="4FF42366"/>
    <w:rsid w:val="4FF42B9C"/>
    <w:rsid w:val="4FF439E5"/>
    <w:rsid w:val="4FF52BAA"/>
    <w:rsid w:val="4FF742E8"/>
    <w:rsid w:val="4FF926E4"/>
    <w:rsid w:val="4FFD05E3"/>
    <w:rsid w:val="50006F99"/>
    <w:rsid w:val="500100D3"/>
    <w:rsid w:val="50010670"/>
    <w:rsid w:val="50011AFC"/>
    <w:rsid w:val="50033E4B"/>
    <w:rsid w:val="50035C64"/>
    <w:rsid w:val="5004761C"/>
    <w:rsid w:val="50047BC4"/>
    <w:rsid w:val="50055E16"/>
    <w:rsid w:val="500831FC"/>
    <w:rsid w:val="50083210"/>
    <w:rsid w:val="5009684A"/>
    <w:rsid w:val="500B2D00"/>
    <w:rsid w:val="500B77B1"/>
    <w:rsid w:val="500C3891"/>
    <w:rsid w:val="500D4CCA"/>
    <w:rsid w:val="500E53BA"/>
    <w:rsid w:val="50106568"/>
    <w:rsid w:val="50111EE2"/>
    <w:rsid w:val="501222E0"/>
    <w:rsid w:val="50186232"/>
    <w:rsid w:val="5019541D"/>
    <w:rsid w:val="501B13C5"/>
    <w:rsid w:val="501E7CD7"/>
    <w:rsid w:val="501F0559"/>
    <w:rsid w:val="501F0BAA"/>
    <w:rsid w:val="501F1883"/>
    <w:rsid w:val="50265D8C"/>
    <w:rsid w:val="50271E5A"/>
    <w:rsid w:val="502838B2"/>
    <w:rsid w:val="502B5150"/>
    <w:rsid w:val="502C08F0"/>
    <w:rsid w:val="502D1A4F"/>
    <w:rsid w:val="502F6BAC"/>
    <w:rsid w:val="50306C0B"/>
    <w:rsid w:val="50330F8D"/>
    <w:rsid w:val="50342257"/>
    <w:rsid w:val="50354221"/>
    <w:rsid w:val="50384256"/>
    <w:rsid w:val="503865C2"/>
    <w:rsid w:val="50395ABF"/>
    <w:rsid w:val="503B1837"/>
    <w:rsid w:val="503C2F3D"/>
    <w:rsid w:val="503C735D"/>
    <w:rsid w:val="5049176B"/>
    <w:rsid w:val="504B75A0"/>
    <w:rsid w:val="504C76F3"/>
    <w:rsid w:val="504D1A24"/>
    <w:rsid w:val="504D5761"/>
    <w:rsid w:val="504E330C"/>
    <w:rsid w:val="504F0E3F"/>
    <w:rsid w:val="504F1B5D"/>
    <w:rsid w:val="504F52E3"/>
    <w:rsid w:val="504F7091"/>
    <w:rsid w:val="5052092F"/>
    <w:rsid w:val="50523C9A"/>
    <w:rsid w:val="50531056"/>
    <w:rsid w:val="505358B8"/>
    <w:rsid w:val="50540526"/>
    <w:rsid w:val="505465F1"/>
    <w:rsid w:val="50560B51"/>
    <w:rsid w:val="50566671"/>
    <w:rsid w:val="50570D86"/>
    <w:rsid w:val="50575F45"/>
    <w:rsid w:val="50577CF3"/>
    <w:rsid w:val="50583D9E"/>
    <w:rsid w:val="50593A6B"/>
    <w:rsid w:val="50597F71"/>
    <w:rsid w:val="505E3542"/>
    <w:rsid w:val="50630D8E"/>
    <w:rsid w:val="50665663"/>
    <w:rsid w:val="50667978"/>
    <w:rsid w:val="50670FCE"/>
    <w:rsid w:val="506757C9"/>
    <w:rsid w:val="5069597D"/>
    <w:rsid w:val="506D077B"/>
    <w:rsid w:val="506D5769"/>
    <w:rsid w:val="506D5FB1"/>
    <w:rsid w:val="506F0F47"/>
    <w:rsid w:val="506F63E4"/>
    <w:rsid w:val="50715259"/>
    <w:rsid w:val="50715CFC"/>
    <w:rsid w:val="50720FD1"/>
    <w:rsid w:val="50727DEE"/>
    <w:rsid w:val="50731C44"/>
    <w:rsid w:val="507508D7"/>
    <w:rsid w:val="50761340"/>
    <w:rsid w:val="50770FD1"/>
    <w:rsid w:val="507B2A86"/>
    <w:rsid w:val="507B60D8"/>
    <w:rsid w:val="507C3BFE"/>
    <w:rsid w:val="507C608D"/>
    <w:rsid w:val="5082112D"/>
    <w:rsid w:val="50827466"/>
    <w:rsid w:val="50834F8C"/>
    <w:rsid w:val="50836259"/>
    <w:rsid w:val="508A1E77"/>
    <w:rsid w:val="508B51DE"/>
    <w:rsid w:val="508D1967"/>
    <w:rsid w:val="508F1B83"/>
    <w:rsid w:val="508F782C"/>
    <w:rsid w:val="509133CF"/>
    <w:rsid w:val="509216C9"/>
    <w:rsid w:val="50926A87"/>
    <w:rsid w:val="5093764E"/>
    <w:rsid w:val="50940F47"/>
    <w:rsid w:val="50967210"/>
    <w:rsid w:val="5099030C"/>
    <w:rsid w:val="50995EDC"/>
    <w:rsid w:val="509B1F67"/>
    <w:rsid w:val="509D52DC"/>
    <w:rsid w:val="509F49C6"/>
    <w:rsid w:val="50A0169A"/>
    <w:rsid w:val="50A12196"/>
    <w:rsid w:val="50A301BF"/>
    <w:rsid w:val="50A30B5D"/>
    <w:rsid w:val="50A60B5E"/>
    <w:rsid w:val="50A82C45"/>
    <w:rsid w:val="50A90A48"/>
    <w:rsid w:val="50AA7C6B"/>
    <w:rsid w:val="50AC6291"/>
    <w:rsid w:val="50B03D7C"/>
    <w:rsid w:val="50B110BA"/>
    <w:rsid w:val="50B145A9"/>
    <w:rsid w:val="50B213CE"/>
    <w:rsid w:val="50B655A2"/>
    <w:rsid w:val="50B75F83"/>
    <w:rsid w:val="50B82E88"/>
    <w:rsid w:val="50BA3A13"/>
    <w:rsid w:val="50BD0B5D"/>
    <w:rsid w:val="50BF357C"/>
    <w:rsid w:val="50C07F8E"/>
    <w:rsid w:val="50C3182D"/>
    <w:rsid w:val="50C3263F"/>
    <w:rsid w:val="50C335DB"/>
    <w:rsid w:val="50C51101"/>
    <w:rsid w:val="50C555A5"/>
    <w:rsid w:val="50C57353"/>
    <w:rsid w:val="50C94F27"/>
    <w:rsid w:val="50CB1CE2"/>
    <w:rsid w:val="50CC697A"/>
    <w:rsid w:val="50CD4459"/>
    <w:rsid w:val="50CF3D2E"/>
    <w:rsid w:val="50D41344"/>
    <w:rsid w:val="50D4718B"/>
    <w:rsid w:val="50D66EFA"/>
    <w:rsid w:val="50D70E34"/>
    <w:rsid w:val="50D7181A"/>
    <w:rsid w:val="50D94BAC"/>
    <w:rsid w:val="50DB51FC"/>
    <w:rsid w:val="50DC6683"/>
    <w:rsid w:val="50DD1804"/>
    <w:rsid w:val="50E1523E"/>
    <w:rsid w:val="50E325F7"/>
    <w:rsid w:val="50E61077"/>
    <w:rsid w:val="50E752F7"/>
    <w:rsid w:val="50EA7200"/>
    <w:rsid w:val="50EB3587"/>
    <w:rsid w:val="50EC12CE"/>
    <w:rsid w:val="50EC48E0"/>
    <w:rsid w:val="50ED7D32"/>
    <w:rsid w:val="50EF6094"/>
    <w:rsid w:val="50F13EE0"/>
    <w:rsid w:val="50F419E6"/>
    <w:rsid w:val="50F639B0"/>
    <w:rsid w:val="50F8461C"/>
    <w:rsid w:val="50FB0FC7"/>
    <w:rsid w:val="50FB378B"/>
    <w:rsid w:val="50FB4B23"/>
    <w:rsid w:val="5100038B"/>
    <w:rsid w:val="5101065B"/>
    <w:rsid w:val="510250DA"/>
    <w:rsid w:val="51031BD4"/>
    <w:rsid w:val="5106201A"/>
    <w:rsid w:val="51082D12"/>
    <w:rsid w:val="51085492"/>
    <w:rsid w:val="510C31D4"/>
    <w:rsid w:val="510C6D30"/>
    <w:rsid w:val="510D12CF"/>
    <w:rsid w:val="51121C5D"/>
    <w:rsid w:val="51121CFE"/>
    <w:rsid w:val="51134CE1"/>
    <w:rsid w:val="51142088"/>
    <w:rsid w:val="51154BFB"/>
    <w:rsid w:val="51176AC6"/>
    <w:rsid w:val="51177359"/>
    <w:rsid w:val="51184F8B"/>
    <w:rsid w:val="511871B5"/>
    <w:rsid w:val="511D0F3D"/>
    <w:rsid w:val="512247A5"/>
    <w:rsid w:val="51225DEE"/>
    <w:rsid w:val="512336EF"/>
    <w:rsid w:val="51234079"/>
    <w:rsid w:val="51243622"/>
    <w:rsid w:val="51271DBC"/>
    <w:rsid w:val="51277EC3"/>
    <w:rsid w:val="512C5186"/>
    <w:rsid w:val="512D6CA6"/>
    <w:rsid w:val="512F0C70"/>
    <w:rsid w:val="512F294A"/>
    <w:rsid w:val="512F3EF9"/>
    <w:rsid w:val="512F6EC2"/>
    <w:rsid w:val="512F7CF0"/>
    <w:rsid w:val="51312C3A"/>
    <w:rsid w:val="51314ABD"/>
    <w:rsid w:val="51327CDA"/>
    <w:rsid w:val="513444D8"/>
    <w:rsid w:val="51346287"/>
    <w:rsid w:val="513723D1"/>
    <w:rsid w:val="51383FC9"/>
    <w:rsid w:val="51385D77"/>
    <w:rsid w:val="51386829"/>
    <w:rsid w:val="513A1AEF"/>
    <w:rsid w:val="513B13C3"/>
    <w:rsid w:val="513B59C9"/>
    <w:rsid w:val="513C382A"/>
    <w:rsid w:val="513D221D"/>
    <w:rsid w:val="513F7105"/>
    <w:rsid w:val="514069D9"/>
    <w:rsid w:val="51434D02"/>
    <w:rsid w:val="51453FF0"/>
    <w:rsid w:val="51457DEE"/>
    <w:rsid w:val="514741EB"/>
    <w:rsid w:val="51484635"/>
    <w:rsid w:val="51493AE0"/>
    <w:rsid w:val="514B0435"/>
    <w:rsid w:val="514B1407"/>
    <w:rsid w:val="514C3EA9"/>
    <w:rsid w:val="514F70CF"/>
    <w:rsid w:val="51504C11"/>
    <w:rsid w:val="51512B01"/>
    <w:rsid w:val="51537E33"/>
    <w:rsid w:val="51570FF3"/>
    <w:rsid w:val="51581FF0"/>
    <w:rsid w:val="51584538"/>
    <w:rsid w:val="515A03F1"/>
    <w:rsid w:val="515C37CB"/>
    <w:rsid w:val="515D678A"/>
    <w:rsid w:val="515F62D3"/>
    <w:rsid w:val="51600054"/>
    <w:rsid w:val="51622217"/>
    <w:rsid w:val="51626918"/>
    <w:rsid w:val="51644CE4"/>
    <w:rsid w:val="51647F39"/>
    <w:rsid w:val="51687B76"/>
    <w:rsid w:val="51695F30"/>
    <w:rsid w:val="516A038E"/>
    <w:rsid w:val="516B5167"/>
    <w:rsid w:val="516B68C8"/>
    <w:rsid w:val="516E62F9"/>
    <w:rsid w:val="516F21B0"/>
    <w:rsid w:val="517012C9"/>
    <w:rsid w:val="51702986"/>
    <w:rsid w:val="51703763"/>
    <w:rsid w:val="51731BD9"/>
    <w:rsid w:val="517368AD"/>
    <w:rsid w:val="51756E5D"/>
    <w:rsid w:val="51760EEF"/>
    <w:rsid w:val="51774E6C"/>
    <w:rsid w:val="51784976"/>
    <w:rsid w:val="51791EEB"/>
    <w:rsid w:val="517A08C8"/>
    <w:rsid w:val="517A260F"/>
    <w:rsid w:val="517D384B"/>
    <w:rsid w:val="517F39A6"/>
    <w:rsid w:val="517F429F"/>
    <w:rsid w:val="517F676C"/>
    <w:rsid w:val="518278CF"/>
    <w:rsid w:val="51856AE2"/>
    <w:rsid w:val="51894824"/>
    <w:rsid w:val="518C1BE9"/>
    <w:rsid w:val="518D7071"/>
    <w:rsid w:val="518E3BE9"/>
    <w:rsid w:val="518F6CDC"/>
    <w:rsid w:val="519108A5"/>
    <w:rsid w:val="51911F10"/>
    <w:rsid w:val="51917235"/>
    <w:rsid w:val="519531C9"/>
    <w:rsid w:val="51990092"/>
    <w:rsid w:val="519A0DF5"/>
    <w:rsid w:val="519D0BD2"/>
    <w:rsid w:val="519F1952"/>
    <w:rsid w:val="51A0391C"/>
    <w:rsid w:val="51A0548F"/>
    <w:rsid w:val="51A46F68"/>
    <w:rsid w:val="51A53B6D"/>
    <w:rsid w:val="51A76123"/>
    <w:rsid w:val="51A8201E"/>
    <w:rsid w:val="51A82AC2"/>
    <w:rsid w:val="51A83C79"/>
    <w:rsid w:val="51AC0513"/>
    <w:rsid w:val="51AD5BE2"/>
    <w:rsid w:val="51AF2B05"/>
    <w:rsid w:val="51AF2D32"/>
    <w:rsid w:val="51B05D8C"/>
    <w:rsid w:val="51B23264"/>
    <w:rsid w:val="51B24EFA"/>
    <w:rsid w:val="51B45A68"/>
    <w:rsid w:val="51B50826"/>
    <w:rsid w:val="51B51175"/>
    <w:rsid w:val="51B812DB"/>
    <w:rsid w:val="51B92570"/>
    <w:rsid w:val="51BC0756"/>
    <w:rsid w:val="51BC132E"/>
    <w:rsid w:val="51C03995"/>
    <w:rsid w:val="51C518B1"/>
    <w:rsid w:val="51C60CCD"/>
    <w:rsid w:val="51C74169"/>
    <w:rsid w:val="51CA417C"/>
    <w:rsid w:val="51CB6BEB"/>
    <w:rsid w:val="51CE7A41"/>
    <w:rsid w:val="51D007D0"/>
    <w:rsid w:val="51D16C30"/>
    <w:rsid w:val="51D31EE9"/>
    <w:rsid w:val="51D32F47"/>
    <w:rsid w:val="51D35A9F"/>
    <w:rsid w:val="51D41D38"/>
    <w:rsid w:val="51D535C6"/>
    <w:rsid w:val="51D55866"/>
    <w:rsid w:val="51D71060"/>
    <w:rsid w:val="51D9538C"/>
    <w:rsid w:val="51DA6B07"/>
    <w:rsid w:val="51DC173E"/>
    <w:rsid w:val="51DC4954"/>
    <w:rsid w:val="51E11AEF"/>
    <w:rsid w:val="51E157E3"/>
    <w:rsid w:val="51E27A91"/>
    <w:rsid w:val="51E36D18"/>
    <w:rsid w:val="51E41A5B"/>
    <w:rsid w:val="51E43809"/>
    <w:rsid w:val="51E7154B"/>
    <w:rsid w:val="51E82AF5"/>
    <w:rsid w:val="51E873FF"/>
    <w:rsid w:val="51E90E1F"/>
    <w:rsid w:val="51EB4B97"/>
    <w:rsid w:val="51EC18E2"/>
    <w:rsid w:val="51EC649B"/>
    <w:rsid w:val="51EE28D9"/>
    <w:rsid w:val="51EE333E"/>
    <w:rsid w:val="51F06CD1"/>
    <w:rsid w:val="51F162B1"/>
    <w:rsid w:val="51F2795F"/>
    <w:rsid w:val="51F27CEF"/>
    <w:rsid w:val="51F64E66"/>
    <w:rsid w:val="51F71C5E"/>
    <w:rsid w:val="51F840C2"/>
    <w:rsid w:val="51FA49B0"/>
    <w:rsid w:val="51FC6DA4"/>
    <w:rsid w:val="51FD2B1C"/>
    <w:rsid w:val="51FF0643"/>
    <w:rsid w:val="51FF4BC4"/>
    <w:rsid w:val="52027F76"/>
    <w:rsid w:val="520308E4"/>
    <w:rsid w:val="52035D13"/>
    <w:rsid w:val="52036385"/>
    <w:rsid w:val="5204425C"/>
    <w:rsid w:val="5204608F"/>
    <w:rsid w:val="52075749"/>
    <w:rsid w:val="52081B54"/>
    <w:rsid w:val="52102850"/>
    <w:rsid w:val="52125164"/>
    <w:rsid w:val="52140592"/>
    <w:rsid w:val="52146C98"/>
    <w:rsid w:val="52160010"/>
    <w:rsid w:val="52171E30"/>
    <w:rsid w:val="52186B91"/>
    <w:rsid w:val="521A4AD1"/>
    <w:rsid w:val="521C1A24"/>
    <w:rsid w:val="521F31D6"/>
    <w:rsid w:val="52201EBE"/>
    <w:rsid w:val="5221674A"/>
    <w:rsid w:val="5222311A"/>
    <w:rsid w:val="52227D85"/>
    <w:rsid w:val="52232583"/>
    <w:rsid w:val="52235F34"/>
    <w:rsid w:val="52271947"/>
    <w:rsid w:val="522A03DB"/>
    <w:rsid w:val="522C1726"/>
    <w:rsid w:val="522E717A"/>
    <w:rsid w:val="5232194B"/>
    <w:rsid w:val="52326C6A"/>
    <w:rsid w:val="523522B6"/>
    <w:rsid w:val="523636A7"/>
    <w:rsid w:val="5237325D"/>
    <w:rsid w:val="52384C20"/>
    <w:rsid w:val="52397437"/>
    <w:rsid w:val="523A0EA1"/>
    <w:rsid w:val="523A167B"/>
    <w:rsid w:val="523A3451"/>
    <w:rsid w:val="523A5390"/>
    <w:rsid w:val="523A5B1F"/>
    <w:rsid w:val="523B1BD6"/>
    <w:rsid w:val="523C0D72"/>
    <w:rsid w:val="523E17E1"/>
    <w:rsid w:val="523E5BC1"/>
    <w:rsid w:val="523F5DA8"/>
    <w:rsid w:val="52426781"/>
    <w:rsid w:val="524644C3"/>
    <w:rsid w:val="5246559A"/>
    <w:rsid w:val="5248023B"/>
    <w:rsid w:val="52482749"/>
    <w:rsid w:val="52484CBE"/>
    <w:rsid w:val="52497B10"/>
    <w:rsid w:val="524A3FB4"/>
    <w:rsid w:val="524B4E83"/>
    <w:rsid w:val="524C6749"/>
    <w:rsid w:val="52501266"/>
    <w:rsid w:val="525070F0"/>
    <w:rsid w:val="5251037B"/>
    <w:rsid w:val="525334E7"/>
    <w:rsid w:val="52534CE5"/>
    <w:rsid w:val="52546BE0"/>
    <w:rsid w:val="52565B49"/>
    <w:rsid w:val="525766D1"/>
    <w:rsid w:val="525A079F"/>
    <w:rsid w:val="525E35BB"/>
    <w:rsid w:val="52632320"/>
    <w:rsid w:val="5263418F"/>
    <w:rsid w:val="52645C8A"/>
    <w:rsid w:val="526479F4"/>
    <w:rsid w:val="5265216E"/>
    <w:rsid w:val="52660640"/>
    <w:rsid w:val="526B4AE5"/>
    <w:rsid w:val="526C3842"/>
    <w:rsid w:val="526D1A50"/>
    <w:rsid w:val="526D7CA2"/>
    <w:rsid w:val="52722794"/>
    <w:rsid w:val="5274629A"/>
    <w:rsid w:val="52750905"/>
    <w:rsid w:val="5279732F"/>
    <w:rsid w:val="527B23BF"/>
    <w:rsid w:val="527E0410"/>
    <w:rsid w:val="528079D5"/>
    <w:rsid w:val="528133F8"/>
    <w:rsid w:val="52826E4F"/>
    <w:rsid w:val="52840D7D"/>
    <w:rsid w:val="52844A52"/>
    <w:rsid w:val="52850F60"/>
    <w:rsid w:val="52854CC1"/>
    <w:rsid w:val="52866F81"/>
    <w:rsid w:val="5287044A"/>
    <w:rsid w:val="528D20F2"/>
    <w:rsid w:val="528F5E6A"/>
    <w:rsid w:val="529045B2"/>
    <w:rsid w:val="52932D4B"/>
    <w:rsid w:val="52946FDD"/>
    <w:rsid w:val="52950FA7"/>
    <w:rsid w:val="52995430"/>
    <w:rsid w:val="529A383C"/>
    <w:rsid w:val="529C0587"/>
    <w:rsid w:val="529D7E1A"/>
    <w:rsid w:val="529E01D6"/>
    <w:rsid w:val="529E039B"/>
    <w:rsid w:val="529F2C8A"/>
    <w:rsid w:val="529F2E40"/>
    <w:rsid w:val="529F5B1C"/>
    <w:rsid w:val="529F7052"/>
    <w:rsid w:val="52A124B2"/>
    <w:rsid w:val="52A1495F"/>
    <w:rsid w:val="52A336C4"/>
    <w:rsid w:val="52A5743C"/>
    <w:rsid w:val="52A775D3"/>
    <w:rsid w:val="52A822B5"/>
    <w:rsid w:val="52A82A88"/>
    <w:rsid w:val="52A9114F"/>
    <w:rsid w:val="52AA56F7"/>
    <w:rsid w:val="52AB07CA"/>
    <w:rsid w:val="52AC1B74"/>
    <w:rsid w:val="52AC4BB3"/>
    <w:rsid w:val="52AC605F"/>
    <w:rsid w:val="52AD009F"/>
    <w:rsid w:val="52AD62F0"/>
    <w:rsid w:val="52AE3CC5"/>
    <w:rsid w:val="52AF2069"/>
    <w:rsid w:val="52B15DE1"/>
    <w:rsid w:val="52B401C5"/>
    <w:rsid w:val="52B551A5"/>
    <w:rsid w:val="52B6146D"/>
    <w:rsid w:val="52B671AF"/>
    <w:rsid w:val="52B753C1"/>
    <w:rsid w:val="52B92EE7"/>
    <w:rsid w:val="52BA75FF"/>
    <w:rsid w:val="52BB204D"/>
    <w:rsid w:val="52BC4786"/>
    <w:rsid w:val="52BC7203"/>
    <w:rsid w:val="52BD4F47"/>
    <w:rsid w:val="52BD5DAD"/>
    <w:rsid w:val="52BF7DD2"/>
    <w:rsid w:val="52C15887"/>
    <w:rsid w:val="52C22EFB"/>
    <w:rsid w:val="52C42167"/>
    <w:rsid w:val="52C53A25"/>
    <w:rsid w:val="52C678C7"/>
    <w:rsid w:val="52C917DE"/>
    <w:rsid w:val="52CE1FB4"/>
    <w:rsid w:val="52CF2DA2"/>
    <w:rsid w:val="52CF31CB"/>
    <w:rsid w:val="52D10231"/>
    <w:rsid w:val="52D24131"/>
    <w:rsid w:val="52D47D21"/>
    <w:rsid w:val="52D615E9"/>
    <w:rsid w:val="52D90E94"/>
    <w:rsid w:val="52DC0984"/>
    <w:rsid w:val="52DE46FC"/>
    <w:rsid w:val="52DF3B64"/>
    <w:rsid w:val="52E02222"/>
    <w:rsid w:val="52E141EC"/>
    <w:rsid w:val="52E332B3"/>
    <w:rsid w:val="52E52DC9"/>
    <w:rsid w:val="52E678FD"/>
    <w:rsid w:val="52E70525"/>
    <w:rsid w:val="52E77591"/>
    <w:rsid w:val="52EA0C85"/>
    <w:rsid w:val="52EA1199"/>
    <w:rsid w:val="52EA4E4F"/>
    <w:rsid w:val="52EB529F"/>
    <w:rsid w:val="52EC6E19"/>
    <w:rsid w:val="52EE03C2"/>
    <w:rsid w:val="52EE0C20"/>
    <w:rsid w:val="52EE1C4E"/>
    <w:rsid w:val="52F04997"/>
    <w:rsid w:val="52F16A71"/>
    <w:rsid w:val="52F361D0"/>
    <w:rsid w:val="52F45CCD"/>
    <w:rsid w:val="52F65C9A"/>
    <w:rsid w:val="52F757BE"/>
    <w:rsid w:val="52F7756C"/>
    <w:rsid w:val="52F92BFA"/>
    <w:rsid w:val="52F97788"/>
    <w:rsid w:val="52FB4092"/>
    <w:rsid w:val="52FB52AE"/>
    <w:rsid w:val="52FD00D2"/>
    <w:rsid w:val="52FF2582"/>
    <w:rsid w:val="530009DE"/>
    <w:rsid w:val="53000B16"/>
    <w:rsid w:val="530028C4"/>
    <w:rsid w:val="530312CF"/>
    <w:rsid w:val="530644F0"/>
    <w:rsid w:val="53065A01"/>
    <w:rsid w:val="53073C53"/>
    <w:rsid w:val="53087C98"/>
    <w:rsid w:val="530E5C19"/>
    <w:rsid w:val="530F48B5"/>
    <w:rsid w:val="53101D87"/>
    <w:rsid w:val="53104106"/>
    <w:rsid w:val="53106871"/>
    <w:rsid w:val="531204FD"/>
    <w:rsid w:val="5314011E"/>
    <w:rsid w:val="53165C44"/>
    <w:rsid w:val="53172964"/>
    <w:rsid w:val="53191BA9"/>
    <w:rsid w:val="531C7F7E"/>
    <w:rsid w:val="53202CBE"/>
    <w:rsid w:val="532037F6"/>
    <w:rsid w:val="53220A8C"/>
    <w:rsid w:val="53230361"/>
    <w:rsid w:val="53242298"/>
    <w:rsid w:val="5324442F"/>
    <w:rsid w:val="532540D9"/>
    <w:rsid w:val="53267C20"/>
    <w:rsid w:val="53272FC0"/>
    <w:rsid w:val="532742F5"/>
    <w:rsid w:val="53281E1B"/>
    <w:rsid w:val="532857A5"/>
    <w:rsid w:val="532A5172"/>
    <w:rsid w:val="532A5B93"/>
    <w:rsid w:val="532B7CFC"/>
    <w:rsid w:val="532C36B9"/>
    <w:rsid w:val="532C53C6"/>
    <w:rsid w:val="532E5683"/>
    <w:rsid w:val="532F31A9"/>
    <w:rsid w:val="53301F7C"/>
    <w:rsid w:val="533273FB"/>
    <w:rsid w:val="53346A12"/>
    <w:rsid w:val="53347FB0"/>
    <w:rsid w:val="53373E0C"/>
    <w:rsid w:val="53385317"/>
    <w:rsid w:val="5339398C"/>
    <w:rsid w:val="533B19FC"/>
    <w:rsid w:val="533B2CB2"/>
    <w:rsid w:val="533F1F43"/>
    <w:rsid w:val="534670EA"/>
    <w:rsid w:val="53484FFE"/>
    <w:rsid w:val="53487DC7"/>
    <w:rsid w:val="534D1C19"/>
    <w:rsid w:val="534D3933"/>
    <w:rsid w:val="53514250"/>
    <w:rsid w:val="5354676C"/>
    <w:rsid w:val="535876EC"/>
    <w:rsid w:val="535A647D"/>
    <w:rsid w:val="535B176B"/>
    <w:rsid w:val="535D3873"/>
    <w:rsid w:val="535D7D17"/>
    <w:rsid w:val="535F3A8F"/>
    <w:rsid w:val="535F74CA"/>
    <w:rsid w:val="535F79EA"/>
    <w:rsid w:val="5362532D"/>
    <w:rsid w:val="536270DB"/>
    <w:rsid w:val="536410A5"/>
    <w:rsid w:val="53642C01"/>
    <w:rsid w:val="536535D1"/>
    <w:rsid w:val="53656BCB"/>
    <w:rsid w:val="53676A60"/>
    <w:rsid w:val="536919E3"/>
    <w:rsid w:val="536D660D"/>
    <w:rsid w:val="536E5081"/>
    <w:rsid w:val="536F016D"/>
    <w:rsid w:val="53702921"/>
    <w:rsid w:val="537218B9"/>
    <w:rsid w:val="53745413"/>
    <w:rsid w:val="53777366"/>
    <w:rsid w:val="537868DB"/>
    <w:rsid w:val="537868FE"/>
    <w:rsid w:val="537A2677"/>
    <w:rsid w:val="537A4D81"/>
    <w:rsid w:val="537C37DA"/>
    <w:rsid w:val="53821C2D"/>
    <w:rsid w:val="538277C4"/>
    <w:rsid w:val="53865EB2"/>
    <w:rsid w:val="538739F4"/>
    <w:rsid w:val="53890B0C"/>
    <w:rsid w:val="538A6632"/>
    <w:rsid w:val="538B25DA"/>
    <w:rsid w:val="538B4884"/>
    <w:rsid w:val="538F2C15"/>
    <w:rsid w:val="538F3C48"/>
    <w:rsid w:val="539002A8"/>
    <w:rsid w:val="53911318"/>
    <w:rsid w:val="5391176E"/>
    <w:rsid w:val="53922362"/>
    <w:rsid w:val="53950B60"/>
    <w:rsid w:val="539575E7"/>
    <w:rsid w:val="53966D85"/>
    <w:rsid w:val="53977C61"/>
    <w:rsid w:val="5398497A"/>
    <w:rsid w:val="539A4AC7"/>
    <w:rsid w:val="539C7ADF"/>
    <w:rsid w:val="539D0113"/>
    <w:rsid w:val="539D6365"/>
    <w:rsid w:val="539F3E8B"/>
    <w:rsid w:val="53A019B1"/>
    <w:rsid w:val="53A13825"/>
    <w:rsid w:val="53A35D07"/>
    <w:rsid w:val="53A54884"/>
    <w:rsid w:val="53A92F5C"/>
    <w:rsid w:val="53AA0A2F"/>
    <w:rsid w:val="53AA4EC8"/>
    <w:rsid w:val="53AD7E83"/>
    <w:rsid w:val="53AF678D"/>
    <w:rsid w:val="53B073CD"/>
    <w:rsid w:val="53B13BBE"/>
    <w:rsid w:val="53B146EE"/>
    <w:rsid w:val="53B2342F"/>
    <w:rsid w:val="53B35B89"/>
    <w:rsid w:val="53B7245B"/>
    <w:rsid w:val="53B8319F"/>
    <w:rsid w:val="53B92A73"/>
    <w:rsid w:val="53BD2563"/>
    <w:rsid w:val="53C05963"/>
    <w:rsid w:val="53C1637F"/>
    <w:rsid w:val="53C25DCC"/>
    <w:rsid w:val="53C51418"/>
    <w:rsid w:val="53C73F79"/>
    <w:rsid w:val="53C76D56"/>
    <w:rsid w:val="53CD3DC9"/>
    <w:rsid w:val="53CE29C2"/>
    <w:rsid w:val="53D004C1"/>
    <w:rsid w:val="53D05F7C"/>
    <w:rsid w:val="53D605FA"/>
    <w:rsid w:val="53D61AC2"/>
    <w:rsid w:val="53D72519"/>
    <w:rsid w:val="53D80EDC"/>
    <w:rsid w:val="53DA4EC3"/>
    <w:rsid w:val="53DB73B9"/>
    <w:rsid w:val="53DC0B0D"/>
    <w:rsid w:val="53DF64A4"/>
    <w:rsid w:val="53E01F3B"/>
    <w:rsid w:val="53E144A4"/>
    <w:rsid w:val="53E23107"/>
    <w:rsid w:val="53E30B72"/>
    <w:rsid w:val="53E53868"/>
    <w:rsid w:val="53E82F40"/>
    <w:rsid w:val="53E9054E"/>
    <w:rsid w:val="53EA1462"/>
    <w:rsid w:val="53EC2678"/>
    <w:rsid w:val="53EE6BC1"/>
    <w:rsid w:val="53F02939"/>
    <w:rsid w:val="53F17904"/>
    <w:rsid w:val="53F22187"/>
    <w:rsid w:val="53F462CB"/>
    <w:rsid w:val="53F47096"/>
    <w:rsid w:val="53F50024"/>
    <w:rsid w:val="53F6144D"/>
    <w:rsid w:val="53F94B65"/>
    <w:rsid w:val="53FA7313"/>
    <w:rsid w:val="53FF6F56"/>
    <w:rsid w:val="540006A2"/>
    <w:rsid w:val="5402266C"/>
    <w:rsid w:val="54054DA3"/>
    <w:rsid w:val="5407318C"/>
    <w:rsid w:val="54073563"/>
    <w:rsid w:val="540753EA"/>
    <w:rsid w:val="54077271"/>
    <w:rsid w:val="540E7263"/>
    <w:rsid w:val="54102FDB"/>
    <w:rsid w:val="54117B9F"/>
    <w:rsid w:val="54124769"/>
    <w:rsid w:val="54132D19"/>
    <w:rsid w:val="541479EE"/>
    <w:rsid w:val="54161C73"/>
    <w:rsid w:val="54181F99"/>
    <w:rsid w:val="541D69AC"/>
    <w:rsid w:val="54205F91"/>
    <w:rsid w:val="54273E81"/>
    <w:rsid w:val="542924D4"/>
    <w:rsid w:val="542A1E5D"/>
    <w:rsid w:val="542C3BE2"/>
    <w:rsid w:val="542D76E9"/>
    <w:rsid w:val="542E3461"/>
    <w:rsid w:val="542E520F"/>
    <w:rsid w:val="542F0FA2"/>
    <w:rsid w:val="54302D35"/>
    <w:rsid w:val="54302E85"/>
    <w:rsid w:val="5431081B"/>
    <w:rsid w:val="54313AB1"/>
    <w:rsid w:val="543640C4"/>
    <w:rsid w:val="54385F0C"/>
    <w:rsid w:val="54394EC2"/>
    <w:rsid w:val="543A3797"/>
    <w:rsid w:val="543C36E3"/>
    <w:rsid w:val="543C5B7E"/>
    <w:rsid w:val="543D17CB"/>
    <w:rsid w:val="544023D9"/>
    <w:rsid w:val="54424BAE"/>
    <w:rsid w:val="54424E4C"/>
    <w:rsid w:val="54424EA8"/>
    <w:rsid w:val="54426862"/>
    <w:rsid w:val="544445F2"/>
    <w:rsid w:val="54452425"/>
    <w:rsid w:val="544607AB"/>
    <w:rsid w:val="5446696E"/>
    <w:rsid w:val="544762D1"/>
    <w:rsid w:val="544B5DC1"/>
    <w:rsid w:val="544C6787"/>
    <w:rsid w:val="544D7D8B"/>
    <w:rsid w:val="54515FE7"/>
    <w:rsid w:val="5452125E"/>
    <w:rsid w:val="54522687"/>
    <w:rsid w:val="545314EB"/>
    <w:rsid w:val="54556C40"/>
    <w:rsid w:val="54586345"/>
    <w:rsid w:val="545A049F"/>
    <w:rsid w:val="545A0816"/>
    <w:rsid w:val="545B7EFC"/>
    <w:rsid w:val="545C7FCE"/>
    <w:rsid w:val="545D78A2"/>
    <w:rsid w:val="54602B84"/>
    <w:rsid w:val="54603722"/>
    <w:rsid w:val="54614389"/>
    <w:rsid w:val="5463135D"/>
    <w:rsid w:val="54635E5F"/>
    <w:rsid w:val="54637848"/>
    <w:rsid w:val="54640491"/>
    <w:rsid w:val="546609D7"/>
    <w:rsid w:val="54662920"/>
    <w:rsid w:val="54676413"/>
    <w:rsid w:val="54684787"/>
    <w:rsid w:val="546B6463"/>
    <w:rsid w:val="54720301"/>
    <w:rsid w:val="54732BCC"/>
    <w:rsid w:val="54732FDB"/>
    <w:rsid w:val="54752E3E"/>
    <w:rsid w:val="54754BEC"/>
    <w:rsid w:val="54763B1F"/>
    <w:rsid w:val="54770964"/>
    <w:rsid w:val="547E7F44"/>
    <w:rsid w:val="547F1F0F"/>
    <w:rsid w:val="547F28EE"/>
    <w:rsid w:val="547F3CBD"/>
    <w:rsid w:val="54826D7E"/>
    <w:rsid w:val="54837EFF"/>
    <w:rsid w:val="548412D3"/>
    <w:rsid w:val="54877DC4"/>
    <w:rsid w:val="548E130D"/>
    <w:rsid w:val="548F49E3"/>
    <w:rsid w:val="54900FF4"/>
    <w:rsid w:val="5490662A"/>
    <w:rsid w:val="549459BA"/>
    <w:rsid w:val="5496548E"/>
    <w:rsid w:val="5496707D"/>
    <w:rsid w:val="54996B2C"/>
    <w:rsid w:val="549A4653"/>
    <w:rsid w:val="549C74BE"/>
    <w:rsid w:val="549E05E7"/>
    <w:rsid w:val="549E2395"/>
    <w:rsid w:val="549E4143"/>
    <w:rsid w:val="549F0C18"/>
    <w:rsid w:val="54A01A9A"/>
    <w:rsid w:val="54A159E1"/>
    <w:rsid w:val="54A82C5B"/>
    <w:rsid w:val="54A906CA"/>
    <w:rsid w:val="54A91133"/>
    <w:rsid w:val="54AA1B9C"/>
    <w:rsid w:val="54AE3D80"/>
    <w:rsid w:val="54B020C8"/>
    <w:rsid w:val="54B52D8E"/>
    <w:rsid w:val="54B9511F"/>
    <w:rsid w:val="54BA246F"/>
    <w:rsid w:val="54BA568B"/>
    <w:rsid w:val="54BC02E9"/>
    <w:rsid w:val="54BC1358"/>
    <w:rsid w:val="54BD5D39"/>
    <w:rsid w:val="54BE1A0D"/>
    <w:rsid w:val="54C1008A"/>
    <w:rsid w:val="54C3004D"/>
    <w:rsid w:val="54C561D3"/>
    <w:rsid w:val="54C87412"/>
    <w:rsid w:val="54CD3316"/>
    <w:rsid w:val="54CD67D6"/>
    <w:rsid w:val="54CE64E3"/>
    <w:rsid w:val="54D06254"/>
    <w:rsid w:val="54D564A0"/>
    <w:rsid w:val="54D74AFC"/>
    <w:rsid w:val="54DB2ADA"/>
    <w:rsid w:val="54DB5397"/>
    <w:rsid w:val="54DC4C6B"/>
    <w:rsid w:val="54DD7575"/>
    <w:rsid w:val="54DE2CFD"/>
    <w:rsid w:val="54DE3429"/>
    <w:rsid w:val="54DE6C35"/>
    <w:rsid w:val="54E0190C"/>
    <w:rsid w:val="54E16725"/>
    <w:rsid w:val="54E35FFA"/>
    <w:rsid w:val="54E51D72"/>
    <w:rsid w:val="54E72244"/>
    <w:rsid w:val="54E85302"/>
    <w:rsid w:val="54E8742A"/>
    <w:rsid w:val="54E87AB4"/>
    <w:rsid w:val="54EB0FDA"/>
    <w:rsid w:val="54EC572E"/>
    <w:rsid w:val="54ED37BE"/>
    <w:rsid w:val="54EE410C"/>
    <w:rsid w:val="54EF0E42"/>
    <w:rsid w:val="54EF5B24"/>
    <w:rsid w:val="54F16569"/>
    <w:rsid w:val="54F202E2"/>
    <w:rsid w:val="54F22A19"/>
    <w:rsid w:val="54F3231A"/>
    <w:rsid w:val="54F32D6C"/>
    <w:rsid w:val="54F36B90"/>
    <w:rsid w:val="54F40207"/>
    <w:rsid w:val="54F46459"/>
    <w:rsid w:val="54F61F69"/>
    <w:rsid w:val="54F94888"/>
    <w:rsid w:val="54FD5E03"/>
    <w:rsid w:val="55004DFD"/>
    <w:rsid w:val="55006BAB"/>
    <w:rsid w:val="550348EE"/>
    <w:rsid w:val="5504377C"/>
    <w:rsid w:val="55091542"/>
    <w:rsid w:val="550A17D8"/>
    <w:rsid w:val="550B4D5E"/>
    <w:rsid w:val="550C7E08"/>
    <w:rsid w:val="550D3076"/>
    <w:rsid w:val="5512068D"/>
    <w:rsid w:val="551560C9"/>
    <w:rsid w:val="55164621"/>
    <w:rsid w:val="55197C6D"/>
    <w:rsid w:val="551B28AC"/>
    <w:rsid w:val="551C150B"/>
    <w:rsid w:val="551D71B5"/>
    <w:rsid w:val="551E5398"/>
    <w:rsid w:val="55226F59"/>
    <w:rsid w:val="5523289A"/>
    <w:rsid w:val="55247C7D"/>
    <w:rsid w:val="55264138"/>
    <w:rsid w:val="552704DE"/>
    <w:rsid w:val="55277EAD"/>
    <w:rsid w:val="55282615"/>
    <w:rsid w:val="552828E6"/>
    <w:rsid w:val="552A1E7A"/>
    <w:rsid w:val="552B27B4"/>
    <w:rsid w:val="552C5BF2"/>
    <w:rsid w:val="552E25A8"/>
    <w:rsid w:val="552F235D"/>
    <w:rsid w:val="552F7491"/>
    <w:rsid w:val="55326187"/>
    <w:rsid w:val="553449FC"/>
    <w:rsid w:val="55344AB0"/>
    <w:rsid w:val="553614EA"/>
    <w:rsid w:val="55364A1A"/>
    <w:rsid w:val="553700F3"/>
    <w:rsid w:val="553A33AD"/>
    <w:rsid w:val="553B6208"/>
    <w:rsid w:val="553B7BE4"/>
    <w:rsid w:val="553E6AE1"/>
    <w:rsid w:val="553F2B22"/>
    <w:rsid w:val="55410DBD"/>
    <w:rsid w:val="55410F72"/>
    <w:rsid w:val="55425416"/>
    <w:rsid w:val="55480662"/>
    <w:rsid w:val="554967A4"/>
    <w:rsid w:val="554B1D58"/>
    <w:rsid w:val="554B1FA0"/>
    <w:rsid w:val="554B7A82"/>
    <w:rsid w:val="554C1927"/>
    <w:rsid w:val="554C3C40"/>
    <w:rsid w:val="5550356A"/>
    <w:rsid w:val="55545149"/>
    <w:rsid w:val="555451BA"/>
    <w:rsid w:val="55551801"/>
    <w:rsid w:val="55592765"/>
    <w:rsid w:val="555B2034"/>
    <w:rsid w:val="555B763D"/>
    <w:rsid w:val="555E54FD"/>
    <w:rsid w:val="55621614"/>
    <w:rsid w:val="55622003"/>
    <w:rsid w:val="556246D0"/>
    <w:rsid w:val="5566328E"/>
    <w:rsid w:val="556767AF"/>
    <w:rsid w:val="5569493C"/>
    <w:rsid w:val="556C4241"/>
    <w:rsid w:val="556C5FEF"/>
    <w:rsid w:val="556E2056"/>
    <w:rsid w:val="556F4202"/>
    <w:rsid w:val="55711857"/>
    <w:rsid w:val="55713605"/>
    <w:rsid w:val="55735DDC"/>
    <w:rsid w:val="557377AF"/>
    <w:rsid w:val="55742BA6"/>
    <w:rsid w:val="55746BE2"/>
    <w:rsid w:val="5576721A"/>
    <w:rsid w:val="55767857"/>
    <w:rsid w:val="55775BE1"/>
    <w:rsid w:val="557B116B"/>
    <w:rsid w:val="557D4F00"/>
    <w:rsid w:val="558057B8"/>
    <w:rsid w:val="55807CEC"/>
    <w:rsid w:val="55821CB6"/>
    <w:rsid w:val="55825812"/>
    <w:rsid w:val="5583158B"/>
    <w:rsid w:val="55845FCE"/>
    <w:rsid w:val="55865DC4"/>
    <w:rsid w:val="558B4F86"/>
    <w:rsid w:val="558D1BF8"/>
    <w:rsid w:val="558E5D25"/>
    <w:rsid w:val="558F6181"/>
    <w:rsid w:val="55904A6E"/>
    <w:rsid w:val="55913CA7"/>
    <w:rsid w:val="5592481B"/>
    <w:rsid w:val="559277A3"/>
    <w:rsid w:val="55955AEF"/>
    <w:rsid w:val="55963244"/>
    <w:rsid w:val="559844D6"/>
    <w:rsid w:val="5598523A"/>
    <w:rsid w:val="55996103"/>
    <w:rsid w:val="559A5736"/>
    <w:rsid w:val="559B68D4"/>
    <w:rsid w:val="559E0172"/>
    <w:rsid w:val="559E030F"/>
    <w:rsid w:val="559F4616"/>
    <w:rsid w:val="55A03EEB"/>
    <w:rsid w:val="55A06976"/>
    <w:rsid w:val="55A106D3"/>
    <w:rsid w:val="55A7171D"/>
    <w:rsid w:val="55A734CB"/>
    <w:rsid w:val="55AA3FCC"/>
    <w:rsid w:val="55AB1511"/>
    <w:rsid w:val="55AC4B7D"/>
    <w:rsid w:val="55AD224B"/>
    <w:rsid w:val="55AD6850"/>
    <w:rsid w:val="55AF412E"/>
    <w:rsid w:val="55B003E1"/>
    <w:rsid w:val="55B0074C"/>
    <w:rsid w:val="55B02DDD"/>
    <w:rsid w:val="55B160F8"/>
    <w:rsid w:val="55B368A5"/>
    <w:rsid w:val="55B57B72"/>
    <w:rsid w:val="55B60E9F"/>
    <w:rsid w:val="55B654BC"/>
    <w:rsid w:val="55B67B46"/>
    <w:rsid w:val="55B74331"/>
    <w:rsid w:val="55B9058D"/>
    <w:rsid w:val="55BE2BE0"/>
    <w:rsid w:val="55BE2CD2"/>
    <w:rsid w:val="55C41CA5"/>
    <w:rsid w:val="55C723EE"/>
    <w:rsid w:val="55C85C7B"/>
    <w:rsid w:val="55CC2E45"/>
    <w:rsid w:val="55CC6F60"/>
    <w:rsid w:val="55CE5FAF"/>
    <w:rsid w:val="55D50038"/>
    <w:rsid w:val="55D97061"/>
    <w:rsid w:val="55DB13C7"/>
    <w:rsid w:val="55DC2AD0"/>
    <w:rsid w:val="55DD51BD"/>
    <w:rsid w:val="55DE65B2"/>
    <w:rsid w:val="55DF6F34"/>
    <w:rsid w:val="55E262B1"/>
    <w:rsid w:val="55E2789E"/>
    <w:rsid w:val="55E54EB7"/>
    <w:rsid w:val="55E943A6"/>
    <w:rsid w:val="55EA0DC4"/>
    <w:rsid w:val="55EC7130"/>
    <w:rsid w:val="55EE4C56"/>
    <w:rsid w:val="55EF09CE"/>
    <w:rsid w:val="55F25CD2"/>
    <w:rsid w:val="55F45FE4"/>
    <w:rsid w:val="55F7664B"/>
    <w:rsid w:val="55F85AD5"/>
    <w:rsid w:val="55FA49AD"/>
    <w:rsid w:val="55FA7777"/>
    <w:rsid w:val="55FB55C5"/>
    <w:rsid w:val="55FC44D1"/>
    <w:rsid w:val="55FE7C43"/>
    <w:rsid w:val="55FF18B1"/>
    <w:rsid w:val="55FF3307"/>
    <w:rsid w:val="56002BDB"/>
    <w:rsid w:val="560221AE"/>
    <w:rsid w:val="56024E9F"/>
    <w:rsid w:val="5604091D"/>
    <w:rsid w:val="56044479"/>
    <w:rsid w:val="560617CE"/>
    <w:rsid w:val="56064695"/>
    <w:rsid w:val="56073F6A"/>
    <w:rsid w:val="56084D0E"/>
    <w:rsid w:val="56085B13"/>
    <w:rsid w:val="56090FB1"/>
    <w:rsid w:val="56091A90"/>
    <w:rsid w:val="56092D10"/>
    <w:rsid w:val="56093B80"/>
    <w:rsid w:val="560A5808"/>
    <w:rsid w:val="560C2EA8"/>
    <w:rsid w:val="560E52F8"/>
    <w:rsid w:val="560E70A6"/>
    <w:rsid w:val="561074A3"/>
    <w:rsid w:val="561132CD"/>
    <w:rsid w:val="56140A69"/>
    <w:rsid w:val="56145746"/>
    <w:rsid w:val="56150744"/>
    <w:rsid w:val="561546F9"/>
    <w:rsid w:val="56170048"/>
    <w:rsid w:val="56173C29"/>
    <w:rsid w:val="56186177"/>
    <w:rsid w:val="56187F25"/>
    <w:rsid w:val="561A3C9D"/>
    <w:rsid w:val="561D378D"/>
    <w:rsid w:val="561F3061"/>
    <w:rsid w:val="561F5757"/>
    <w:rsid w:val="561F7505"/>
    <w:rsid w:val="562078FB"/>
    <w:rsid w:val="562179E3"/>
    <w:rsid w:val="56222B52"/>
    <w:rsid w:val="56226FF5"/>
    <w:rsid w:val="56242D6E"/>
    <w:rsid w:val="56245CD9"/>
    <w:rsid w:val="56251A55"/>
    <w:rsid w:val="56260015"/>
    <w:rsid w:val="562763BA"/>
    <w:rsid w:val="56290384"/>
    <w:rsid w:val="562A3A13"/>
    <w:rsid w:val="562A4811"/>
    <w:rsid w:val="562B06B4"/>
    <w:rsid w:val="562B7C58"/>
    <w:rsid w:val="562C1C22"/>
    <w:rsid w:val="562C39D0"/>
    <w:rsid w:val="5630526E"/>
    <w:rsid w:val="5631387D"/>
    <w:rsid w:val="5633275D"/>
    <w:rsid w:val="5633540E"/>
    <w:rsid w:val="56352885"/>
    <w:rsid w:val="56372AA1"/>
    <w:rsid w:val="56382F4B"/>
    <w:rsid w:val="56383110"/>
    <w:rsid w:val="56384548"/>
    <w:rsid w:val="563A3C49"/>
    <w:rsid w:val="563D5BDD"/>
    <w:rsid w:val="563E6F46"/>
    <w:rsid w:val="564203FD"/>
    <w:rsid w:val="56427760"/>
    <w:rsid w:val="5644186E"/>
    <w:rsid w:val="56444B7E"/>
    <w:rsid w:val="564451BE"/>
    <w:rsid w:val="564725B8"/>
    <w:rsid w:val="56477382"/>
    <w:rsid w:val="564F54C8"/>
    <w:rsid w:val="564F7A5E"/>
    <w:rsid w:val="56501DBB"/>
    <w:rsid w:val="565023B2"/>
    <w:rsid w:val="56505911"/>
    <w:rsid w:val="56507FC5"/>
    <w:rsid w:val="56510FA5"/>
    <w:rsid w:val="56513437"/>
    <w:rsid w:val="56527255"/>
    <w:rsid w:val="56531B75"/>
    <w:rsid w:val="565431AF"/>
    <w:rsid w:val="56544746"/>
    <w:rsid w:val="56545C74"/>
    <w:rsid w:val="56553E52"/>
    <w:rsid w:val="56577198"/>
    <w:rsid w:val="56582A17"/>
    <w:rsid w:val="565A22EB"/>
    <w:rsid w:val="565A592C"/>
    <w:rsid w:val="565B7EBC"/>
    <w:rsid w:val="566040D9"/>
    <w:rsid w:val="56614179"/>
    <w:rsid w:val="56634B4F"/>
    <w:rsid w:val="56636203"/>
    <w:rsid w:val="566854A3"/>
    <w:rsid w:val="56694C24"/>
    <w:rsid w:val="566974FC"/>
    <w:rsid w:val="566B5520"/>
    <w:rsid w:val="566B63FB"/>
    <w:rsid w:val="566E3FE9"/>
    <w:rsid w:val="5670014B"/>
    <w:rsid w:val="56701027"/>
    <w:rsid w:val="56706DAD"/>
    <w:rsid w:val="56713395"/>
    <w:rsid w:val="56737851"/>
    <w:rsid w:val="56741E63"/>
    <w:rsid w:val="56755377"/>
    <w:rsid w:val="56796231"/>
    <w:rsid w:val="567B1F2B"/>
    <w:rsid w:val="567C04B4"/>
    <w:rsid w:val="567C6706"/>
    <w:rsid w:val="567D7EB1"/>
    <w:rsid w:val="56813D1C"/>
    <w:rsid w:val="5684380C"/>
    <w:rsid w:val="568668CA"/>
    <w:rsid w:val="56867584"/>
    <w:rsid w:val="56867733"/>
    <w:rsid w:val="5688217E"/>
    <w:rsid w:val="568915C8"/>
    <w:rsid w:val="568B4B9B"/>
    <w:rsid w:val="568F736C"/>
    <w:rsid w:val="5690074F"/>
    <w:rsid w:val="56933D5E"/>
    <w:rsid w:val="569877C6"/>
    <w:rsid w:val="569951D6"/>
    <w:rsid w:val="56995614"/>
    <w:rsid w:val="569A4DDE"/>
    <w:rsid w:val="569A4F98"/>
    <w:rsid w:val="569D042A"/>
    <w:rsid w:val="569F23F4"/>
    <w:rsid w:val="56A143BE"/>
    <w:rsid w:val="56A249DA"/>
    <w:rsid w:val="56A2752B"/>
    <w:rsid w:val="56A30136"/>
    <w:rsid w:val="56A36B59"/>
    <w:rsid w:val="56A77D1E"/>
    <w:rsid w:val="56A8574D"/>
    <w:rsid w:val="56A85EF4"/>
    <w:rsid w:val="56A921B3"/>
    <w:rsid w:val="56A96A51"/>
    <w:rsid w:val="56A96C69"/>
    <w:rsid w:val="56A97ADB"/>
    <w:rsid w:val="56AA0CBE"/>
    <w:rsid w:val="56AA0E3B"/>
    <w:rsid w:val="56AB1439"/>
    <w:rsid w:val="56AB372E"/>
    <w:rsid w:val="56AC25F0"/>
    <w:rsid w:val="56AD68BF"/>
    <w:rsid w:val="56AE7538"/>
    <w:rsid w:val="56AF3F23"/>
    <w:rsid w:val="56AF7BEA"/>
    <w:rsid w:val="56B00E52"/>
    <w:rsid w:val="56B839DA"/>
    <w:rsid w:val="56B84109"/>
    <w:rsid w:val="56BA0FDC"/>
    <w:rsid w:val="56BC4D54"/>
    <w:rsid w:val="56BE55B0"/>
    <w:rsid w:val="56BF4B95"/>
    <w:rsid w:val="56C1236A"/>
    <w:rsid w:val="56C22337"/>
    <w:rsid w:val="56C365FF"/>
    <w:rsid w:val="56C500AD"/>
    <w:rsid w:val="56C50A07"/>
    <w:rsid w:val="56C55827"/>
    <w:rsid w:val="56C66CC8"/>
    <w:rsid w:val="56C7422E"/>
    <w:rsid w:val="56C8194B"/>
    <w:rsid w:val="56C9609A"/>
    <w:rsid w:val="56CB68EF"/>
    <w:rsid w:val="56CC4F85"/>
    <w:rsid w:val="56CF2CD9"/>
    <w:rsid w:val="56D0765D"/>
    <w:rsid w:val="56D23B6F"/>
    <w:rsid w:val="56D23D87"/>
    <w:rsid w:val="56DA4FD5"/>
    <w:rsid w:val="56DC7584"/>
    <w:rsid w:val="56E01FD3"/>
    <w:rsid w:val="56E11045"/>
    <w:rsid w:val="56E16569"/>
    <w:rsid w:val="56E326EF"/>
    <w:rsid w:val="56E46059"/>
    <w:rsid w:val="56E74715"/>
    <w:rsid w:val="56E801F8"/>
    <w:rsid w:val="56EB645F"/>
    <w:rsid w:val="56ED7603"/>
    <w:rsid w:val="56F03D99"/>
    <w:rsid w:val="56F11165"/>
    <w:rsid w:val="56F40992"/>
    <w:rsid w:val="56F664B8"/>
    <w:rsid w:val="56F73FDE"/>
    <w:rsid w:val="56FD6278"/>
    <w:rsid w:val="5704080F"/>
    <w:rsid w:val="57044A0A"/>
    <w:rsid w:val="570507B5"/>
    <w:rsid w:val="5705494D"/>
    <w:rsid w:val="570603C2"/>
    <w:rsid w:val="57076DFB"/>
    <w:rsid w:val="570B7A8A"/>
    <w:rsid w:val="570D3802"/>
    <w:rsid w:val="570D735E"/>
    <w:rsid w:val="570F1328"/>
    <w:rsid w:val="57100E59"/>
    <w:rsid w:val="5712706A"/>
    <w:rsid w:val="57127275"/>
    <w:rsid w:val="5713005A"/>
    <w:rsid w:val="57137C33"/>
    <w:rsid w:val="571406EC"/>
    <w:rsid w:val="5714693E"/>
    <w:rsid w:val="57151371"/>
    <w:rsid w:val="57177B0E"/>
    <w:rsid w:val="571903F8"/>
    <w:rsid w:val="57190A47"/>
    <w:rsid w:val="571B228A"/>
    <w:rsid w:val="571E0B84"/>
    <w:rsid w:val="571E77BD"/>
    <w:rsid w:val="571F0355"/>
    <w:rsid w:val="57254C9B"/>
    <w:rsid w:val="572751B4"/>
    <w:rsid w:val="57281A04"/>
    <w:rsid w:val="572A59C9"/>
    <w:rsid w:val="572A7D44"/>
    <w:rsid w:val="572B3C88"/>
    <w:rsid w:val="572B6B56"/>
    <w:rsid w:val="572D02C8"/>
    <w:rsid w:val="572D3E71"/>
    <w:rsid w:val="572F0950"/>
    <w:rsid w:val="572F3399"/>
    <w:rsid w:val="57325016"/>
    <w:rsid w:val="573C2C3A"/>
    <w:rsid w:val="573C5E95"/>
    <w:rsid w:val="573D1FCA"/>
    <w:rsid w:val="573D5E2C"/>
    <w:rsid w:val="573E39BB"/>
    <w:rsid w:val="5740449E"/>
    <w:rsid w:val="57407733"/>
    <w:rsid w:val="57430FD1"/>
    <w:rsid w:val="57437223"/>
    <w:rsid w:val="57445A1A"/>
    <w:rsid w:val="5746665A"/>
    <w:rsid w:val="574877E1"/>
    <w:rsid w:val="574A3DF9"/>
    <w:rsid w:val="574B033C"/>
    <w:rsid w:val="574F5BC8"/>
    <w:rsid w:val="57504E2F"/>
    <w:rsid w:val="57527466"/>
    <w:rsid w:val="57537751"/>
    <w:rsid w:val="57541431"/>
    <w:rsid w:val="575548AE"/>
    <w:rsid w:val="575556B1"/>
    <w:rsid w:val="57560D05"/>
    <w:rsid w:val="57563CB6"/>
    <w:rsid w:val="575651A9"/>
    <w:rsid w:val="57596A47"/>
    <w:rsid w:val="575B27BF"/>
    <w:rsid w:val="575B38A5"/>
    <w:rsid w:val="575C02E5"/>
    <w:rsid w:val="575D15B4"/>
    <w:rsid w:val="575E405D"/>
    <w:rsid w:val="57605364"/>
    <w:rsid w:val="57607DD5"/>
    <w:rsid w:val="5761079B"/>
    <w:rsid w:val="5765477D"/>
    <w:rsid w:val="576663E7"/>
    <w:rsid w:val="57675237"/>
    <w:rsid w:val="57686347"/>
    <w:rsid w:val="576A47B0"/>
    <w:rsid w:val="576C629B"/>
    <w:rsid w:val="57704541"/>
    <w:rsid w:val="57715B3F"/>
    <w:rsid w:val="577473DD"/>
    <w:rsid w:val="577550E8"/>
    <w:rsid w:val="57781065"/>
    <w:rsid w:val="577E0031"/>
    <w:rsid w:val="577E00F1"/>
    <w:rsid w:val="577E025B"/>
    <w:rsid w:val="577E202E"/>
    <w:rsid w:val="577E46FF"/>
    <w:rsid w:val="57803FD4"/>
    <w:rsid w:val="578053C5"/>
    <w:rsid w:val="57805D82"/>
    <w:rsid w:val="578130E3"/>
    <w:rsid w:val="578411E6"/>
    <w:rsid w:val="5784175D"/>
    <w:rsid w:val="578435E0"/>
    <w:rsid w:val="57875362"/>
    <w:rsid w:val="57895FA1"/>
    <w:rsid w:val="578A1D1A"/>
    <w:rsid w:val="578E4942"/>
    <w:rsid w:val="57907CEB"/>
    <w:rsid w:val="579139FB"/>
    <w:rsid w:val="5792501F"/>
    <w:rsid w:val="57925AB5"/>
    <w:rsid w:val="57930337"/>
    <w:rsid w:val="579438B4"/>
    <w:rsid w:val="57945CD1"/>
    <w:rsid w:val="57961A49"/>
    <w:rsid w:val="579E07D9"/>
    <w:rsid w:val="579E445A"/>
    <w:rsid w:val="579E6147"/>
    <w:rsid w:val="57A10B57"/>
    <w:rsid w:val="57A11937"/>
    <w:rsid w:val="57A35F14"/>
    <w:rsid w:val="57A44166"/>
    <w:rsid w:val="57A537C6"/>
    <w:rsid w:val="57A57404"/>
    <w:rsid w:val="57A71560"/>
    <w:rsid w:val="57A97BBB"/>
    <w:rsid w:val="57AF0129"/>
    <w:rsid w:val="57AF2B0B"/>
    <w:rsid w:val="57AF5C28"/>
    <w:rsid w:val="57B108DA"/>
    <w:rsid w:val="57B1418D"/>
    <w:rsid w:val="57B32A0E"/>
    <w:rsid w:val="57B50612"/>
    <w:rsid w:val="57B53D8D"/>
    <w:rsid w:val="57BB4460"/>
    <w:rsid w:val="57C15A78"/>
    <w:rsid w:val="57C27F27"/>
    <w:rsid w:val="57C33EC0"/>
    <w:rsid w:val="57C92429"/>
    <w:rsid w:val="57C93D34"/>
    <w:rsid w:val="57C94DDE"/>
    <w:rsid w:val="57CC2A38"/>
    <w:rsid w:val="57CD179D"/>
    <w:rsid w:val="57CF18D5"/>
    <w:rsid w:val="57D04F5B"/>
    <w:rsid w:val="57D2100B"/>
    <w:rsid w:val="57D27DD2"/>
    <w:rsid w:val="57D4413C"/>
    <w:rsid w:val="57D80A00"/>
    <w:rsid w:val="57D91936"/>
    <w:rsid w:val="57DA7B88"/>
    <w:rsid w:val="57DB7DE8"/>
    <w:rsid w:val="57DB7E78"/>
    <w:rsid w:val="57DF1EC4"/>
    <w:rsid w:val="57E01025"/>
    <w:rsid w:val="57E01CBA"/>
    <w:rsid w:val="57E02CC4"/>
    <w:rsid w:val="57E32E1A"/>
    <w:rsid w:val="57E566A6"/>
    <w:rsid w:val="57E62D44"/>
    <w:rsid w:val="57E67137"/>
    <w:rsid w:val="57E724A7"/>
    <w:rsid w:val="57E81272"/>
    <w:rsid w:val="57E82C37"/>
    <w:rsid w:val="57E85008"/>
    <w:rsid w:val="57E9601D"/>
    <w:rsid w:val="57EA2C31"/>
    <w:rsid w:val="57EC057A"/>
    <w:rsid w:val="57EC3417"/>
    <w:rsid w:val="57EF0BA5"/>
    <w:rsid w:val="57EF4CB5"/>
    <w:rsid w:val="57EF62EE"/>
    <w:rsid w:val="57F03975"/>
    <w:rsid w:val="57F56770"/>
    <w:rsid w:val="57F728C2"/>
    <w:rsid w:val="57FA1FD8"/>
    <w:rsid w:val="57FC2C7E"/>
    <w:rsid w:val="57FC57AF"/>
    <w:rsid w:val="57FD23C8"/>
    <w:rsid w:val="57FD5624"/>
    <w:rsid w:val="57FF139C"/>
    <w:rsid w:val="58013307"/>
    <w:rsid w:val="5803123E"/>
    <w:rsid w:val="5806097D"/>
    <w:rsid w:val="580736EB"/>
    <w:rsid w:val="580956C4"/>
    <w:rsid w:val="580B68A9"/>
    <w:rsid w:val="580C03E7"/>
    <w:rsid w:val="580C30D8"/>
    <w:rsid w:val="580F00F8"/>
    <w:rsid w:val="58102306"/>
    <w:rsid w:val="581217F1"/>
    <w:rsid w:val="581468B1"/>
    <w:rsid w:val="58150BC0"/>
    <w:rsid w:val="58160494"/>
    <w:rsid w:val="5816663A"/>
    <w:rsid w:val="58170670"/>
    <w:rsid w:val="581806B0"/>
    <w:rsid w:val="58196DAC"/>
    <w:rsid w:val="581A5ED7"/>
    <w:rsid w:val="581C2DA7"/>
    <w:rsid w:val="581D7A74"/>
    <w:rsid w:val="581E5583"/>
    <w:rsid w:val="581F1A88"/>
    <w:rsid w:val="582232DD"/>
    <w:rsid w:val="582622EE"/>
    <w:rsid w:val="5829466B"/>
    <w:rsid w:val="58296419"/>
    <w:rsid w:val="582C1803"/>
    <w:rsid w:val="582D4D00"/>
    <w:rsid w:val="582E3A30"/>
    <w:rsid w:val="582E57DE"/>
    <w:rsid w:val="583151B6"/>
    <w:rsid w:val="58331046"/>
    <w:rsid w:val="58337298"/>
    <w:rsid w:val="583444DA"/>
    <w:rsid w:val="58357C03"/>
    <w:rsid w:val="58366D88"/>
    <w:rsid w:val="58376DD7"/>
    <w:rsid w:val="58377202"/>
    <w:rsid w:val="583A0152"/>
    <w:rsid w:val="583B7EFB"/>
    <w:rsid w:val="58405511"/>
    <w:rsid w:val="58426B00"/>
    <w:rsid w:val="5843433B"/>
    <w:rsid w:val="58464056"/>
    <w:rsid w:val="58466FCB"/>
    <w:rsid w:val="58467845"/>
    <w:rsid w:val="58472D43"/>
    <w:rsid w:val="584743F2"/>
    <w:rsid w:val="5847689F"/>
    <w:rsid w:val="58482296"/>
    <w:rsid w:val="584A32DB"/>
    <w:rsid w:val="584C7642"/>
    <w:rsid w:val="584E7C2E"/>
    <w:rsid w:val="58501BF8"/>
    <w:rsid w:val="585333B3"/>
    <w:rsid w:val="58555460"/>
    <w:rsid w:val="58562F86"/>
    <w:rsid w:val="58564D34"/>
    <w:rsid w:val="58584F50"/>
    <w:rsid w:val="585960E9"/>
    <w:rsid w:val="585B059D"/>
    <w:rsid w:val="585B5C1B"/>
    <w:rsid w:val="585B7E33"/>
    <w:rsid w:val="585D60C3"/>
    <w:rsid w:val="585E778D"/>
    <w:rsid w:val="585F1E3B"/>
    <w:rsid w:val="5861224A"/>
    <w:rsid w:val="586202ED"/>
    <w:rsid w:val="5862401C"/>
    <w:rsid w:val="58627B7D"/>
    <w:rsid w:val="5864418B"/>
    <w:rsid w:val="586732C2"/>
    <w:rsid w:val="586B76C2"/>
    <w:rsid w:val="586C3723"/>
    <w:rsid w:val="586F74D3"/>
    <w:rsid w:val="58702E89"/>
    <w:rsid w:val="587070C4"/>
    <w:rsid w:val="58722AB2"/>
    <w:rsid w:val="58736FD2"/>
    <w:rsid w:val="58773081"/>
    <w:rsid w:val="5877686F"/>
    <w:rsid w:val="587811FC"/>
    <w:rsid w:val="587B479B"/>
    <w:rsid w:val="587C382F"/>
    <w:rsid w:val="587F24DD"/>
    <w:rsid w:val="58845323"/>
    <w:rsid w:val="58871392"/>
    <w:rsid w:val="588817BB"/>
    <w:rsid w:val="58892FCD"/>
    <w:rsid w:val="588953DF"/>
    <w:rsid w:val="588C427D"/>
    <w:rsid w:val="588E0972"/>
    <w:rsid w:val="588F0354"/>
    <w:rsid w:val="58913FBE"/>
    <w:rsid w:val="58921EEB"/>
    <w:rsid w:val="58942478"/>
    <w:rsid w:val="58951D01"/>
    <w:rsid w:val="589757D5"/>
    <w:rsid w:val="589A55C2"/>
    <w:rsid w:val="589A6800"/>
    <w:rsid w:val="589E7A86"/>
    <w:rsid w:val="58A0329A"/>
    <w:rsid w:val="58A14A23"/>
    <w:rsid w:val="58A30BB2"/>
    <w:rsid w:val="58A3441E"/>
    <w:rsid w:val="58A4140A"/>
    <w:rsid w:val="58A565DA"/>
    <w:rsid w:val="58A61818"/>
    <w:rsid w:val="58A63C18"/>
    <w:rsid w:val="58A75590"/>
    <w:rsid w:val="58A82984"/>
    <w:rsid w:val="58A83812"/>
    <w:rsid w:val="58A874C6"/>
    <w:rsid w:val="58A878AB"/>
    <w:rsid w:val="58A957AC"/>
    <w:rsid w:val="58AC0ED4"/>
    <w:rsid w:val="58AD0DF8"/>
    <w:rsid w:val="58AE2DC2"/>
    <w:rsid w:val="58AE6DC6"/>
    <w:rsid w:val="58AF1A4C"/>
    <w:rsid w:val="58B0228F"/>
    <w:rsid w:val="58B20A49"/>
    <w:rsid w:val="58B2640F"/>
    <w:rsid w:val="58B3387C"/>
    <w:rsid w:val="58B442C6"/>
    <w:rsid w:val="58B670DA"/>
    <w:rsid w:val="58B8779D"/>
    <w:rsid w:val="58BC06AB"/>
    <w:rsid w:val="58BC7D3F"/>
    <w:rsid w:val="58BD4E0B"/>
    <w:rsid w:val="58BD4EAA"/>
    <w:rsid w:val="58BF28DA"/>
    <w:rsid w:val="58C23DC0"/>
    <w:rsid w:val="58C3061C"/>
    <w:rsid w:val="58C72BED"/>
    <w:rsid w:val="58C779E0"/>
    <w:rsid w:val="58C813B1"/>
    <w:rsid w:val="58C87866"/>
    <w:rsid w:val="58CD149A"/>
    <w:rsid w:val="58CD2608"/>
    <w:rsid w:val="58CE6FC1"/>
    <w:rsid w:val="58CF0F3C"/>
    <w:rsid w:val="58D00F8B"/>
    <w:rsid w:val="58D205AF"/>
    <w:rsid w:val="58D2085F"/>
    <w:rsid w:val="58D269C6"/>
    <w:rsid w:val="58D47FFB"/>
    <w:rsid w:val="58D662E9"/>
    <w:rsid w:val="58D83EF8"/>
    <w:rsid w:val="58D93F53"/>
    <w:rsid w:val="58DA7713"/>
    <w:rsid w:val="58DC7930"/>
    <w:rsid w:val="58E16CF4"/>
    <w:rsid w:val="58E22F1C"/>
    <w:rsid w:val="58E30CBE"/>
    <w:rsid w:val="58E405DD"/>
    <w:rsid w:val="58E42F33"/>
    <w:rsid w:val="58E44CE6"/>
    <w:rsid w:val="58E61072"/>
    <w:rsid w:val="58E6255C"/>
    <w:rsid w:val="58EA0B58"/>
    <w:rsid w:val="58ED077D"/>
    <w:rsid w:val="58EE0969"/>
    <w:rsid w:val="58F00CE5"/>
    <w:rsid w:val="58F20481"/>
    <w:rsid w:val="58F5279F"/>
    <w:rsid w:val="58F740F7"/>
    <w:rsid w:val="58F75133"/>
    <w:rsid w:val="58FA1B64"/>
    <w:rsid w:val="58FA7DB6"/>
    <w:rsid w:val="58FC50B0"/>
    <w:rsid w:val="58FC6D00"/>
    <w:rsid w:val="58FD3402"/>
    <w:rsid w:val="58FF3D64"/>
    <w:rsid w:val="58FF4613"/>
    <w:rsid w:val="58FF4D54"/>
    <w:rsid w:val="58FF717A"/>
    <w:rsid w:val="59012EF2"/>
    <w:rsid w:val="59017396"/>
    <w:rsid w:val="59031C51"/>
    <w:rsid w:val="59046094"/>
    <w:rsid w:val="59047E6B"/>
    <w:rsid w:val="590501A6"/>
    <w:rsid w:val="590777C4"/>
    <w:rsid w:val="590836E0"/>
    <w:rsid w:val="590B2E55"/>
    <w:rsid w:val="590E7AFE"/>
    <w:rsid w:val="590F1AB3"/>
    <w:rsid w:val="59102873"/>
    <w:rsid w:val="591064E5"/>
    <w:rsid w:val="5911410C"/>
    <w:rsid w:val="59117084"/>
    <w:rsid w:val="59126EAD"/>
    <w:rsid w:val="59184C1C"/>
    <w:rsid w:val="59190642"/>
    <w:rsid w:val="591A640F"/>
    <w:rsid w:val="591C1ADA"/>
    <w:rsid w:val="591C7D2C"/>
    <w:rsid w:val="591F2183"/>
    <w:rsid w:val="592014A1"/>
    <w:rsid w:val="59213594"/>
    <w:rsid w:val="59215342"/>
    <w:rsid w:val="59223A26"/>
    <w:rsid w:val="59232E69"/>
    <w:rsid w:val="59260BAB"/>
    <w:rsid w:val="59262959"/>
    <w:rsid w:val="59271254"/>
    <w:rsid w:val="5928537F"/>
    <w:rsid w:val="5928618F"/>
    <w:rsid w:val="59290CF4"/>
    <w:rsid w:val="5929513F"/>
    <w:rsid w:val="592C76F9"/>
    <w:rsid w:val="592D1F39"/>
    <w:rsid w:val="592E5DFC"/>
    <w:rsid w:val="592E6A37"/>
    <w:rsid w:val="59310538"/>
    <w:rsid w:val="59316B6C"/>
    <w:rsid w:val="59330D43"/>
    <w:rsid w:val="59330ECF"/>
    <w:rsid w:val="593373ED"/>
    <w:rsid w:val="59341C6D"/>
    <w:rsid w:val="593429C5"/>
    <w:rsid w:val="59356076"/>
    <w:rsid w:val="593730A6"/>
    <w:rsid w:val="5939268C"/>
    <w:rsid w:val="59396B30"/>
    <w:rsid w:val="593B1336"/>
    <w:rsid w:val="593B28A8"/>
    <w:rsid w:val="593B747E"/>
    <w:rsid w:val="593D3EAC"/>
    <w:rsid w:val="593E3952"/>
    <w:rsid w:val="593E7CA2"/>
    <w:rsid w:val="594015B1"/>
    <w:rsid w:val="59420AF2"/>
    <w:rsid w:val="59430B4C"/>
    <w:rsid w:val="59437A20"/>
    <w:rsid w:val="59455CFA"/>
    <w:rsid w:val="594C55EE"/>
    <w:rsid w:val="594E1070"/>
    <w:rsid w:val="594F3C5E"/>
    <w:rsid w:val="595079D6"/>
    <w:rsid w:val="59521175"/>
    <w:rsid w:val="59554FEC"/>
    <w:rsid w:val="59565693"/>
    <w:rsid w:val="59575208"/>
    <w:rsid w:val="59577EF5"/>
    <w:rsid w:val="59586E18"/>
    <w:rsid w:val="59590C77"/>
    <w:rsid w:val="595A73B6"/>
    <w:rsid w:val="59633EF2"/>
    <w:rsid w:val="5964405A"/>
    <w:rsid w:val="59661F1A"/>
    <w:rsid w:val="59677C52"/>
    <w:rsid w:val="596908AC"/>
    <w:rsid w:val="596C2A61"/>
    <w:rsid w:val="596C61B0"/>
    <w:rsid w:val="596F0932"/>
    <w:rsid w:val="596F60AE"/>
    <w:rsid w:val="5970248B"/>
    <w:rsid w:val="5972012C"/>
    <w:rsid w:val="59722042"/>
    <w:rsid w:val="59722F9E"/>
    <w:rsid w:val="59747100"/>
    <w:rsid w:val="59777814"/>
    <w:rsid w:val="597869A8"/>
    <w:rsid w:val="597920CE"/>
    <w:rsid w:val="597B0EF6"/>
    <w:rsid w:val="597C07CB"/>
    <w:rsid w:val="597C2287"/>
    <w:rsid w:val="597C7196"/>
    <w:rsid w:val="597D409E"/>
    <w:rsid w:val="59802754"/>
    <w:rsid w:val="59846C66"/>
    <w:rsid w:val="598729A5"/>
    <w:rsid w:val="59874EF4"/>
    <w:rsid w:val="598A550B"/>
    <w:rsid w:val="598D0C2A"/>
    <w:rsid w:val="598F535C"/>
    <w:rsid w:val="5991071A"/>
    <w:rsid w:val="59913850"/>
    <w:rsid w:val="59936158"/>
    <w:rsid w:val="59940BC1"/>
    <w:rsid w:val="59942A23"/>
    <w:rsid w:val="59985695"/>
    <w:rsid w:val="5999137D"/>
    <w:rsid w:val="599B10B2"/>
    <w:rsid w:val="599B31A0"/>
    <w:rsid w:val="599C20C8"/>
    <w:rsid w:val="599D6C75"/>
    <w:rsid w:val="599F6BE8"/>
    <w:rsid w:val="59A0095D"/>
    <w:rsid w:val="59A14349"/>
    <w:rsid w:val="59A541C5"/>
    <w:rsid w:val="59A55F73"/>
    <w:rsid w:val="59A71CEC"/>
    <w:rsid w:val="59A96C55"/>
    <w:rsid w:val="59AC5554"/>
    <w:rsid w:val="59AC7302"/>
    <w:rsid w:val="59AE0698"/>
    <w:rsid w:val="59AF1377"/>
    <w:rsid w:val="59AF1BB1"/>
    <w:rsid w:val="59B35B6C"/>
    <w:rsid w:val="59B44408"/>
    <w:rsid w:val="59B60181"/>
    <w:rsid w:val="59B6770B"/>
    <w:rsid w:val="59B843A4"/>
    <w:rsid w:val="59BD150F"/>
    <w:rsid w:val="59BE0DE3"/>
    <w:rsid w:val="59BE6995"/>
    <w:rsid w:val="59C07EA9"/>
    <w:rsid w:val="59C115DD"/>
    <w:rsid w:val="59C11A0A"/>
    <w:rsid w:val="59C20AEA"/>
    <w:rsid w:val="59C3464B"/>
    <w:rsid w:val="59C42BCC"/>
    <w:rsid w:val="59C57F5B"/>
    <w:rsid w:val="59C74AA1"/>
    <w:rsid w:val="59C77731"/>
    <w:rsid w:val="59CA3C2C"/>
    <w:rsid w:val="59CC1752"/>
    <w:rsid w:val="59CF2FF0"/>
    <w:rsid w:val="59D16D68"/>
    <w:rsid w:val="59D3752F"/>
    <w:rsid w:val="59D6437F"/>
    <w:rsid w:val="59D71D52"/>
    <w:rsid w:val="59D81EA5"/>
    <w:rsid w:val="59D94E1E"/>
    <w:rsid w:val="59D95C1D"/>
    <w:rsid w:val="59DA5DAD"/>
    <w:rsid w:val="59DC3142"/>
    <w:rsid w:val="59DC552C"/>
    <w:rsid w:val="59DD395F"/>
    <w:rsid w:val="59DD6D77"/>
    <w:rsid w:val="59DE4FE1"/>
    <w:rsid w:val="59DF76D7"/>
    <w:rsid w:val="59E412A7"/>
    <w:rsid w:val="59E51391"/>
    <w:rsid w:val="59E87270"/>
    <w:rsid w:val="59E940B2"/>
    <w:rsid w:val="59EC1888"/>
    <w:rsid w:val="59EC3BA2"/>
    <w:rsid w:val="59ED7305"/>
    <w:rsid w:val="59EE1099"/>
    <w:rsid w:val="59EE16C8"/>
    <w:rsid w:val="59F22DF4"/>
    <w:rsid w:val="59F36CDF"/>
    <w:rsid w:val="59F708D0"/>
    <w:rsid w:val="59F760A3"/>
    <w:rsid w:val="59F91E1B"/>
    <w:rsid w:val="59FA4454"/>
    <w:rsid w:val="59FB30B7"/>
    <w:rsid w:val="59FB6C39"/>
    <w:rsid w:val="59FD6573"/>
    <w:rsid w:val="59FE7900"/>
    <w:rsid w:val="5A0031AA"/>
    <w:rsid w:val="5A01626F"/>
    <w:rsid w:val="5A020AAE"/>
    <w:rsid w:val="5A033D79"/>
    <w:rsid w:val="5A0663B8"/>
    <w:rsid w:val="5A071205"/>
    <w:rsid w:val="5A0C4453"/>
    <w:rsid w:val="5A0F6C9C"/>
    <w:rsid w:val="5A111E08"/>
    <w:rsid w:val="5A184997"/>
    <w:rsid w:val="5A1A29F0"/>
    <w:rsid w:val="5A1A3A00"/>
    <w:rsid w:val="5A1C6E0C"/>
    <w:rsid w:val="5A2055FA"/>
    <w:rsid w:val="5A237619"/>
    <w:rsid w:val="5A292701"/>
    <w:rsid w:val="5A295D82"/>
    <w:rsid w:val="5A2A2011"/>
    <w:rsid w:val="5A2B15E1"/>
    <w:rsid w:val="5A2C0443"/>
    <w:rsid w:val="5A2C35FE"/>
    <w:rsid w:val="5A2C3D5B"/>
    <w:rsid w:val="5A315128"/>
    <w:rsid w:val="5A36306F"/>
    <w:rsid w:val="5A366373"/>
    <w:rsid w:val="5A3908C4"/>
    <w:rsid w:val="5A3A2B60"/>
    <w:rsid w:val="5A3C0E47"/>
    <w:rsid w:val="5A3C143E"/>
    <w:rsid w:val="5A3C7B07"/>
    <w:rsid w:val="5A3E0190"/>
    <w:rsid w:val="5A427C66"/>
    <w:rsid w:val="5A476C6A"/>
    <w:rsid w:val="5A494F2D"/>
    <w:rsid w:val="5A4B6B1B"/>
    <w:rsid w:val="5A4D795B"/>
    <w:rsid w:val="5A500549"/>
    <w:rsid w:val="5A5530B6"/>
    <w:rsid w:val="5A5569F8"/>
    <w:rsid w:val="5A5654C0"/>
    <w:rsid w:val="5A56726E"/>
    <w:rsid w:val="5A5836E3"/>
    <w:rsid w:val="5A5A0B0C"/>
    <w:rsid w:val="5A5B1C29"/>
    <w:rsid w:val="5A5D57C3"/>
    <w:rsid w:val="5A5D6093"/>
    <w:rsid w:val="5A5F572E"/>
    <w:rsid w:val="5A5F6122"/>
    <w:rsid w:val="5A621635"/>
    <w:rsid w:val="5A626FE9"/>
    <w:rsid w:val="5A641BF0"/>
    <w:rsid w:val="5A6522CA"/>
    <w:rsid w:val="5A655703"/>
    <w:rsid w:val="5A662004"/>
    <w:rsid w:val="5A664053"/>
    <w:rsid w:val="5A672C25"/>
    <w:rsid w:val="5A6951F3"/>
    <w:rsid w:val="5A697BA0"/>
    <w:rsid w:val="5A6B0F6B"/>
    <w:rsid w:val="5A6B4B68"/>
    <w:rsid w:val="5A6E2809"/>
    <w:rsid w:val="5A6E57A8"/>
    <w:rsid w:val="5A6F369B"/>
    <w:rsid w:val="5A6F55B5"/>
    <w:rsid w:val="5A7476F4"/>
    <w:rsid w:val="5A753B98"/>
    <w:rsid w:val="5A7871E4"/>
    <w:rsid w:val="5A792890"/>
    <w:rsid w:val="5A7A4D9F"/>
    <w:rsid w:val="5A7B0A82"/>
    <w:rsid w:val="5A7B407E"/>
    <w:rsid w:val="5A7B6CD4"/>
    <w:rsid w:val="5A7E3BFB"/>
    <w:rsid w:val="5A7F4A16"/>
    <w:rsid w:val="5A8156AB"/>
    <w:rsid w:val="5A816069"/>
    <w:rsid w:val="5A8463C7"/>
    <w:rsid w:val="5A8505C4"/>
    <w:rsid w:val="5A8514DE"/>
    <w:rsid w:val="5A851901"/>
    <w:rsid w:val="5A877BF1"/>
    <w:rsid w:val="5A8818EC"/>
    <w:rsid w:val="5A8913F1"/>
    <w:rsid w:val="5A8A65B6"/>
    <w:rsid w:val="5A8E4C59"/>
    <w:rsid w:val="5A90381B"/>
    <w:rsid w:val="5A904EAA"/>
    <w:rsid w:val="5A9304C2"/>
    <w:rsid w:val="5A941E1F"/>
    <w:rsid w:val="5A94286E"/>
    <w:rsid w:val="5A944290"/>
    <w:rsid w:val="5A96049A"/>
    <w:rsid w:val="5A971D60"/>
    <w:rsid w:val="5A980B76"/>
    <w:rsid w:val="5A9866CB"/>
    <w:rsid w:val="5A9B027D"/>
    <w:rsid w:val="5A9B6BFF"/>
    <w:rsid w:val="5A9D30EE"/>
    <w:rsid w:val="5AA16C74"/>
    <w:rsid w:val="5AA205F5"/>
    <w:rsid w:val="5AA61A39"/>
    <w:rsid w:val="5AA61FA3"/>
    <w:rsid w:val="5AA77DB5"/>
    <w:rsid w:val="5AA93841"/>
    <w:rsid w:val="5AA955EF"/>
    <w:rsid w:val="5AAB4DEE"/>
    <w:rsid w:val="5AAC2B44"/>
    <w:rsid w:val="5AAD18F9"/>
    <w:rsid w:val="5AAE4404"/>
    <w:rsid w:val="5AAF29C6"/>
    <w:rsid w:val="5AB04BD0"/>
    <w:rsid w:val="5AB0697E"/>
    <w:rsid w:val="5AB07CF2"/>
    <w:rsid w:val="5AB32B59"/>
    <w:rsid w:val="5AB332E4"/>
    <w:rsid w:val="5AB559E0"/>
    <w:rsid w:val="5AB56C9A"/>
    <w:rsid w:val="5AB60729"/>
    <w:rsid w:val="5AB6080C"/>
    <w:rsid w:val="5AB67D0C"/>
    <w:rsid w:val="5AB81CD6"/>
    <w:rsid w:val="5ABA77FD"/>
    <w:rsid w:val="5ABC3B18"/>
    <w:rsid w:val="5ABE0E37"/>
    <w:rsid w:val="5AC01675"/>
    <w:rsid w:val="5AC03A24"/>
    <w:rsid w:val="5AC33B31"/>
    <w:rsid w:val="5AC40804"/>
    <w:rsid w:val="5AC5200C"/>
    <w:rsid w:val="5AC54A30"/>
    <w:rsid w:val="5ACA5920"/>
    <w:rsid w:val="5ACB7C5C"/>
    <w:rsid w:val="5ACC7530"/>
    <w:rsid w:val="5ACD5782"/>
    <w:rsid w:val="5ACE057E"/>
    <w:rsid w:val="5ACE4740"/>
    <w:rsid w:val="5AD07A60"/>
    <w:rsid w:val="5AD30EEB"/>
    <w:rsid w:val="5AD31539"/>
    <w:rsid w:val="5AD325D0"/>
    <w:rsid w:val="5AD64523"/>
    <w:rsid w:val="5AD6536A"/>
    <w:rsid w:val="5AD74B78"/>
    <w:rsid w:val="5AD86008"/>
    <w:rsid w:val="5AD86E8D"/>
    <w:rsid w:val="5ADB1DB8"/>
    <w:rsid w:val="5ADC573B"/>
    <w:rsid w:val="5ADC59C5"/>
    <w:rsid w:val="5ADC6527"/>
    <w:rsid w:val="5ADF0815"/>
    <w:rsid w:val="5AE01A21"/>
    <w:rsid w:val="5AE071D4"/>
    <w:rsid w:val="5AE127E9"/>
    <w:rsid w:val="5AE605F2"/>
    <w:rsid w:val="5AE62C25"/>
    <w:rsid w:val="5AE72210"/>
    <w:rsid w:val="5AE938DF"/>
    <w:rsid w:val="5AE96F8D"/>
    <w:rsid w:val="5AEB0305"/>
    <w:rsid w:val="5AEB3E5A"/>
    <w:rsid w:val="5AEB4D1E"/>
    <w:rsid w:val="5AEC084D"/>
    <w:rsid w:val="5AEC0A8A"/>
    <w:rsid w:val="5AED1390"/>
    <w:rsid w:val="5AED3B32"/>
    <w:rsid w:val="5AEF377A"/>
    <w:rsid w:val="5AF20429"/>
    <w:rsid w:val="5AF42587"/>
    <w:rsid w:val="5AF71DA3"/>
    <w:rsid w:val="5AF80325"/>
    <w:rsid w:val="5AF820D3"/>
    <w:rsid w:val="5AF905A1"/>
    <w:rsid w:val="5AFB639C"/>
    <w:rsid w:val="5AFD5152"/>
    <w:rsid w:val="5AFD6169"/>
    <w:rsid w:val="5AFE3B8D"/>
    <w:rsid w:val="5AFF16B3"/>
    <w:rsid w:val="5B013F5E"/>
    <w:rsid w:val="5B0414BD"/>
    <w:rsid w:val="5B0A144B"/>
    <w:rsid w:val="5B0A699D"/>
    <w:rsid w:val="5B0B6F39"/>
    <w:rsid w:val="5B0C1558"/>
    <w:rsid w:val="5B0E07D9"/>
    <w:rsid w:val="5B123195"/>
    <w:rsid w:val="5B12588A"/>
    <w:rsid w:val="5B155DE7"/>
    <w:rsid w:val="5B160A23"/>
    <w:rsid w:val="5B177049"/>
    <w:rsid w:val="5B1824D5"/>
    <w:rsid w:val="5B1909C7"/>
    <w:rsid w:val="5B1E422F"/>
    <w:rsid w:val="5B1E77CC"/>
    <w:rsid w:val="5B1F5E39"/>
    <w:rsid w:val="5B1F6081"/>
    <w:rsid w:val="5B211E08"/>
    <w:rsid w:val="5B215ACE"/>
    <w:rsid w:val="5B217F85"/>
    <w:rsid w:val="5B221869"/>
    <w:rsid w:val="5B2335F4"/>
    <w:rsid w:val="5B23729D"/>
    <w:rsid w:val="5B2513F5"/>
    <w:rsid w:val="5B2555BE"/>
    <w:rsid w:val="5B256A07"/>
    <w:rsid w:val="5B266C40"/>
    <w:rsid w:val="5B2776A0"/>
    <w:rsid w:val="5B296E1F"/>
    <w:rsid w:val="5B2A225C"/>
    <w:rsid w:val="5B2A5C9A"/>
    <w:rsid w:val="5B2C4945"/>
    <w:rsid w:val="5B2E6752"/>
    <w:rsid w:val="5B2F1F99"/>
    <w:rsid w:val="5B303F63"/>
    <w:rsid w:val="5B33101B"/>
    <w:rsid w:val="5B341533"/>
    <w:rsid w:val="5B344779"/>
    <w:rsid w:val="5B355FB3"/>
    <w:rsid w:val="5B364469"/>
    <w:rsid w:val="5B372318"/>
    <w:rsid w:val="5B38460D"/>
    <w:rsid w:val="5B3A26EB"/>
    <w:rsid w:val="5B3C3FC4"/>
    <w:rsid w:val="5B3D4155"/>
    <w:rsid w:val="5B4301F1"/>
    <w:rsid w:val="5B447358"/>
    <w:rsid w:val="5B4503EC"/>
    <w:rsid w:val="5B455322"/>
    <w:rsid w:val="5B456F23"/>
    <w:rsid w:val="5B48305A"/>
    <w:rsid w:val="5B490C9B"/>
    <w:rsid w:val="5B4A3759"/>
    <w:rsid w:val="5B4A7FC8"/>
    <w:rsid w:val="5B5029F3"/>
    <w:rsid w:val="5B505186"/>
    <w:rsid w:val="5B506217"/>
    <w:rsid w:val="5B51362C"/>
    <w:rsid w:val="5B5163B3"/>
    <w:rsid w:val="5B55492E"/>
    <w:rsid w:val="5B555777"/>
    <w:rsid w:val="5B566FB1"/>
    <w:rsid w:val="5B57329D"/>
    <w:rsid w:val="5B5804D5"/>
    <w:rsid w:val="5B583A26"/>
    <w:rsid w:val="5B590DB7"/>
    <w:rsid w:val="5B590DC3"/>
    <w:rsid w:val="5B5A4B3C"/>
    <w:rsid w:val="5B5B40E9"/>
    <w:rsid w:val="5B5D1941"/>
    <w:rsid w:val="5B5E7496"/>
    <w:rsid w:val="5B622CBA"/>
    <w:rsid w:val="5B6433F6"/>
    <w:rsid w:val="5B647768"/>
    <w:rsid w:val="5B682278"/>
    <w:rsid w:val="5B686CE2"/>
    <w:rsid w:val="5B6C5663"/>
    <w:rsid w:val="5B6E4A34"/>
    <w:rsid w:val="5B6F4A8B"/>
    <w:rsid w:val="5B7008B1"/>
    <w:rsid w:val="5B701E5A"/>
    <w:rsid w:val="5B704E3A"/>
    <w:rsid w:val="5B716236"/>
    <w:rsid w:val="5B722965"/>
    <w:rsid w:val="5B745BFD"/>
    <w:rsid w:val="5B754AEF"/>
    <w:rsid w:val="5B767BC7"/>
    <w:rsid w:val="5B767FCF"/>
    <w:rsid w:val="5B780D3A"/>
    <w:rsid w:val="5B7867D7"/>
    <w:rsid w:val="5B7A0965"/>
    <w:rsid w:val="5B7C0F56"/>
    <w:rsid w:val="5B7D1150"/>
    <w:rsid w:val="5B7F5150"/>
    <w:rsid w:val="5B8027F4"/>
    <w:rsid w:val="5B8147BE"/>
    <w:rsid w:val="5B815DAE"/>
    <w:rsid w:val="5B81656C"/>
    <w:rsid w:val="5B835E40"/>
    <w:rsid w:val="5B8449DB"/>
    <w:rsid w:val="5B885B4D"/>
    <w:rsid w:val="5B89006B"/>
    <w:rsid w:val="5B892AAC"/>
    <w:rsid w:val="5B8A3673"/>
    <w:rsid w:val="5B8A6F39"/>
    <w:rsid w:val="5B8C62B2"/>
    <w:rsid w:val="5B8D6CBF"/>
    <w:rsid w:val="5B8E39E8"/>
    <w:rsid w:val="5B904C74"/>
    <w:rsid w:val="5B920779"/>
    <w:rsid w:val="5B926D8C"/>
    <w:rsid w:val="5B934DDF"/>
    <w:rsid w:val="5B94029F"/>
    <w:rsid w:val="5B955B74"/>
    <w:rsid w:val="5B96304E"/>
    <w:rsid w:val="5B96396F"/>
    <w:rsid w:val="5B977B3E"/>
    <w:rsid w:val="5B98317F"/>
    <w:rsid w:val="5B986E2C"/>
    <w:rsid w:val="5B9B1B49"/>
    <w:rsid w:val="5B9B48BC"/>
    <w:rsid w:val="5B9C33A6"/>
    <w:rsid w:val="5BA37B4A"/>
    <w:rsid w:val="5BAA7871"/>
    <w:rsid w:val="5BAC7F2D"/>
    <w:rsid w:val="5BAD55B3"/>
    <w:rsid w:val="5BAF59CC"/>
    <w:rsid w:val="5BB07E17"/>
    <w:rsid w:val="5BB14D3E"/>
    <w:rsid w:val="5BB15C09"/>
    <w:rsid w:val="5BB2037E"/>
    <w:rsid w:val="5BB701E0"/>
    <w:rsid w:val="5BB71F8E"/>
    <w:rsid w:val="5BB73D3C"/>
    <w:rsid w:val="5BB83D6D"/>
    <w:rsid w:val="5BB92529"/>
    <w:rsid w:val="5BB97AB4"/>
    <w:rsid w:val="5BBA361B"/>
    <w:rsid w:val="5BBA3939"/>
    <w:rsid w:val="5BBA55DA"/>
    <w:rsid w:val="5BBC1352"/>
    <w:rsid w:val="5BBC27DD"/>
    <w:rsid w:val="5BBD4260"/>
    <w:rsid w:val="5BBE331C"/>
    <w:rsid w:val="5BBF488A"/>
    <w:rsid w:val="5BC10B74"/>
    <w:rsid w:val="5BC343D3"/>
    <w:rsid w:val="5BC47241"/>
    <w:rsid w:val="5BC85F49"/>
    <w:rsid w:val="5BCB77E7"/>
    <w:rsid w:val="5BCC08D1"/>
    <w:rsid w:val="5BCF1957"/>
    <w:rsid w:val="5BCF3811"/>
    <w:rsid w:val="5BCF72D8"/>
    <w:rsid w:val="5BD112A2"/>
    <w:rsid w:val="5BD20B76"/>
    <w:rsid w:val="5BD551C0"/>
    <w:rsid w:val="5BD7618C"/>
    <w:rsid w:val="5BD76B7C"/>
    <w:rsid w:val="5BD81C6B"/>
    <w:rsid w:val="5BD91F04"/>
    <w:rsid w:val="5BDA4A35"/>
    <w:rsid w:val="5BDB3ECE"/>
    <w:rsid w:val="5BDB7A2A"/>
    <w:rsid w:val="5BDF4CD3"/>
    <w:rsid w:val="5BDF5B06"/>
    <w:rsid w:val="5BE46972"/>
    <w:rsid w:val="5BE56AFB"/>
    <w:rsid w:val="5BE63D34"/>
    <w:rsid w:val="5BE82147"/>
    <w:rsid w:val="5BE83265"/>
    <w:rsid w:val="5BEA5EBF"/>
    <w:rsid w:val="5BEB32CF"/>
    <w:rsid w:val="5BEC1C38"/>
    <w:rsid w:val="5BEC7E8A"/>
    <w:rsid w:val="5BEE0BAB"/>
    <w:rsid w:val="5BEF1728"/>
    <w:rsid w:val="5BF277E2"/>
    <w:rsid w:val="5BF30B80"/>
    <w:rsid w:val="5BF534D1"/>
    <w:rsid w:val="5BF705DC"/>
    <w:rsid w:val="5BF8682E"/>
    <w:rsid w:val="5BFB2BA2"/>
    <w:rsid w:val="5BFB3FFB"/>
    <w:rsid w:val="5BFC4D42"/>
    <w:rsid w:val="5BFC5BF3"/>
    <w:rsid w:val="5BFE7BBD"/>
    <w:rsid w:val="5BFF66F4"/>
    <w:rsid w:val="5C006935"/>
    <w:rsid w:val="5C014F06"/>
    <w:rsid w:val="5C0304F7"/>
    <w:rsid w:val="5C037EDF"/>
    <w:rsid w:val="5C050B30"/>
    <w:rsid w:val="5C05458F"/>
    <w:rsid w:val="5C061363"/>
    <w:rsid w:val="5C087A2F"/>
    <w:rsid w:val="5C093B32"/>
    <w:rsid w:val="5C0A47B4"/>
    <w:rsid w:val="5C0C22DA"/>
    <w:rsid w:val="5C0C4088"/>
    <w:rsid w:val="5C0D239D"/>
    <w:rsid w:val="5C0D7E00"/>
    <w:rsid w:val="5C0F06B0"/>
    <w:rsid w:val="5C105C43"/>
    <w:rsid w:val="5C1100E2"/>
    <w:rsid w:val="5C1113E4"/>
    <w:rsid w:val="5C124D16"/>
    <w:rsid w:val="5C137734"/>
    <w:rsid w:val="5C140F65"/>
    <w:rsid w:val="5C142F3C"/>
    <w:rsid w:val="5C1473E0"/>
    <w:rsid w:val="5C184182"/>
    <w:rsid w:val="5C1856F3"/>
    <w:rsid w:val="5C1B7B96"/>
    <w:rsid w:val="5C1D5175"/>
    <w:rsid w:val="5C1F025F"/>
    <w:rsid w:val="5C1F4E24"/>
    <w:rsid w:val="5C207B33"/>
    <w:rsid w:val="5C230695"/>
    <w:rsid w:val="5C24165F"/>
    <w:rsid w:val="5C241F42"/>
    <w:rsid w:val="5C2515ED"/>
    <w:rsid w:val="5C25339C"/>
    <w:rsid w:val="5C253AD6"/>
    <w:rsid w:val="5C271FFE"/>
    <w:rsid w:val="5C272C70"/>
    <w:rsid w:val="5C274226"/>
    <w:rsid w:val="5C290B14"/>
    <w:rsid w:val="5C2B2C99"/>
    <w:rsid w:val="5C2D3FFE"/>
    <w:rsid w:val="5C317F92"/>
    <w:rsid w:val="5C341831"/>
    <w:rsid w:val="5C367357"/>
    <w:rsid w:val="5C36795D"/>
    <w:rsid w:val="5C37252E"/>
    <w:rsid w:val="5C372DC5"/>
    <w:rsid w:val="5C3929A3"/>
    <w:rsid w:val="5C3A1AC1"/>
    <w:rsid w:val="5C3A6E47"/>
    <w:rsid w:val="5C3B2BBF"/>
    <w:rsid w:val="5C3C3CB7"/>
    <w:rsid w:val="5C3D386F"/>
    <w:rsid w:val="5C3D6937"/>
    <w:rsid w:val="5C3E620B"/>
    <w:rsid w:val="5C4001D5"/>
    <w:rsid w:val="5C403D31"/>
    <w:rsid w:val="5C436D45"/>
    <w:rsid w:val="5C4557EC"/>
    <w:rsid w:val="5C463473"/>
    <w:rsid w:val="5C49708A"/>
    <w:rsid w:val="5C4A7D1B"/>
    <w:rsid w:val="5C4D7764"/>
    <w:rsid w:val="5C4E1DEB"/>
    <w:rsid w:val="5C515F3F"/>
    <w:rsid w:val="5C522492"/>
    <w:rsid w:val="5C524459"/>
    <w:rsid w:val="5C531CB7"/>
    <w:rsid w:val="5C541300"/>
    <w:rsid w:val="5C550B80"/>
    <w:rsid w:val="5C567AF7"/>
    <w:rsid w:val="5C59743F"/>
    <w:rsid w:val="5C5A42B9"/>
    <w:rsid w:val="5C5B500F"/>
    <w:rsid w:val="5C5E240A"/>
    <w:rsid w:val="5C6217FE"/>
    <w:rsid w:val="5C637CF8"/>
    <w:rsid w:val="5C653798"/>
    <w:rsid w:val="5C69772C"/>
    <w:rsid w:val="5C6A2B7D"/>
    <w:rsid w:val="5C6C2D78"/>
    <w:rsid w:val="5C6C4B26"/>
    <w:rsid w:val="5C6E089F"/>
    <w:rsid w:val="5C7047B8"/>
    <w:rsid w:val="5C71038F"/>
    <w:rsid w:val="5C726720"/>
    <w:rsid w:val="5C735EB5"/>
    <w:rsid w:val="5C741C2D"/>
    <w:rsid w:val="5C7560D1"/>
    <w:rsid w:val="5C78171D"/>
    <w:rsid w:val="5C7878F3"/>
    <w:rsid w:val="5C790492"/>
    <w:rsid w:val="5C797243"/>
    <w:rsid w:val="5C7C44A3"/>
    <w:rsid w:val="5C7D4F86"/>
    <w:rsid w:val="5C7D6D34"/>
    <w:rsid w:val="5C806824"/>
    <w:rsid w:val="5C8271B2"/>
    <w:rsid w:val="5C845D0F"/>
    <w:rsid w:val="5C8603CD"/>
    <w:rsid w:val="5C8720C4"/>
    <w:rsid w:val="5C881635"/>
    <w:rsid w:val="5C891B7C"/>
    <w:rsid w:val="5C892AB7"/>
    <w:rsid w:val="5C8A1451"/>
    <w:rsid w:val="5C8B6750"/>
    <w:rsid w:val="5C8B76A2"/>
    <w:rsid w:val="5C8F2AD0"/>
    <w:rsid w:val="5C901CA9"/>
    <w:rsid w:val="5C904CB9"/>
    <w:rsid w:val="5C9347A9"/>
    <w:rsid w:val="5C950521"/>
    <w:rsid w:val="5C967DF5"/>
    <w:rsid w:val="5C98591B"/>
    <w:rsid w:val="5C996B4E"/>
    <w:rsid w:val="5C9A65B6"/>
    <w:rsid w:val="5C9B540C"/>
    <w:rsid w:val="5C9D1184"/>
    <w:rsid w:val="5C9D4EC4"/>
    <w:rsid w:val="5C9F3FFC"/>
    <w:rsid w:val="5CA0005D"/>
    <w:rsid w:val="5CA0213A"/>
    <w:rsid w:val="5CA02A22"/>
    <w:rsid w:val="5CA22C3E"/>
    <w:rsid w:val="5CA249EC"/>
    <w:rsid w:val="5CA47E6E"/>
    <w:rsid w:val="5CA5200E"/>
    <w:rsid w:val="5CA72002"/>
    <w:rsid w:val="5CA72FCA"/>
    <w:rsid w:val="5CA8133F"/>
    <w:rsid w:val="5CA82B63"/>
    <w:rsid w:val="5CAB2B15"/>
    <w:rsid w:val="5CAB38A1"/>
    <w:rsid w:val="5CAB4ECB"/>
    <w:rsid w:val="5CAC0E8B"/>
    <w:rsid w:val="5CAC13C7"/>
    <w:rsid w:val="5CAD148C"/>
    <w:rsid w:val="5CAD17D7"/>
    <w:rsid w:val="5CAD6A59"/>
    <w:rsid w:val="5CB5230B"/>
    <w:rsid w:val="5CB618C9"/>
    <w:rsid w:val="5CB656BF"/>
    <w:rsid w:val="5CB9064C"/>
    <w:rsid w:val="5CBE001F"/>
    <w:rsid w:val="5CC20BEA"/>
    <w:rsid w:val="5CC42BB4"/>
    <w:rsid w:val="5CC44FF2"/>
    <w:rsid w:val="5CC8340F"/>
    <w:rsid w:val="5CC901CB"/>
    <w:rsid w:val="5CC93E70"/>
    <w:rsid w:val="5CCA0FB2"/>
    <w:rsid w:val="5CCB3F43"/>
    <w:rsid w:val="5CCB7A9F"/>
    <w:rsid w:val="5CCD3AF5"/>
    <w:rsid w:val="5CCD5F20"/>
    <w:rsid w:val="5CCE57E1"/>
    <w:rsid w:val="5CD03307"/>
    <w:rsid w:val="5CD2613E"/>
    <w:rsid w:val="5CD32DF8"/>
    <w:rsid w:val="5CD438B6"/>
    <w:rsid w:val="5CD43EAD"/>
    <w:rsid w:val="5CDC3F9E"/>
    <w:rsid w:val="5CE04CB5"/>
    <w:rsid w:val="5CE12F88"/>
    <w:rsid w:val="5CE172C2"/>
    <w:rsid w:val="5CE45360"/>
    <w:rsid w:val="5CE463B7"/>
    <w:rsid w:val="5CE46DB3"/>
    <w:rsid w:val="5CE56731"/>
    <w:rsid w:val="5CE60D7D"/>
    <w:rsid w:val="5CE61362"/>
    <w:rsid w:val="5CE82CD2"/>
    <w:rsid w:val="5CE9292E"/>
    <w:rsid w:val="5CE96177"/>
    <w:rsid w:val="5CEB2603"/>
    <w:rsid w:val="5CED210B"/>
    <w:rsid w:val="5CEE509B"/>
    <w:rsid w:val="5CF35602"/>
    <w:rsid w:val="5CF60894"/>
    <w:rsid w:val="5CF85D94"/>
    <w:rsid w:val="5CF9234B"/>
    <w:rsid w:val="5CFC0F0E"/>
    <w:rsid w:val="5CFF4DBD"/>
    <w:rsid w:val="5D003399"/>
    <w:rsid w:val="5D025A9F"/>
    <w:rsid w:val="5D041203"/>
    <w:rsid w:val="5D044F2F"/>
    <w:rsid w:val="5D057039"/>
    <w:rsid w:val="5D0571F8"/>
    <w:rsid w:val="5D064F7B"/>
    <w:rsid w:val="5D080CF3"/>
    <w:rsid w:val="5D0923AE"/>
    <w:rsid w:val="5D095648"/>
    <w:rsid w:val="5D0B79FD"/>
    <w:rsid w:val="5D0D6309"/>
    <w:rsid w:val="5D0E5B3A"/>
    <w:rsid w:val="5D105314"/>
    <w:rsid w:val="5D110251"/>
    <w:rsid w:val="5D123920"/>
    <w:rsid w:val="5D131446"/>
    <w:rsid w:val="5D144416"/>
    <w:rsid w:val="5D152577"/>
    <w:rsid w:val="5D171099"/>
    <w:rsid w:val="5D1941F1"/>
    <w:rsid w:val="5D194ADC"/>
    <w:rsid w:val="5D1976FB"/>
    <w:rsid w:val="5D1C1511"/>
    <w:rsid w:val="5D1C64FA"/>
    <w:rsid w:val="5D1D56C4"/>
    <w:rsid w:val="5D1F428F"/>
    <w:rsid w:val="5D1F6470"/>
    <w:rsid w:val="5D217368"/>
    <w:rsid w:val="5D223383"/>
    <w:rsid w:val="5D235E58"/>
    <w:rsid w:val="5D236733"/>
    <w:rsid w:val="5D251732"/>
    <w:rsid w:val="5D266901"/>
    <w:rsid w:val="5D274799"/>
    <w:rsid w:val="5D276C9F"/>
    <w:rsid w:val="5D2A3A35"/>
    <w:rsid w:val="5D2B1F84"/>
    <w:rsid w:val="5D2C3456"/>
    <w:rsid w:val="5D2C4558"/>
    <w:rsid w:val="5D301FF8"/>
    <w:rsid w:val="5D304620"/>
    <w:rsid w:val="5D322D44"/>
    <w:rsid w:val="5D335644"/>
    <w:rsid w:val="5D340902"/>
    <w:rsid w:val="5D356ACD"/>
    <w:rsid w:val="5D395350"/>
    <w:rsid w:val="5D39559B"/>
    <w:rsid w:val="5D3A2C72"/>
    <w:rsid w:val="5D3D6D9F"/>
    <w:rsid w:val="5D405402"/>
    <w:rsid w:val="5D413CF7"/>
    <w:rsid w:val="5D445AA3"/>
    <w:rsid w:val="5D445E0F"/>
    <w:rsid w:val="5D467A6D"/>
    <w:rsid w:val="5D4806FF"/>
    <w:rsid w:val="5D4B5EB1"/>
    <w:rsid w:val="5D4C4A47"/>
    <w:rsid w:val="5D4D2BAA"/>
    <w:rsid w:val="5D503F20"/>
    <w:rsid w:val="5D5366E7"/>
    <w:rsid w:val="5D577585"/>
    <w:rsid w:val="5D5E175A"/>
    <w:rsid w:val="5D5E5B05"/>
    <w:rsid w:val="5D5F3503"/>
    <w:rsid w:val="5D63417B"/>
    <w:rsid w:val="5D635F29"/>
    <w:rsid w:val="5D656145"/>
    <w:rsid w:val="5D657ABD"/>
    <w:rsid w:val="5D6739D7"/>
    <w:rsid w:val="5D6879E4"/>
    <w:rsid w:val="5D6D4F93"/>
    <w:rsid w:val="5D6E4AE7"/>
    <w:rsid w:val="5D6F0D72"/>
    <w:rsid w:val="5D704AEA"/>
    <w:rsid w:val="5D723881"/>
    <w:rsid w:val="5D7258F9"/>
    <w:rsid w:val="5D752101"/>
    <w:rsid w:val="5D773808"/>
    <w:rsid w:val="5D787D80"/>
    <w:rsid w:val="5D7C6FEB"/>
    <w:rsid w:val="5D804126"/>
    <w:rsid w:val="5D8205DF"/>
    <w:rsid w:val="5D821133"/>
    <w:rsid w:val="5D862436"/>
    <w:rsid w:val="5D87118C"/>
    <w:rsid w:val="5D8774BB"/>
    <w:rsid w:val="5D8D11F8"/>
    <w:rsid w:val="5D8D2FA6"/>
    <w:rsid w:val="5D8F2E94"/>
    <w:rsid w:val="5D916F3A"/>
    <w:rsid w:val="5D9205BD"/>
    <w:rsid w:val="5D9341D8"/>
    <w:rsid w:val="5D953794"/>
    <w:rsid w:val="5D9558F0"/>
    <w:rsid w:val="5D983CCE"/>
    <w:rsid w:val="5D995DEF"/>
    <w:rsid w:val="5D9C58DF"/>
    <w:rsid w:val="5D9F2CDA"/>
    <w:rsid w:val="5D9F7366"/>
    <w:rsid w:val="5DA052A8"/>
    <w:rsid w:val="5DA271A0"/>
    <w:rsid w:val="5DA327CA"/>
    <w:rsid w:val="5DA3288A"/>
    <w:rsid w:val="5DA33DE2"/>
    <w:rsid w:val="5DA4554F"/>
    <w:rsid w:val="5DA51C52"/>
    <w:rsid w:val="5DA7514F"/>
    <w:rsid w:val="5DA77C7B"/>
    <w:rsid w:val="5DA82B11"/>
    <w:rsid w:val="5DAF73C1"/>
    <w:rsid w:val="5DB03139"/>
    <w:rsid w:val="5DB04615"/>
    <w:rsid w:val="5DB30D5B"/>
    <w:rsid w:val="5DBC17B5"/>
    <w:rsid w:val="5DBC3FD2"/>
    <w:rsid w:val="5DBE5681"/>
    <w:rsid w:val="5DC015CE"/>
    <w:rsid w:val="5DC10EA2"/>
    <w:rsid w:val="5DC145E1"/>
    <w:rsid w:val="5DC57793"/>
    <w:rsid w:val="5DC8059A"/>
    <w:rsid w:val="5DC93E21"/>
    <w:rsid w:val="5DC95797"/>
    <w:rsid w:val="5DCB3ACF"/>
    <w:rsid w:val="5DCC0909"/>
    <w:rsid w:val="5DCE2481"/>
    <w:rsid w:val="5DD24E5D"/>
    <w:rsid w:val="5DD25566"/>
    <w:rsid w:val="5DD46E27"/>
    <w:rsid w:val="5DD55129"/>
    <w:rsid w:val="5DD813D8"/>
    <w:rsid w:val="5DDA77FD"/>
    <w:rsid w:val="5DDD723D"/>
    <w:rsid w:val="5DDE1117"/>
    <w:rsid w:val="5DDF68CC"/>
    <w:rsid w:val="5DE03A1E"/>
    <w:rsid w:val="5DE060D1"/>
    <w:rsid w:val="5DE16789"/>
    <w:rsid w:val="5DE23467"/>
    <w:rsid w:val="5DE364EB"/>
    <w:rsid w:val="5DE4367E"/>
    <w:rsid w:val="5DE51E64"/>
    <w:rsid w:val="5DE53983"/>
    <w:rsid w:val="5DE66B5A"/>
    <w:rsid w:val="5DE77F99"/>
    <w:rsid w:val="5DE95C94"/>
    <w:rsid w:val="5DEB4C7D"/>
    <w:rsid w:val="5DEB5F1F"/>
    <w:rsid w:val="5DED1C97"/>
    <w:rsid w:val="5DF433C4"/>
    <w:rsid w:val="5DF72B16"/>
    <w:rsid w:val="5DF91EC2"/>
    <w:rsid w:val="5DFB43B4"/>
    <w:rsid w:val="5DFB4772"/>
    <w:rsid w:val="5DFF56C3"/>
    <w:rsid w:val="5DFF6B0F"/>
    <w:rsid w:val="5E00162F"/>
    <w:rsid w:val="5E0027C9"/>
    <w:rsid w:val="5E005E6E"/>
    <w:rsid w:val="5E075446"/>
    <w:rsid w:val="5E091947"/>
    <w:rsid w:val="5E0A7399"/>
    <w:rsid w:val="5E0B036F"/>
    <w:rsid w:val="5E0B3621"/>
    <w:rsid w:val="5E0B56AD"/>
    <w:rsid w:val="5E0C1675"/>
    <w:rsid w:val="5E113BD7"/>
    <w:rsid w:val="5E152B00"/>
    <w:rsid w:val="5E156F48"/>
    <w:rsid w:val="5E166C1F"/>
    <w:rsid w:val="5E1824AD"/>
    <w:rsid w:val="5E1B0500"/>
    <w:rsid w:val="5E1D07CE"/>
    <w:rsid w:val="5E1D56B9"/>
    <w:rsid w:val="5E1D791E"/>
    <w:rsid w:val="5E24744E"/>
    <w:rsid w:val="5E251B51"/>
    <w:rsid w:val="5E257683"/>
    <w:rsid w:val="5E262201"/>
    <w:rsid w:val="5E2804CA"/>
    <w:rsid w:val="5E2A2EEB"/>
    <w:rsid w:val="5E2A6A47"/>
    <w:rsid w:val="5E2C0A11"/>
    <w:rsid w:val="5E2D6537"/>
    <w:rsid w:val="5E2E29DB"/>
    <w:rsid w:val="5E2F0501"/>
    <w:rsid w:val="5E313C04"/>
    <w:rsid w:val="5E31427A"/>
    <w:rsid w:val="5E335C4E"/>
    <w:rsid w:val="5E36283F"/>
    <w:rsid w:val="5E367DBD"/>
    <w:rsid w:val="5E381A8A"/>
    <w:rsid w:val="5E384714"/>
    <w:rsid w:val="5E3B6EA6"/>
    <w:rsid w:val="5E3C43B8"/>
    <w:rsid w:val="5E3C62A0"/>
    <w:rsid w:val="5E3D626E"/>
    <w:rsid w:val="5E4044BD"/>
    <w:rsid w:val="5E435D5B"/>
    <w:rsid w:val="5E451AD3"/>
    <w:rsid w:val="5E463095"/>
    <w:rsid w:val="5E463E3C"/>
    <w:rsid w:val="5E472D79"/>
    <w:rsid w:val="5E48353D"/>
    <w:rsid w:val="5E48499C"/>
    <w:rsid w:val="5E4C1CAB"/>
    <w:rsid w:val="5E501E54"/>
    <w:rsid w:val="5E510478"/>
    <w:rsid w:val="5E51599C"/>
    <w:rsid w:val="5E5169FC"/>
    <w:rsid w:val="5E51769D"/>
    <w:rsid w:val="5E540219"/>
    <w:rsid w:val="5E5463B1"/>
    <w:rsid w:val="5E55475D"/>
    <w:rsid w:val="5E565A8E"/>
    <w:rsid w:val="5E577C9D"/>
    <w:rsid w:val="5E5940C3"/>
    <w:rsid w:val="5E5A37D0"/>
    <w:rsid w:val="5E5C28B0"/>
    <w:rsid w:val="5E5D3B0F"/>
    <w:rsid w:val="5E5E7D91"/>
    <w:rsid w:val="5E60643B"/>
    <w:rsid w:val="5E622685"/>
    <w:rsid w:val="5E636240"/>
    <w:rsid w:val="5E65273E"/>
    <w:rsid w:val="5E65287A"/>
    <w:rsid w:val="5E681499"/>
    <w:rsid w:val="5E6A0ACA"/>
    <w:rsid w:val="5E6E102A"/>
    <w:rsid w:val="5E6E2E17"/>
    <w:rsid w:val="5E6F62EA"/>
    <w:rsid w:val="5E711380"/>
    <w:rsid w:val="5E716CD3"/>
    <w:rsid w:val="5E7176D0"/>
    <w:rsid w:val="5E732D3F"/>
    <w:rsid w:val="5E735312"/>
    <w:rsid w:val="5E756369"/>
    <w:rsid w:val="5E766345"/>
    <w:rsid w:val="5E7E44A8"/>
    <w:rsid w:val="5E7E6D93"/>
    <w:rsid w:val="5E810E56"/>
    <w:rsid w:val="5E812C2B"/>
    <w:rsid w:val="5E8641AB"/>
    <w:rsid w:val="5E8B5C2C"/>
    <w:rsid w:val="5E8C14B0"/>
    <w:rsid w:val="5E8E347A"/>
    <w:rsid w:val="5E8E502C"/>
    <w:rsid w:val="5E912ACB"/>
    <w:rsid w:val="5E93283E"/>
    <w:rsid w:val="5E9345EC"/>
    <w:rsid w:val="5E940365"/>
    <w:rsid w:val="5E952452"/>
    <w:rsid w:val="5E9640DD"/>
    <w:rsid w:val="5E97694D"/>
    <w:rsid w:val="5E9860A7"/>
    <w:rsid w:val="5E99597B"/>
    <w:rsid w:val="5E9D4119"/>
    <w:rsid w:val="5E9F0293"/>
    <w:rsid w:val="5E9F7435"/>
    <w:rsid w:val="5E9F778E"/>
    <w:rsid w:val="5EA26FBB"/>
    <w:rsid w:val="5EA42C9D"/>
    <w:rsid w:val="5EA42CFB"/>
    <w:rsid w:val="5EA902B4"/>
    <w:rsid w:val="5EAA582E"/>
    <w:rsid w:val="5EAA7B88"/>
    <w:rsid w:val="5EAB124C"/>
    <w:rsid w:val="5EAB402C"/>
    <w:rsid w:val="5EB72BF2"/>
    <w:rsid w:val="5EB82DE4"/>
    <w:rsid w:val="5EBB1D95"/>
    <w:rsid w:val="5EBD1736"/>
    <w:rsid w:val="5EBD3D5F"/>
    <w:rsid w:val="5EC24ED2"/>
    <w:rsid w:val="5EC46E9C"/>
    <w:rsid w:val="5EC64EAF"/>
    <w:rsid w:val="5EC7446D"/>
    <w:rsid w:val="5EC74623"/>
    <w:rsid w:val="5EC77192"/>
    <w:rsid w:val="5EC96260"/>
    <w:rsid w:val="5ECB647C"/>
    <w:rsid w:val="5ECC3D6F"/>
    <w:rsid w:val="5ECC7E12"/>
    <w:rsid w:val="5ECE4AE4"/>
    <w:rsid w:val="5ED05841"/>
    <w:rsid w:val="5ED15F8B"/>
    <w:rsid w:val="5ED56729"/>
    <w:rsid w:val="5ED6341F"/>
    <w:rsid w:val="5ED66053"/>
    <w:rsid w:val="5ED777FC"/>
    <w:rsid w:val="5ED859DA"/>
    <w:rsid w:val="5ED864A3"/>
    <w:rsid w:val="5EDB3860"/>
    <w:rsid w:val="5EDE6A7D"/>
    <w:rsid w:val="5EE4753E"/>
    <w:rsid w:val="5EE71443"/>
    <w:rsid w:val="5EE762DD"/>
    <w:rsid w:val="5EE96902"/>
    <w:rsid w:val="5EEA61D6"/>
    <w:rsid w:val="5EEB1BCA"/>
    <w:rsid w:val="5EEB1EDC"/>
    <w:rsid w:val="5EEC1474"/>
    <w:rsid w:val="5EEE7857"/>
    <w:rsid w:val="5EF157B7"/>
    <w:rsid w:val="5EF15D3B"/>
    <w:rsid w:val="5EF35F3A"/>
    <w:rsid w:val="5EF534F9"/>
    <w:rsid w:val="5EF70423"/>
    <w:rsid w:val="5EF808F3"/>
    <w:rsid w:val="5EF86946"/>
    <w:rsid w:val="5EF86B45"/>
    <w:rsid w:val="5EF944CD"/>
    <w:rsid w:val="5EFA466C"/>
    <w:rsid w:val="5EFC4888"/>
    <w:rsid w:val="5EFD23AE"/>
    <w:rsid w:val="5F020973"/>
    <w:rsid w:val="5F025706"/>
    <w:rsid w:val="5F0C558A"/>
    <w:rsid w:val="5F100333"/>
    <w:rsid w:val="5F101CD0"/>
    <w:rsid w:val="5F1020E1"/>
    <w:rsid w:val="5F103142"/>
    <w:rsid w:val="5F117C07"/>
    <w:rsid w:val="5F131BD1"/>
    <w:rsid w:val="5F1514A5"/>
    <w:rsid w:val="5F166FCB"/>
    <w:rsid w:val="5F17346F"/>
    <w:rsid w:val="5F1A2F60"/>
    <w:rsid w:val="5F1A7422"/>
    <w:rsid w:val="5F1C0A86"/>
    <w:rsid w:val="5F1C2437"/>
    <w:rsid w:val="5F230204"/>
    <w:rsid w:val="5F24616B"/>
    <w:rsid w:val="5F2500D8"/>
    <w:rsid w:val="5F2A00A0"/>
    <w:rsid w:val="5F2A7A80"/>
    <w:rsid w:val="5F2B096A"/>
    <w:rsid w:val="5F2B1391"/>
    <w:rsid w:val="5F2C67EF"/>
    <w:rsid w:val="5F2D36F5"/>
    <w:rsid w:val="5F2E3793"/>
    <w:rsid w:val="5F2F0C99"/>
    <w:rsid w:val="5F313E05"/>
    <w:rsid w:val="5F315C20"/>
    <w:rsid w:val="5F331237"/>
    <w:rsid w:val="5F334021"/>
    <w:rsid w:val="5F3348B1"/>
    <w:rsid w:val="5F363573"/>
    <w:rsid w:val="5F382280"/>
    <w:rsid w:val="5F3955D4"/>
    <w:rsid w:val="5F3B2596"/>
    <w:rsid w:val="5F3C2ED6"/>
    <w:rsid w:val="5F3F0531"/>
    <w:rsid w:val="5F406C03"/>
    <w:rsid w:val="5F4104EC"/>
    <w:rsid w:val="5F41673E"/>
    <w:rsid w:val="5F4203D3"/>
    <w:rsid w:val="5F42525F"/>
    <w:rsid w:val="5F445496"/>
    <w:rsid w:val="5F452AD3"/>
    <w:rsid w:val="5F465762"/>
    <w:rsid w:val="5F472C2C"/>
    <w:rsid w:val="5F485F1A"/>
    <w:rsid w:val="5F49114F"/>
    <w:rsid w:val="5F491504"/>
    <w:rsid w:val="5F4B1C8E"/>
    <w:rsid w:val="5F4D1ED8"/>
    <w:rsid w:val="5F4E26F5"/>
    <w:rsid w:val="5F4E6765"/>
    <w:rsid w:val="5F4F0E5B"/>
    <w:rsid w:val="5F4F40BE"/>
    <w:rsid w:val="5F4F6A72"/>
    <w:rsid w:val="5F50072F"/>
    <w:rsid w:val="5F534732"/>
    <w:rsid w:val="5F542102"/>
    <w:rsid w:val="5F5606F5"/>
    <w:rsid w:val="5F57386C"/>
    <w:rsid w:val="5F581BC0"/>
    <w:rsid w:val="5F5C0E82"/>
    <w:rsid w:val="5F5E109E"/>
    <w:rsid w:val="5F5F5BA9"/>
    <w:rsid w:val="5F622211"/>
    <w:rsid w:val="5F622F73"/>
    <w:rsid w:val="5F6244B3"/>
    <w:rsid w:val="5F6305A6"/>
    <w:rsid w:val="5F6366B5"/>
    <w:rsid w:val="5F6465CB"/>
    <w:rsid w:val="5F6474EC"/>
    <w:rsid w:val="5F673415"/>
    <w:rsid w:val="5F684F91"/>
    <w:rsid w:val="5F69359F"/>
    <w:rsid w:val="5F6B071D"/>
    <w:rsid w:val="5F6D12E1"/>
    <w:rsid w:val="5F70492E"/>
    <w:rsid w:val="5F710167"/>
    <w:rsid w:val="5F723B00"/>
    <w:rsid w:val="5F73441E"/>
    <w:rsid w:val="5F752DD2"/>
    <w:rsid w:val="5F775CBC"/>
    <w:rsid w:val="5F781A34"/>
    <w:rsid w:val="5F7A57AC"/>
    <w:rsid w:val="5F7B135D"/>
    <w:rsid w:val="5F7C6431"/>
    <w:rsid w:val="5F7C7776"/>
    <w:rsid w:val="5F7D057F"/>
    <w:rsid w:val="5F7D4B47"/>
    <w:rsid w:val="5F7E69B2"/>
    <w:rsid w:val="5F7F1523"/>
    <w:rsid w:val="5F8108E9"/>
    <w:rsid w:val="5F826594"/>
    <w:rsid w:val="5F840C68"/>
    <w:rsid w:val="5F846397"/>
    <w:rsid w:val="5F851089"/>
    <w:rsid w:val="5F85487D"/>
    <w:rsid w:val="5F8623A3"/>
    <w:rsid w:val="5F884A61"/>
    <w:rsid w:val="5F8A582F"/>
    <w:rsid w:val="5F8A7D30"/>
    <w:rsid w:val="5F8D54E0"/>
    <w:rsid w:val="5F8F6006"/>
    <w:rsid w:val="5F903EA0"/>
    <w:rsid w:val="5F922F6A"/>
    <w:rsid w:val="5F926F9A"/>
    <w:rsid w:val="5F930CBD"/>
    <w:rsid w:val="5F933F75"/>
    <w:rsid w:val="5F95052E"/>
    <w:rsid w:val="5F952071"/>
    <w:rsid w:val="5F9525E6"/>
    <w:rsid w:val="5F954394"/>
    <w:rsid w:val="5F97010C"/>
    <w:rsid w:val="5F971F3C"/>
    <w:rsid w:val="5F97237B"/>
    <w:rsid w:val="5F987D48"/>
    <w:rsid w:val="5F9A5E4E"/>
    <w:rsid w:val="5F9D1B1E"/>
    <w:rsid w:val="5F9E593F"/>
    <w:rsid w:val="5FA04B6E"/>
    <w:rsid w:val="5FA1306E"/>
    <w:rsid w:val="5FA73C2A"/>
    <w:rsid w:val="5FA82319"/>
    <w:rsid w:val="5FAD406B"/>
    <w:rsid w:val="5FB27537"/>
    <w:rsid w:val="5FB51DC5"/>
    <w:rsid w:val="5FB52C88"/>
    <w:rsid w:val="5FB5562E"/>
    <w:rsid w:val="5FBB029F"/>
    <w:rsid w:val="5FBB26BB"/>
    <w:rsid w:val="5FBC78AE"/>
    <w:rsid w:val="5FBC7BA6"/>
    <w:rsid w:val="5FBF00FF"/>
    <w:rsid w:val="5FBF1411"/>
    <w:rsid w:val="5FC01AAC"/>
    <w:rsid w:val="5FC058B5"/>
    <w:rsid w:val="5FC15189"/>
    <w:rsid w:val="5FC403E3"/>
    <w:rsid w:val="5FC94E89"/>
    <w:rsid w:val="5FC9520A"/>
    <w:rsid w:val="5FCA04E2"/>
    <w:rsid w:val="5FCA142D"/>
    <w:rsid w:val="5FCB425A"/>
    <w:rsid w:val="5FCD1D80"/>
    <w:rsid w:val="5FCD3B8B"/>
    <w:rsid w:val="5FCE4A2E"/>
    <w:rsid w:val="5FCE79BD"/>
    <w:rsid w:val="5FD111DD"/>
    <w:rsid w:val="5FD255E8"/>
    <w:rsid w:val="5FD30251"/>
    <w:rsid w:val="5FD44EBD"/>
    <w:rsid w:val="5FD50BDC"/>
    <w:rsid w:val="5FD517CA"/>
    <w:rsid w:val="5FD75503"/>
    <w:rsid w:val="5FD76D72"/>
    <w:rsid w:val="5FD85188"/>
    <w:rsid w:val="5FD87942"/>
    <w:rsid w:val="5FDA624B"/>
    <w:rsid w:val="5FDA7319"/>
    <w:rsid w:val="5FDB2BEA"/>
    <w:rsid w:val="5FDD2404"/>
    <w:rsid w:val="5FE01AB3"/>
    <w:rsid w:val="5FE13A7D"/>
    <w:rsid w:val="5FE175D9"/>
    <w:rsid w:val="5FE3688B"/>
    <w:rsid w:val="5FE570CA"/>
    <w:rsid w:val="5FE65C93"/>
    <w:rsid w:val="5FE710C6"/>
    <w:rsid w:val="5FE835A4"/>
    <w:rsid w:val="5FEA1D90"/>
    <w:rsid w:val="5FEA46E0"/>
    <w:rsid w:val="5FEB0458"/>
    <w:rsid w:val="5FED2422"/>
    <w:rsid w:val="5FED5F7E"/>
    <w:rsid w:val="5FEF76C6"/>
    <w:rsid w:val="5FF1272F"/>
    <w:rsid w:val="5FF902BA"/>
    <w:rsid w:val="5FFC0099"/>
    <w:rsid w:val="5FFC2665"/>
    <w:rsid w:val="5FFE7C6A"/>
    <w:rsid w:val="5FFF61CD"/>
    <w:rsid w:val="60065292"/>
    <w:rsid w:val="60073FFE"/>
    <w:rsid w:val="60074BE5"/>
    <w:rsid w:val="6008725C"/>
    <w:rsid w:val="600D03CE"/>
    <w:rsid w:val="601033A2"/>
    <w:rsid w:val="601168D5"/>
    <w:rsid w:val="601479AF"/>
    <w:rsid w:val="60161979"/>
    <w:rsid w:val="60176AEB"/>
    <w:rsid w:val="601849F0"/>
    <w:rsid w:val="60185359"/>
    <w:rsid w:val="601B2A6D"/>
    <w:rsid w:val="601C5616"/>
    <w:rsid w:val="601E6FA6"/>
    <w:rsid w:val="60235E44"/>
    <w:rsid w:val="6028470C"/>
    <w:rsid w:val="602C4CF9"/>
    <w:rsid w:val="602D23BF"/>
    <w:rsid w:val="602D281F"/>
    <w:rsid w:val="6031230F"/>
    <w:rsid w:val="603314FC"/>
    <w:rsid w:val="60371207"/>
    <w:rsid w:val="60373939"/>
    <w:rsid w:val="6037544B"/>
    <w:rsid w:val="603B4F3C"/>
    <w:rsid w:val="603C144B"/>
    <w:rsid w:val="603C6C0D"/>
    <w:rsid w:val="603E4A2C"/>
    <w:rsid w:val="603E5277"/>
    <w:rsid w:val="6042451C"/>
    <w:rsid w:val="604326ED"/>
    <w:rsid w:val="604638DA"/>
    <w:rsid w:val="604638E0"/>
    <w:rsid w:val="60482788"/>
    <w:rsid w:val="605113B0"/>
    <w:rsid w:val="6051475F"/>
    <w:rsid w:val="60523832"/>
    <w:rsid w:val="60545FFD"/>
    <w:rsid w:val="60561D75"/>
    <w:rsid w:val="60571CFB"/>
    <w:rsid w:val="60591866"/>
    <w:rsid w:val="605D3C0F"/>
    <w:rsid w:val="605E0C2A"/>
    <w:rsid w:val="605F3F2D"/>
    <w:rsid w:val="60600A87"/>
    <w:rsid w:val="60655947"/>
    <w:rsid w:val="6066480F"/>
    <w:rsid w:val="60670FC9"/>
    <w:rsid w:val="60675D31"/>
    <w:rsid w:val="6068521B"/>
    <w:rsid w:val="60687CFB"/>
    <w:rsid w:val="60695F4D"/>
    <w:rsid w:val="606B7E4D"/>
    <w:rsid w:val="606C5781"/>
    <w:rsid w:val="606D70BF"/>
    <w:rsid w:val="606E776A"/>
    <w:rsid w:val="606F1089"/>
    <w:rsid w:val="606F18AA"/>
    <w:rsid w:val="6071416B"/>
    <w:rsid w:val="607145E2"/>
    <w:rsid w:val="60731795"/>
    <w:rsid w:val="607448F1"/>
    <w:rsid w:val="60771C4D"/>
    <w:rsid w:val="607740A4"/>
    <w:rsid w:val="607D4876"/>
    <w:rsid w:val="607D4C2F"/>
    <w:rsid w:val="607D5554"/>
    <w:rsid w:val="607E12CC"/>
    <w:rsid w:val="607F2E50"/>
    <w:rsid w:val="60805044"/>
    <w:rsid w:val="60820DBC"/>
    <w:rsid w:val="608351F4"/>
    <w:rsid w:val="60847CC9"/>
    <w:rsid w:val="608508AD"/>
    <w:rsid w:val="608A1A1F"/>
    <w:rsid w:val="608A7C71"/>
    <w:rsid w:val="608E7761"/>
    <w:rsid w:val="609028F6"/>
    <w:rsid w:val="60902CFC"/>
    <w:rsid w:val="60911B92"/>
    <w:rsid w:val="60917251"/>
    <w:rsid w:val="60934D78"/>
    <w:rsid w:val="60956B25"/>
    <w:rsid w:val="609B00D0"/>
    <w:rsid w:val="609B3C2C"/>
    <w:rsid w:val="609C2FE9"/>
    <w:rsid w:val="609C5D62"/>
    <w:rsid w:val="609D5BF6"/>
    <w:rsid w:val="609D79A4"/>
    <w:rsid w:val="60A041FE"/>
    <w:rsid w:val="60A70834"/>
    <w:rsid w:val="60A725D1"/>
    <w:rsid w:val="60AA0313"/>
    <w:rsid w:val="60AA3E6F"/>
    <w:rsid w:val="60AC32F1"/>
    <w:rsid w:val="60AC6E64"/>
    <w:rsid w:val="60AD5D77"/>
    <w:rsid w:val="60B26902"/>
    <w:rsid w:val="60B405CA"/>
    <w:rsid w:val="60B44CEE"/>
    <w:rsid w:val="60B46A9C"/>
    <w:rsid w:val="60B73086"/>
    <w:rsid w:val="60B80DB8"/>
    <w:rsid w:val="60B847DE"/>
    <w:rsid w:val="60BA67A8"/>
    <w:rsid w:val="60BE7ED2"/>
    <w:rsid w:val="60BF5B6D"/>
    <w:rsid w:val="60C17E6A"/>
    <w:rsid w:val="60C2411E"/>
    <w:rsid w:val="60C425F9"/>
    <w:rsid w:val="60C43183"/>
    <w:rsid w:val="60C4544F"/>
    <w:rsid w:val="60C56EFB"/>
    <w:rsid w:val="60C70EC5"/>
    <w:rsid w:val="60C969EB"/>
    <w:rsid w:val="60CD7990"/>
    <w:rsid w:val="60D07175"/>
    <w:rsid w:val="60D3786A"/>
    <w:rsid w:val="60D5749F"/>
    <w:rsid w:val="60D57568"/>
    <w:rsid w:val="60D62417"/>
    <w:rsid w:val="60D62EB6"/>
    <w:rsid w:val="60D66460"/>
    <w:rsid w:val="60D826C7"/>
    <w:rsid w:val="60D847A8"/>
    <w:rsid w:val="60D84E80"/>
    <w:rsid w:val="60DD2497"/>
    <w:rsid w:val="60E07719"/>
    <w:rsid w:val="60E3018F"/>
    <w:rsid w:val="60EA5FA2"/>
    <w:rsid w:val="60EB3B10"/>
    <w:rsid w:val="60EB4BB4"/>
    <w:rsid w:val="60EC6236"/>
    <w:rsid w:val="60F17CF0"/>
    <w:rsid w:val="60F35816"/>
    <w:rsid w:val="60F43B63"/>
    <w:rsid w:val="60F52B83"/>
    <w:rsid w:val="60F77DE8"/>
    <w:rsid w:val="60FA6BA5"/>
    <w:rsid w:val="60FD2E3F"/>
    <w:rsid w:val="60FD48E7"/>
    <w:rsid w:val="60FE64C3"/>
    <w:rsid w:val="60FE69B5"/>
    <w:rsid w:val="61025A59"/>
    <w:rsid w:val="61032535"/>
    <w:rsid w:val="610340E9"/>
    <w:rsid w:val="61042E3F"/>
    <w:rsid w:val="61071143"/>
    <w:rsid w:val="61073070"/>
    <w:rsid w:val="61077514"/>
    <w:rsid w:val="6109328C"/>
    <w:rsid w:val="610A5F2A"/>
    <w:rsid w:val="610F0176"/>
    <w:rsid w:val="610F7FCD"/>
    <w:rsid w:val="611063C8"/>
    <w:rsid w:val="611068F3"/>
    <w:rsid w:val="611134A9"/>
    <w:rsid w:val="61126BE5"/>
    <w:rsid w:val="611530B6"/>
    <w:rsid w:val="611530F7"/>
    <w:rsid w:val="611532BA"/>
    <w:rsid w:val="611539DF"/>
    <w:rsid w:val="6117523F"/>
    <w:rsid w:val="611A0CDF"/>
    <w:rsid w:val="611A0FF5"/>
    <w:rsid w:val="611B3C25"/>
    <w:rsid w:val="611B3E90"/>
    <w:rsid w:val="611C318D"/>
    <w:rsid w:val="611D0AE5"/>
    <w:rsid w:val="611F4D6F"/>
    <w:rsid w:val="61202383"/>
    <w:rsid w:val="61202A29"/>
    <w:rsid w:val="6122434D"/>
    <w:rsid w:val="61245BD4"/>
    <w:rsid w:val="61296C26"/>
    <w:rsid w:val="612B08A8"/>
    <w:rsid w:val="612B3202"/>
    <w:rsid w:val="612C1F82"/>
    <w:rsid w:val="612D1541"/>
    <w:rsid w:val="612E684E"/>
    <w:rsid w:val="612F0022"/>
    <w:rsid w:val="613113D7"/>
    <w:rsid w:val="6131719E"/>
    <w:rsid w:val="6132243A"/>
    <w:rsid w:val="613247A2"/>
    <w:rsid w:val="613321A9"/>
    <w:rsid w:val="61343382"/>
    <w:rsid w:val="613603E4"/>
    <w:rsid w:val="613939BE"/>
    <w:rsid w:val="613B5FCA"/>
    <w:rsid w:val="613D1187"/>
    <w:rsid w:val="613F446D"/>
    <w:rsid w:val="613F7BEC"/>
    <w:rsid w:val="6142054C"/>
    <w:rsid w:val="6142748D"/>
    <w:rsid w:val="61433328"/>
    <w:rsid w:val="6146003C"/>
    <w:rsid w:val="61476580"/>
    <w:rsid w:val="614802E8"/>
    <w:rsid w:val="61483DB4"/>
    <w:rsid w:val="614918B6"/>
    <w:rsid w:val="61496B1A"/>
    <w:rsid w:val="61497B2C"/>
    <w:rsid w:val="614B5642"/>
    <w:rsid w:val="614D0B2B"/>
    <w:rsid w:val="614D0D3A"/>
    <w:rsid w:val="614E0077"/>
    <w:rsid w:val="615564D1"/>
    <w:rsid w:val="61563995"/>
    <w:rsid w:val="615808B7"/>
    <w:rsid w:val="615A16E5"/>
    <w:rsid w:val="615A3AE7"/>
    <w:rsid w:val="615B1571"/>
    <w:rsid w:val="615C33BC"/>
    <w:rsid w:val="615C3490"/>
    <w:rsid w:val="615C73EF"/>
    <w:rsid w:val="6162255A"/>
    <w:rsid w:val="61647159"/>
    <w:rsid w:val="616474CA"/>
    <w:rsid w:val="61691F7C"/>
    <w:rsid w:val="61694432"/>
    <w:rsid w:val="61695AD8"/>
    <w:rsid w:val="61696F09"/>
    <w:rsid w:val="616B35FF"/>
    <w:rsid w:val="616C4552"/>
    <w:rsid w:val="616C7377"/>
    <w:rsid w:val="616D55C9"/>
    <w:rsid w:val="616D7F77"/>
    <w:rsid w:val="617140C2"/>
    <w:rsid w:val="617167E5"/>
    <w:rsid w:val="61744894"/>
    <w:rsid w:val="61750529"/>
    <w:rsid w:val="617507CF"/>
    <w:rsid w:val="61763FFC"/>
    <w:rsid w:val="617769CB"/>
    <w:rsid w:val="61783847"/>
    <w:rsid w:val="61783E09"/>
    <w:rsid w:val="617B7E11"/>
    <w:rsid w:val="617D097C"/>
    <w:rsid w:val="617E77D6"/>
    <w:rsid w:val="61804027"/>
    <w:rsid w:val="61811074"/>
    <w:rsid w:val="61812E22"/>
    <w:rsid w:val="61824FF8"/>
    <w:rsid w:val="61860438"/>
    <w:rsid w:val="61864B99"/>
    <w:rsid w:val="6187214C"/>
    <w:rsid w:val="61885C49"/>
    <w:rsid w:val="618943CD"/>
    <w:rsid w:val="618B1EF3"/>
    <w:rsid w:val="618B1F5D"/>
    <w:rsid w:val="618E3791"/>
    <w:rsid w:val="618E553F"/>
    <w:rsid w:val="619012B7"/>
    <w:rsid w:val="6192481A"/>
    <w:rsid w:val="61941B7F"/>
    <w:rsid w:val="619605C3"/>
    <w:rsid w:val="61971F8B"/>
    <w:rsid w:val="61972646"/>
    <w:rsid w:val="61986DEC"/>
    <w:rsid w:val="61990CCB"/>
    <w:rsid w:val="619B1C62"/>
    <w:rsid w:val="619C5EAE"/>
    <w:rsid w:val="619D10D3"/>
    <w:rsid w:val="61A26D54"/>
    <w:rsid w:val="61A758A3"/>
    <w:rsid w:val="61A84853"/>
    <w:rsid w:val="61A91D7E"/>
    <w:rsid w:val="61AD00BB"/>
    <w:rsid w:val="61AD1E69"/>
    <w:rsid w:val="61AE331B"/>
    <w:rsid w:val="61AE5804"/>
    <w:rsid w:val="61AF4555"/>
    <w:rsid w:val="61B260E5"/>
    <w:rsid w:val="61B35576"/>
    <w:rsid w:val="61B52ACC"/>
    <w:rsid w:val="61B6461C"/>
    <w:rsid w:val="61B66365"/>
    <w:rsid w:val="61B772A6"/>
    <w:rsid w:val="61B82B15"/>
    <w:rsid w:val="61BB7C79"/>
    <w:rsid w:val="61BC3E5A"/>
    <w:rsid w:val="61BC489F"/>
    <w:rsid w:val="61BF394A"/>
    <w:rsid w:val="61C270C2"/>
    <w:rsid w:val="61C3608D"/>
    <w:rsid w:val="61C41811"/>
    <w:rsid w:val="61CB32AE"/>
    <w:rsid w:val="61CB6793"/>
    <w:rsid w:val="61CD0ADB"/>
    <w:rsid w:val="61D03DA9"/>
    <w:rsid w:val="61D065E0"/>
    <w:rsid w:val="61D41BE3"/>
    <w:rsid w:val="61D514F7"/>
    <w:rsid w:val="61D734DA"/>
    <w:rsid w:val="61DC62AA"/>
    <w:rsid w:val="61DC63FD"/>
    <w:rsid w:val="61DE0CF0"/>
    <w:rsid w:val="61DF5D9B"/>
    <w:rsid w:val="61DF6C16"/>
    <w:rsid w:val="61E15FB7"/>
    <w:rsid w:val="61E17D65"/>
    <w:rsid w:val="61E635CD"/>
    <w:rsid w:val="61E6537B"/>
    <w:rsid w:val="61E944E1"/>
    <w:rsid w:val="61EA4E6B"/>
    <w:rsid w:val="61EA6C19"/>
    <w:rsid w:val="61EB0BE3"/>
    <w:rsid w:val="61EB473F"/>
    <w:rsid w:val="61F0358C"/>
    <w:rsid w:val="61F34802"/>
    <w:rsid w:val="61F42DF4"/>
    <w:rsid w:val="61F5736C"/>
    <w:rsid w:val="61F83D3F"/>
    <w:rsid w:val="61F8409E"/>
    <w:rsid w:val="61FA6FC5"/>
    <w:rsid w:val="61FB0E26"/>
    <w:rsid w:val="61FB2215"/>
    <w:rsid w:val="61FB458B"/>
    <w:rsid w:val="61FE26C5"/>
    <w:rsid w:val="61FF1397"/>
    <w:rsid w:val="62010C00"/>
    <w:rsid w:val="62041643"/>
    <w:rsid w:val="620449AF"/>
    <w:rsid w:val="6204509B"/>
    <w:rsid w:val="620E0B57"/>
    <w:rsid w:val="62116A72"/>
    <w:rsid w:val="621719D8"/>
    <w:rsid w:val="62187A7A"/>
    <w:rsid w:val="62194391"/>
    <w:rsid w:val="62197C87"/>
    <w:rsid w:val="621B1BF9"/>
    <w:rsid w:val="621C0BDF"/>
    <w:rsid w:val="621C430B"/>
    <w:rsid w:val="621C5814"/>
    <w:rsid w:val="621E43B7"/>
    <w:rsid w:val="6220263B"/>
    <w:rsid w:val="6223212B"/>
    <w:rsid w:val="62233915"/>
    <w:rsid w:val="62257C51"/>
    <w:rsid w:val="62272D3F"/>
    <w:rsid w:val="62274D59"/>
    <w:rsid w:val="622814F0"/>
    <w:rsid w:val="622D56C0"/>
    <w:rsid w:val="622D6A22"/>
    <w:rsid w:val="622E5507"/>
    <w:rsid w:val="62314848"/>
    <w:rsid w:val="62334D53"/>
    <w:rsid w:val="6234166D"/>
    <w:rsid w:val="62356BEC"/>
    <w:rsid w:val="62373E29"/>
    <w:rsid w:val="623934C1"/>
    <w:rsid w:val="623B7794"/>
    <w:rsid w:val="623D0B10"/>
    <w:rsid w:val="623D6CAD"/>
    <w:rsid w:val="62412368"/>
    <w:rsid w:val="62474158"/>
    <w:rsid w:val="62483E87"/>
    <w:rsid w:val="624D27B1"/>
    <w:rsid w:val="624D7611"/>
    <w:rsid w:val="6252656D"/>
    <w:rsid w:val="62557ED0"/>
    <w:rsid w:val="6256117B"/>
    <w:rsid w:val="625921C9"/>
    <w:rsid w:val="62593D9F"/>
    <w:rsid w:val="625B18C5"/>
    <w:rsid w:val="625B46D9"/>
    <w:rsid w:val="625C2C9A"/>
    <w:rsid w:val="625C605A"/>
    <w:rsid w:val="625D388F"/>
    <w:rsid w:val="62613F3B"/>
    <w:rsid w:val="62614A02"/>
    <w:rsid w:val="6263077A"/>
    <w:rsid w:val="626369CC"/>
    <w:rsid w:val="6264142C"/>
    <w:rsid w:val="6265219D"/>
    <w:rsid w:val="6266580F"/>
    <w:rsid w:val="626764BC"/>
    <w:rsid w:val="626B02E7"/>
    <w:rsid w:val="626E50AF"/>
    <w:rsid w:val="626E5F99"/>
    <w:rsid w:val="62702EDC"/>
    <w:rsid w:val="62736998"/>
    <w:rsid w:val="62747537"/>
    <w:rsid w:val="627523B1"/>
    <w:rsid w:val="627A3652"/>
    <w:rsid w:val="627E55B4"/>
    <w:rsid w:val="62816E52"/>
    <w:rsid w:val="628356F2"/>
    <w:rsid w:val="62860415"/>
    <w:rsid w:val="628759A7"/>
    <w:rsid w:val="6289613B"/>
    <w:rsid w:val="628A03FC"/>
    <w:rsid w:val="628C3FC7"/>
    <w:rsid w:val="628E1C9B"/>
    <w:rsid w:val="628F156F"/>
    <w:rsid w:val="62901031"/>
    <w:rsid w:val="62931BBE"/>
    <w:rsid w:val="6294085A"/>
    <w:rsid w:val="62946B85"/>
    <w:rsid w:val="62992DBE"/>
    <w:rsid w:val="62995958"/>
    <w:rsid w:val="629A00E2"/>
    <w:rsid w:val="629A7BF3"/>
    <w:rsid w:val="629B63E4"/>
    <w:rsid w:val="629D6654"/>
    <w:rsid w:val="629F0EE6"/>
    <w:rsid w:val="629F4BEA"/>
    <w:rsid w:val="62A0686D"/>
    <w:rsid w:val="62A71CF2"/>
    <w:rsid w:val="62A82630"/>
    <w:rsid w:val="62A95D26"/>
    <w:rsid w:val="62AB163F"/>
    <w:rsid w:val="62B31DB5"/>
    <w:rsid w:val="62B45479"/>
    <w:rsid w:val="62B45EB9"/>
    <w:rsid w:val="62B72874"/>
    <w:rsid w:val="62B912F6"/>
    <w:rsid w:val="62BC7E8A"/>
    <w:rsid w:val="62BD2580"/>
    <w:rsid w:val="62BD3036"/>
    <w:rsid w:val="62BD7466"/>
    <w:rsid w:val="62BE193B"/>
    <w:rsid w:val="62BE7DF2"/>
    <w:rsid w:val="62C0797A"/>
    <w:rsid w:val="62C24CCF"/>
    <w:rsid w:val="62C27B96"/>
    <w:rsid w:val="62C3495F"/>
    <w:rsid w:val="62C40B19"/>
    <w:rsid w:val="62C51707"/>
    <w:rsid w:val="62C53DE4"/>
    <w:rsid w:val="62C63B33"/>
    <w:rsid w:val="62C653B1"/>
    <w:rsid w:val="62C70D09"/>
    <w:rsid w:val="62CA6A4B"/>
    <w:rsid w:val="62CC6257"/>
    <w:rsid w:val="62CD0900"/>
    <w:rsid w:val="62CD1B9F"/>
    <w:rsid w:val="62CD2812"/>
    <w:rsid w:val="62CE22C2"/>
    <w:rsid w:val="62D01A5D"/>
    <w:rsid w:val="62D11BF0"/>
    <w:rsid w:val="62D33837"/>
    <w:rsid w:val="62D578C9"/>
    <w:rsid w:val="62DA00CF"/>
    <w:rsid w:val="62DA78F2"/>
    <w:rsid w:val="62DB2989"/>
    <w:rsid w:val="62DC0514"/>
    <w:rsid w:val="62DF59B2"/>
    <w:rsid w:val="62E13C90"/>
    <w:rsid w:val="62E16AB7"/>
    <w:rsid w:val="62E21FE6"/>
    <w:rsid w:val="62E541D8"/>
    <w:rsid w:val="62E55633"/>
    <w:rsid w:val="62E82422"/>
    <w:rsid w:val="62EA2C49"/>
    <w:rsid w:val="62EA49F7"/>
    <w:rsid w:val="62EC2A62"/>
    <w:rsid w:val="62ED06F3"/>
    <w:rsid w:val="62ED7B55"/>
    <w:rsid w:val="62EF200D"/>
    <w:rsid w:val="62F13FD7"/>
    <w:rsid w:val="62F23D84"/>
    <w:rsid w:val="62F655DD"/>
    <w:rsid w:val="62F66167"/>
    <w:rsid w:val="62FB06C3"/>
    <w:rsid w:val="62FD41E2"/>
    <w:rsid w:val="62FE04A2"/>
    <w:rsid w:val="63006D65"/>
    <w:rsid w:val="63021D41"/>
    <w:rsid w:val="6302681E"/>
    <w:rsid w:val="63034C72"/>
    <w:rsid w:val="630630F3"/>
    <w:rsid w:val="630933A6"/>
    <w:rsid w:val="630A365B"/>
    <w:rsid w:val="630A5099"/>
    <w:rsid w:val="630B32EB"/>
    <w:rsid w:val="630E17D1"/>
    <w:rsid w:val="630E2DDB"/>
    <w:rsid w:val="630F27E1"/>
    <w:rsid w:val="630F5FAF"/>
    <w:rsid w:val="63116428"/>
    <w:rsid w:val="631448DA"/>
    <w:rsid w:val="63147CC6"/>
    <w:rsid w:val="6315416A"/>
    <w:rsid w:val="631657EC"/>
    <w:rsid w:val="63181501"/>
    <w:rsid w:val="63181564"/>
    <w:rsid w:val="63197D2B"/>
    <w:rsid w:val="631B04E5"/>
    <w:rsid w:val="631B1D85"/>
    <w:rsid w:val="631D6B7A"/>
    <w:rsid w:val="631F28F3"/>
    <w:rsid w:val="6320666B"/>
    <w:rsid w:val="63220635"/>
    <w:rsid w:val="632223E3"/>
    <w:rsid w:val="63224191"/>
    <w:rsid w:val="63247F09"/>
    <w:rsid w:val="63272375"/>
    <w:rsid w:val="6329057B"/>
    <w:rsid w:val="632919C3"/>
    <w:rsid w:val="632E6FDA"/>
    <w:rsid w:val="632F5B89"/>
    <w:rsid w:val="63301F64"/>
    <w:rsid w:val="63312626"/>
    <w:rsid w:val="63327AB9"/>
    <w:rsid w:val="633421CB"/>
    <w:rsid w:val="6335141E"/>
    <w:rsid w:val="63360B92"/>
    <w:rsid w:val="633640E0"/>
    <w:rsid w:val="6336485F"/>
    <w:rsid w:val="63391906"/>
    <w:rsid w:val="633A2357"/>
    <w:rsid w:val="633D1E74"/>
    <w:rsid w:val="633E3629"/>
    <w:rsid w:val="63424833"/>
    <w:rsid w:val="6343463D"/>
    <w:rsid w:val="634560D1"/>
    <w:rsid w:val="63467C70"/>
    <w:rsid w:val="63475D14"/>
    <w:rsid w:val="634931F4"/>
    <w:rsid w:val="63497970"/>
    <w:rsid w:val="634A0EB1"/>
    <w:rsid w:val="634A2F00"/>
    <w:rsid w:val="634B193A"/>
    <w:rsid w:val="634B27D5"/>
    <w:rsid w:val="634C4BA5"/>
    <w:rsid w:val="634F3402"/>
    <w:rsid w:val="635049CC"/>
    <w:rsid w:val="63506F50"/>
    <w:rsid w:val="63544BEA"/>
    <w:rsid w:val="63556314"/>
    <w:rsid w:val="635602DE"/>
    <w:rsid w:val="635E38F3"/>
    <w:rsid w:val="635F3637"/>
    <w:rsid w:val="635F53E5"/>
    <w:rsid w:val="63615F56"/>
    <w:rsid w:val="63627B5F"/>
    <w:rsid w:val="636532E3"/>
    <w:rsid w:val="6365753F"/>
    <w:rsid w:val="63666773"/>
    <w:rsid w:val="6367429A"/>
    <w:rsid w:val="63686739"/>
    <w:rsid w:val="636B5105"/>
    <w:rsid w:val="636C2CA4"/>
    <w:rsid w:val="636C3E8F"/>
    <w:rsid w:val="636D189A"/>
    <w:rsid w:val="636E5BA8"/>
    <w:rsid w:val="63701F10"/>
    <w:rsid w:val="63743497"/>
    <w:rsid w:val="63770981"/>
    <w:rsid w:val="6377272F"/>
    <w:rsid w:val="63780D97"/>
    <w:rsid w:val="63781C7D"/>
    <w:rsid w:val="63796F0B"/>
    <w:rsid w:val="637C1792"/>
    <w:rsid w:val="637C5F97"/>
    <w:rsid w:val="637E2203"/>
    <w:rsid w:val="63815FDA"/>
    <w:rsid w:val="638212F3"/>
    <w:rsid w:val="6383324E"/>
    <w:rsid w:val="63841B73"/>
    <w:rsid w:val="63845D82"/>
    <w:rsid w:val="638601D8"/>
    <w:rsid w:val="63860BC4"/>
    <w:rsid w:val="638C0A1D"/>
    <w:rsid w:val="638E4764"/>
    <w:rsid w:val="638E5A46"/>
    <w:rsid w:val="639130C5"/>
    <w:rsid w:val="6392134D"/>
    <w:rsid w:val="639233E5"/>
    <w:rsid w:val="63931D5D"/>
    <w:rsid w:val="63936D24"/>
    <w:rsid w:val="63980E88"/>
    <w:rsid w:val="63990733"/>
    <w:rsid w:val="639A4E02"/>
    <w:rsid w:val="639A5965"/>
    <w:rsid w:val="63A4086C"/>
    <w:rsid w:val="63A44B67"/>
    <w:rsid w:val="63A454EE"/>
    <w:rsid w:val="63A82DAC"/>
    <w:rsid w:val="63A94DAB"/>
    <w:rsid w:val="63AB4186"/>
    <w:rsid w:val="63AC7EFE"/>
    <w:rsid w:val="63AD1701"/>
    <w:rsid w:val="63AE1FBB"/>
    <w:rsid w:val="63AF1794"/>
    <w:rsid w:val="63AF718C"/>
    <w:rsid w:val="63B227B1"/>
    <w:rsid w:val="63B25199"/>
    <w:rsid w:val="63B35731"/>
    <w:rsid w:val="63B55005"/>
    <w:rsid w:val="63B92966"/>
    <w:rsid w:val="63BB3950"/>
    <w:rsid w:val="63BC76D1"/>
    <w:rsid w:val="63BD1AFD"/>
    <w:rsid w:val="63BD3EBA"/>
    <w:rsid w:val="63BE4957"/>
    <w:rsid w:val="63BE6762"/>
    <w:rsid w:val="63C27722"/>
    <w:rsid w:val="63C30523"/>
    <w:rsid w:val="63C40D4D"/>
    <w:rsid w:val="63C4708C"/>
    <w:rsid w:val="63C52E43"/>
    <w:rsid w:val="63C94F54"/>
    <w:rsid w:val="63CB3506"/>
    <w:rsid w:val="63CE1306"/>
    <w:rsid w:val="63CF6AC6"/>
    <w:rsid w:val="63D36998"/>
    <w:rsid w:val="63D40888"/>
    <w:rsid w:val="63D537D1"/>
    <w:rsid w:val="63D5646D"/>
    <w:rsid w:val="63D77671"/>
    <w:rsid w:val="63D97A6C"/>
    <w:rsid w:val="63DB1915"/>
    <w:rsid w:val="63DC07E4"/>
    <w:rsid w:val="63DD6F3C"/>
    <w:rsid w:val="63DE27AE"/>
    <w:rsid w:val="63E05A07"/>
    <w:rsid w:val="63E1404C"/>
    <w:rsid w:val="63E3765C"/>
    <w:rsid w:val="63E42AF9"/>
    <w:rsid w:val="63E458E8"/>
    <w:rsid w:val="63E53BC8"/>
    <w:rsid w:val="63E540E9"/>
    <w:rsid w:val="63E613E7"/>
    <w:rsid w:val="63E655E8"/>
    <w:rsid w:val="63E94CAF"/>
    <w:rsid w:val="63F03E5A"/>
    <w:rsid w:val="63F20838"/>
    <w:rsid w:val="63F32822"/>
    <w:rsid w:val="63F7582B"/>
    <w:rsid w:val="63F804BB"/>
    <w:rsid w:val="63F93A56"/>
    <w:rsid w:val="63F95605"/>
    <w:rsid w:val="63FA7227"/>
    <w:rsid w:val="63FD1B44"/>
    <w:rsid w:val="63FF2724"/>
    <w:rsid w:val="63FF7A03"/>
    <w:rsid w:val="64002DAD"/>
    <w:rsid w:val="64032214"/>
    <w:rsid w:val="64033FC2"/>
    <w:rsid w:val="64046500"/>
    <w:rsid w:val="64083A60"/>
    <w:rsid w:val="640B10C9"/>
    <w:rsid w:val="640F6E0B"/>
    <w:rsid w:val="6411291E"/>
    <w:rsid w:val="64116D46"/>
    <w:rsid w:val="641317AF"/>
    <w:rsid w:val="64167605"/>
    <w:rsid w:val="641726EB"/>
    <w:rsid w:val="641779A5"/>
    <w:rsid w:val="64194552"/>
    <w:rsid w:val="6421269A"/>
    <w:rsid w:val="642503DD"/>
    <w:rsid w:val="64265F03"/>
    <w:rsid w:val="642814A9"/>
    <w:rsid w:val="64283A29"/>
    <w:rsid w:val="64291235"/>
    <w:rsid w:val="642A57DC"/>
    <w:rsid w:val="642B22AA"/>
    <w:rsid w:val="642B2D3A"/>
    <w:rsid w:val="642B34A4"/>
    <w:rsid w:val="642C3B84"/>
    <w:rsid w:val="642D69C8"/>
    <w:rsid w:val="642E49EA"/>
    <w:rsid w:val="642F52DB"/>
    <w:rsid w:val="643248A8"/>
    <w:rsid w:val="6432641A"/>
    <w:rsid w:val="64370110"/>
    <w:rsid w:val="64371EBE"/>
    <w:rsid w:val="64373C6C"/>
    <w:rsid w:val="64384311"/>
    <w:rsid w:val="6439570E"/>
    <w:rsid w:val="643B1602"/>
    <w:rsid w:val="643C0D03"/>
    <w:rsid w:val="643C1D4A"/>
    <w:rsid w:val="643C633A"/>
    <w:rsid w:val="643D0406"/>
    <w:rsid w:val="643E149E"/>
    <w:rsid w:val="64405216"/>
    <w:rsid w:val="64406728"/>
    <w:rsid w:val="64414AEB"/>
    <w:rsid w:val="64422EE1"/>
    <w:rsid w:val="644273B1"/>
    <w:rsid w:val="64430278"/>
    <w:rsid w:val="64444FF8"/>
    <w:rsid w:val="6446254B"/>
    <w:rsid w:val="644730E4"/>
    <w:rsid w:val="644839B3"/>
    <w:rsid w:val="644C47B2"/>
    <w:rsid w:val="644D3982"/>
    <w:rsid w:val="644D7933"/>
    <w:rsid w:val="644F0FB6"/>
    <w:rsid w:val="64542A70"/>
    <w:rsid w:val="64547F2D"/>
    <w:rsid w:val="64550596"/>
    <w:rsid w:val="64553525"/>
    <w:rsid w:val="64580D18"/>
    <w:rsid w:val="64586B1A"/>
    <w:rsid w:val="64590086"/>
    <w:rsid w:val="64591E34"/>
    <w:rsid w:val="6459629F"/>
    <w:rsid w:val="64630F05"/>
    <w:rsid w:val="64634A61"/>
    <w:rsid w:val="646507D9"/>
    <w:rsid w:val="64682077"/>
    <w:rsid w:val="646957EA"/>
    <w:rsid w:val="64696373"/>
    <w:rsid w:val="646A0640"/>
    <w:rsid w:val="646A2293"/>
    <w:rsid w:val="646B4D15"/>
    <w:rsid w:val="646D3B32"/>
    <w:rsid w:val="646D7614"/>
    <w:rsid w:val="64747D3B"/>
    <w:rsid w:val="647B624F"/>
    <w:rsid w:val="647D1BD4"/>
    <w:rsid w:val="647D7D64"/>
    <w:rsid w:val="647E2B97"/>
    <w:rsid w:val="64800C6C"/>
    <w:rsid w:val="64822B3A"/>
    <w:rsid w:val="64846651"/>
    <w:rsid w:val="6484684F"/>
    <w:rsid w:val="64847F47"/>
    <w:rsid w:val="648669A1"/>
    <w:rsid w:val="64872E45"/>
    <w:rsid w:val="648779F8"/>
    <w:rsid w:val="648C220A"/>
    <w:rsid w:val="648C375E"/>
    <w:rsid w:val="648C67BD"/>
    <w:rsid w:val="648F03F5"/>
    <w:rsid w:val="648F3AA8"/>
    <w:rsid w:val="649030B3"/>
    <w:rsid w:val="64904C10"/>
    <w:rsid w:val="6490538D"/>
    <w:rsid w:val="64920E2E"/>
    <w:rsid w:val="64957B4F"/>
    <w:rsid w:val="64963088"/>
    <w:rsid w:val="64971200"/>
    <w:rsid w:val="64992B79"/>
    <w:rsid w:val="64994927"/>
    <w:rsid w:val="649B069F"/>
    <w:rsid w:val="649F7038"/>
    <w:rsid w:val="649F7777"/>
    <w:rsid w:val="649F77B8"/>
    <w:rsid w:val="64A01811"/>
    <w:rsid w:val="64A17D6F"/>
    <w:rsid w:val="64A42E07"/>
    <w:rsid w:val="64A841EE"/>
    <w:rsid w:val="64A9188F"/>
    <w:rsid w:val="64AB125D"/>
    <w:rsid w:val="64AD03D2"/>
    <w:rsid w:val="64AD6970"/>
    <w:rsid w:val="64B01820"/>
    <w:rsid w:val="64B2064E"/>
    <w:rsid w:val="64B452BD"/>
    <w:rsid w:val="64B52B48"/>
    <w:rsid w:val="64B72EBA"/>
    <w:rsid w:val="64B928D3"/>
    <w:rsid w:val="64BB489D"/>
    <w:rsid w:val="64BE394E"/>
    <w:rsid w:val="64BE3D78"/>
    <w:rsid w:val="64BF14E5"/>
    <w:rsid w:val="64C17C5F"/>
    <w:rsid w:val="64C27EA0"/>
    <w:rsid w:val="64C51278"/>
    <w:rsid w:val="64C54571"/>
    <w:rsid w:val="64C82A3A"/>
    <w:rsid w:val="64C82C14"/>
    <w:rsid w:val="64CC6AAA"/>
    <w:rsid w:val="64CC6EF2"/>
    <w:rsid w:val="64CD1105"/>
    <w:rsid w:val="64CD50E0"/>
    <w:rsid w:val="64CE0B72"/>
    <w:rsid w:val="64CE2619"/>
    <w:rsid w:val="64CF0A13"/>
    <w:rsid w:val="64D15E6F"/>
    <w:rsid w:val="64D237AB"/>
    <w:rsid w:val="64D545B9"/>
    <w:rsid w:val="64D63056"/>
    <w:rsid w:val="64D9020E"/>
    <w:rsid w:val="64D97FE6"/>
    <w:rsid w:val="64DA0E25"/>
    <w:rsid w:val="64DB47D3"/>
    <w:rsid w:val="64DD5792"/>
    <w:rsid w:val="64E41E18"/>
    <w:rsid w:val="64E54BFB"/>
    <w:rsid w:val="64E84043"/>
    <w:rsid w:val="64E9765C"/>
    <w:rsid w:val="64EA5D49"/>
    <w:rsid w:val="64EC45BF"/>
    <w:rsid w:val="64EE5D01"/>
    <w:rsid w:val="64EF1BBB"/>
    <w:rsid w:val="64F0785F"/>
    <w:rsid w:val="64F3053C"/>
    <w:rsid w:val="64F41B5D"/>
    <w:rsid w:val="64F73A3F"/>
    <w:rsid w:val="64F948F3"/>
    <w:rsid w:val="64FB6C5C"/>
    <w:rsid w:val="64FE574A"/>
    <w:rsid w:val="650224CC"/>
    <w:rsid w:val="65055521"/>
    <w:rsid w:val="65063AA7"/>
    <w:rsid w:val="650648C1"/>
    <w:rsid w:val="65085009"/>
    <w:rsid w:val="65085608"/>
    <w:rsid w:val="65086116"/>
    <w:rsid w:val="650C334B"/>
    <w:rsid w:val="65124FB7"/>
    <w:rsid w:val="65160BAD"/>
    <w:rsid w:val="651A1F74"/>
    <w:rsid w:val="651B4212"/>
    <w:rsid w:val="651B6927"/>
    <w:rsid w:val="651D5558"/>
    <w:rsid w:val="651E6BDA"/>
    <w:rsid w:val="65206C7A"/>
    <w:rsid w:val="65211E78"/>
    <w:rsid w:val="65212A73"/>
    <w:rsid w:val="652341F0"/>
    <w:rsid w:val="652511AB"/>
    <w:rsid w:val="652534C9"/>
    <w:rsid w:val="65261425"/>
    <w:rsid w:val="6526485A"/>
    <w:rsid w:val="6528059A"/>
    <w:rsid w:val="65282352"/>
    <w:rsid w:val="652B1445"/>
    <w:rsid w:val="652B297D"/>
    <w:rsid w:val="652B69C4"/>
    <w:rsid w:val="652C06CC"/>
    <w:rsid w:val="652F0DE7"/>
    <w:rsid w:val="6532548D"/>
    <w:rsid w:val="653308D7"/>
    <w:rsid w:val="653463FD"/>
    <w:rsid w:val="653603C7"/>
    <w:rsid w:val="653B59DE"/>
    <w:rsid w:val="65435E15"/>
    <w:rsid w:val="65436640"/>
    <w:rsid w:val="6548625D"/>
    <w:rsid w:val="654943D9"/>
    <w:rsid w:val="654A79CF"/>
    <w:rsid w:val="654B66B5"/>
    <w:rsid w:val="654C6575"/>
    <w:rsid w:val="654C7BEB"/>
    <w:rsid w:val="65507AC7"/>
    <w:rsid w:val="65561293"/>
    <w:rsid w:val="655851C7"/>
    <w:rsid w:val="655D1818"/>
    <w:rsid w:val="65613696"/>
    <w:rsid w:val="656358BE"/>
    <w:rsid w:val="65636C5C"/>
    <w:rsid w:val="65680A32"/>
    <w:rsid w:val="656C5B5F"/>
    <w:rsid w:val="656D789C"/>
    <w:rsid w:val="656F3CEE"/>
    <w:rsid w:val="656F50DC"/>
    <w:rsid w:val="65705687"/>
    <w:rsid w:val="65752C9E"/>
    <w:rsid w:val="65754F0C"/>
    <w:rsid w:val="657626A9"/>
    <w:rsid w:val="657746BE"/>
    <w:rsid w:val="657A7F60"/>
    <w:rsid w:val="657C1028"/>
    <w:rsid w:val="657D5FF6"/>
    <w:rsid w:val="658253BB"/>
    <w:rsid w:val="65827169"/>
    <w:rsid w:val="6583069B"/>
    <w:rsid w:val="65842EE1"/>
    <w:rsid w:val="658565C0"/>
    <w:rsid w:val="6587477F"/>
    <w:rsid w:val="658E1B03"/>
    <w:rsid w:val="658E5388"/>
    <w:rsid w:val="658F0EF9"/>
    <w:rsid w:val="6592548C"/>
    <w:rsid w:val="659342B9"/>
    <w:rsid w:val="65965D83"/>
    <w:rsid w:val="65973AAE"/>
    <w:rsid w:val="659772A6"/>
    <w:rsid w:val="65984BDE"/>
    <w:rsid w:val="659914E1"/>
    <w:rsid w:val="659D36B6"/>
    <w:rsid w:val="659D7BB1"/>
    <w:rsid w:val="659F7D1B"/>
    <w:rsid w:val="65A10DFB"/>
    <w:rsid w:val="65A24BCD"/>
    <w:rsid w:val="65A25C12"/>
    <w:rsid w:val="65A41C23"/>
    <w:rsid w:val="65A45331"/>
    <w:rsid w:val="65A5045A"/>
    <w:rsid w:val="65A60A1F"/>
    <w:rsid w:val="65A823AD"/>
    <w:rsid w:val="65AA0FBB"/>
    <w:rsid w:val="65AA6513"/>
    <w:rsid w:val="65AB27D4"/>
    <w:rsid w:val="65AC2438"/>
    <w:rsid w:val="65AD68DC"/>
    <w:rsid w:val="65AE4402"/>
    <w:rsid w:val="65B006F3"/>
    <w:rsid w:val="65B23EF2"/>
    <w:rsid w:val="65B306B7"/>
    <w:rsid w:val="65B33144"/>
    <w:rsid w:val="65B335D9"/>
    <w:rsid w:val="65B55790"/>
    <w:rsid w:val="65B724FF"/>
    <w:rsid w:val="65B92A25"/>
    <w:rsid w:val="65B978C3"/>
    <w:rsid w:val="65BD4533"/>
    <w:rsid w:val="65C01B73"/>
    <w:rsid w:val="65C16D06"/>
    <w:rsid w:val="65C21C5B"/>
    <w:rsid w:val="65C37EAD"/>
    <w:rsid w:val="65C86CB8"/>
    <w:rsid w:val="65C87949"/>
    <w:rsid w:val="65C9251A"/>
    <w:rsid w:val="65CF0BCA"/>
    <w:rsid w:val="65CF416A"/>
    <w:rsid w:val="65D04378"/>
    <w:rsid w:val="65D379C4"/>
    <w:rsid w:val="65D40E26"/>
    <w:rsid w:val="65D5198E"/>
    <w:rsid w:val="65D55AAF"/>
    <w:rsid w:val="65D6368E"/>
    <w:rsid w:val="65D7234C"/>
    <w:rsid w:val="65D86A5F"/>
    <w:rsid w:val="65D91D99"/>
    <w:rsid w:val="65DA5DC2"/>
    <w:rsid w:val="65DC4ACB"/>
    <w:rsid w:val="65E05465"/>
    <w:rsid w:val="65E120E6"/>
    <w:rsid w:val="65E1486C"/>
    <w:rsid w:val="65E258D7"/>
    <w:rsid w:val="65E7150F"/>
    <w:rsid w:val="65E762DB"/>
    <w:rsid w:val="65EC0A86"/>
    <w:rsid w:val="65EC266E"/>
    <w:rsid w:val="65EE0B01"/>
    <w:rsid w:val="65F21726"/>
    <w:rsid w:val="65F4277A"/>
    <w:rsid w:val="65F4293E"/>
    <w:rsid w:val="65F43351"/>
    <w:rsid w:val="65F511BB"/>
    <w:rsid w:val="65F53DDF"/>
    <w:rsid w:val="65F74891"/>
    <w:rsid w:val="65F938CF"/>
    <w:rsid w:val="65FA796C"/>
    <w:rsid w:val="65FC0AC0"/>
    <w:rsid w:val="65FC516D"/>
    <w:rsid w:val="65FC58C9"/>
    <w:rsid w:val="65FF4670"/>
    <w:rsid w:val="66004A06"/>
    <w:rsid w:val="660404C6"/>
    <w:rsid w:val="660677E1"/>
    <w:rsid w:val="66067A74"/>
    <w:rsid w:val="66076484"/>
    <w:rsid w:val="66083B12"/>
    <w:rsid w:val="66091638"/>
    <w:rsid w:val="66092364"/>
    <w:rsid w:val="660B3602"/>
    <w:rsid w:val="660B4B4A"/>
    <w:rsid w:val="660C46BE"/>
    <w:rsid w:val="660C4E9E"/>
    <w:rsid w:val="660D1128"/>
    <w:rsid w:val="660D49BC"/>
    <w:rsid w:val="660D4F6C"/>
    <w:rsid w:val="660F20AA"/>
    <w:rsid w:val="6612061A"/>
    <w:rsid w:val="66124991"/>
    <w:rsid w:val="66135466"/>
    <w:rsid w:val="661355E0"/>
    <w:rsid w:val="66141D8E"/>
    <w:rsid w:val="66171E90"/>
    <w:rsid w:val="661758CC"/>
    <w:rsid w:val="661C67E7"/>
    <w:rsid w:val="661E0AB0"/>
    <w:rsid w:val="661E1616"/>
    <w:rsid w:val="661F21B5"/>
    <w:rsid w:val="661F3E80"/>
    <w:rsid w:val="66246472"/>
    <w:rsid w:val="662621EA"/>
    <w:rsid w:val="662843C6"/>
    <w:rsid w:val="66287D10"/>
    <w:rsid w:val="662A1850"/>
    <w:rsid w:val="662A7374"/>
    <w:rsid w:val="662B5A52"/>
    <w:rsid w:val="662B7800"/>
    <w:rsid w:val="662D42F5"/>
    <w:rsid w:val="662E2A4A"/>
    <w:rsid w:val="663012BB"/>
    <w:rsid w:val="66302B58"/>
    <w:rsid w:val="6630667E"/>
    <w:rsid w:val="66307A8B"/>
    <w:rsid w:val="66334E5F"/>
    <w:rsid w:val="66342B59"/>
    <w:rsid w:val="66352F56"/>
    <w:rsid w:val="663754B0"/>
    <w:rsid w:val="6639016F"/>
    <w:rsid w:val="663A217C"/>
    <w:rsid w:val="663B25E3"/>
    <w:rsid w:val="66406452"/>
    <w:rsid w:val="66430D1D"/>
    <w:rsid w:val="66434B4A"/>
    <w:rsid w:val="664468EB"/>
    <w:rsid w:val="664675B7"/>
    <w:rsid w:val="66476B75"/>
    <w:rsid w:val="66482160"/>
    <w:rsid w:val="66486604"/>
    <w:rsid w:val="664B692F"/>
    <w:rsid w:val="664B7760"/>
    <w:rsid w:val="664F0BAD"/>
    <w:rsid w:val="665054B9"/>
    <w:rsid w:val="66523154"/>
    <w:rsid w:val="66585D7A"/>
    <w:rsid w:val="665D7AEB"/>
    <w:rsid w:val="666420E2"/>
    <w:rsid w:val="6664247F"/>
    <w:rsid w:val="666608EF"/>
    <w:rsid w:val="66673025"/>
    <w:rsid w:val="66691187"/>
    <w:rsid w:val="66691D80"/>
    <w:rsid w:val="666B58FB"/>
    <w:rsid w:val="666C056A"/>
    <w:rsid w:val="666C3901"/>
    <w:rsid w:val="666D7E19"/>
    <w:rsid w:val="66707909"/>
    <w:rsid w:val="6672718B"/>
    <w:rsid w:val="667733BA"/>
    <w:rsid w:val="6679056C"/>
    <w:rsid w:val="667923E2"/>
    <w:rsid w:val="66794A10"/>
    <w:rsid w:val="667B13A2"/>
    <w:rsid w:val="667B2536"/>
    <w:rsid w:val="667B3FDC"/>
    <w:rsid w:val="667C4500"/>
    <w:rsid w:val="6683763C"/>
    <w:rsid w:val="66855A07"/>
    <w:rsid w:val="66882EA5"/>
    <w:rsid w:val="668B53AE"/>
    <w:rsid w:val="668B64F1"/>
    <w:rsid w:val="668C608B"/>
    <w:rsid w:val="668D4017"/>
    <w:rsid w:val="668F16AA"/>
    <w:rsid w:val="669058B5"/>
    <w:rsid w:val="669330D0"/>
    <w:rsid w:val="66955030"/>
    <w:rsid w:val="66965F26"/>
    <w:rsid w:val="669A6BB4"/>
    <w:rsid w:val="669D0C98"/>
    <w:rsid w:val="669E5578"/>
    <w:rsid w:val="669E7FD2"/>
    <w:rsid w:val="669F72A0"/>
    <w:rsid w:val="66A023ED"/>
    <w:rsid w:val="66A15D14"/>
    <w:rsid w:val="66A75698"/>
    <w:rsid w:val="66A8086C"/>
    <w:rsid w:val="66AA5385"/>
    <w:rsid w:val="66AB2A9B"/>
    <w:rsid w:val="66B127A6"/>
    <w:rsid w:val="66B423EC"/>
    <w:rsid w:val="66B522DA"/>
    <w:rsid w:val="66BA652F"/>
    <w:rsid w:val="66BB1E10"/>
    <w:rsid w:val="66BB693E"/>
    <w:rsid w:val="66BC66AA"/>
    <w:rsid w:val="66BD402D"/>
    <w:rsid w:val="66BE37C3"/>
    <w:rsid w:val="66BE420B"/>
    <w:rsid w:val="66BF5746"/>
    <w:rsid w:val="66C27D6F"/>
    <w:rsid w:val="66C32A08"/>
    <w:rsid w:val="66C36496"/>
    <w:rsid w:val="66C37A39"/>
    <w:rsid w:val="66CA14AF"/>
    <w:rsid w:val="66CA26DF"/>
    <w:rsid w:val="66CA6E00"/>
    <w:rsid w:val="66CB6BB5"/>
    <w:rsid w:val="66CD08B8"/>
    <w:rsid w:val="66D165FA"/>
    <w:rsid w:val="66D260B8"/>
    <w:rsid w:val="66D30817"/>
    <w:rsid w:val="66D4239C"/>
    <w:rsid w:val="66D6587A"/>
    <w:rsid w:val="66D71E96"/>
    <w:rsid w:val="66D74331"/>
    <w:rsid w:val="66D8007E"/>
    <w:rsid w:val="66D91E4E"/>
    <w:rsid w:val="66D923D5"/>
    <w:rsid w:val="66D94FA2"/>
    <w:rsid w:val="66D95112"/>
    <w:rsid w:val="66DA1205"/>
    <w:rsid w:val="66DD4B51"/>
    <w:rsid w:val="66DD6DAA"/>
    <w:rsid w:val="66DF3174"/>
    <w:rsid w:val="66E0683D"/>
    <w:rsid w:val="66E27B57"/>
    <w:rsid w:val="66E300DB"/>
    <w:rsid w:val="66E40AD6"/>
    <w:rsid w:val="66E83943"/>
    <w:rsid w:val="66EB246B"/>
    <w:rsid w:val="66EE2D63"/>
    <w:rsid w:val="66EE3541"/>
    <w:rsid w:val="66EE46F1"/>
    <w:rsid w:val="66EE6F97"/>
    <w:rsid w:val="66F128EF"/>
    <w:rsid w:val="66F251B6"/>
    <w:rsid w:val="66F75934"/>
    <w:rsid w:val="66F83B86"/>
    <w:rsid w:val="66F916AD"/>
    <w:rsid w:val="66FA6717"/>
    <w:rsid w:val="66FB4E2C"/>
    <w:rsid w:val="66FC49D5"/>
    <w:rsid w:val="66FD0594"/>
    <w:rsid w:val="66FD6AD2"/>
    <w:rsid w:val="66FE0793"/>
    <w:rsid w:val="67010C05"/>
    <w:rsid w:val="670162B6"/>
    <w:rsid w:val="67040E5E"/>
    <w:rsid w:val="67041A8E"/>
    <w:rsid w:val="670635E6"/>
    <w:rsid w:val="6709462E"/>
    <w:rsid w:val="67097593"/>
    <w:rsid w:val="670A525B"/>
    <w:rsid w:val="671130D8"/>
    <w:rsid w:val="67114C48"/>
    <w:rsid w:val="67122155"/>
    <w:rsid w:val="67134B04"/>
    <w:rsid w:val="671527C8"/>
    <w:rsid w:val="67153D0B"/>
    <w:rsid w:val="67164C20"/>
    <w:rsid w:val="67177D85"/>
    <w:rsid w:val="671B0BBB"/>
    <w:rsid w:val="671C6501"/>
    <w:rsid w:val="671D19E4"/>
    <w:rsid w:val="671D552C"/>
    <w:rsid w:val="6721001D"/>
    <w:rsid w:val="672111F0"/>
    <w:rsid w:val="672229B1"/>
    <w:rsid w:val="67236CF2"/>
    <w:rsid w:val="67255D99"/>
    <w:rsid w:val="67286A40"/>
    <w:rsid w:val="672D1C7D"/>
    <w:rsid w:val="6732696D"/>
    <w:rsid w:val="67332E10"/>
    <w:rsid w:val="67333B53"/>
    <w:rsid w:val="673348C9"/>
    <w:rsid w:val="67335085"/>
    <w:rsid w:val="6737127A"/>
    <w:rsid w:val="673A0261"/>
    <w:rsid w:val="673B33CB"/>
    <w:rsid w:val="673C7AEF"/>
    <w:rsid w:val="67401F36"/>
    <w:rsid w:val="6740562C"/>
    <w:rsid w:val="67452B44"/>
    <w:rsid w:val="674C7A59"/>
    <w:rsid w:val="674D4F34"/>
    <w:rsid w:val="67505147"/>
    <w:rsid w:val="67564D51"/>
    <w:rsid w:val="675656AD"/>
    <w:rsid w:val="67567134"/>
    <w:rsid w:val="67575DF4"/>
    <w:rsid w:val="67583964"/>
    <w:rsid w:val="675A5853"/>
    <w:rsid w:val="675B5EC3"/>
    <w:rsid w:val="675D1C3B"/>
    <w:rsid w:val="675E7762"/>
    <w:rsid w:val="67620F81"/>
    <w:rsid w:val="6763447F"/>
    <w:rsid w:val="67670D0C"/>
    <w:rsid w:val="67684380"/>
    <w:rsid w:val="67695573"/>
    <w:rsid w:val="676A4E9C"/>
    <w:rsid w:val="676A5208"/>
    <w:rsid w:val="676A73AE"/>
    <w:rsid w:val="676D4C8B"/>
    <w:rsid w:val="676E08D0"/>
    <w:rsid w:val="677042F1"/>
    <w:rsid w:val="67727023"/>
    <w:rsid w:val="677376B1"/>
    <w:rsid w:val="67737BA8"/>
    <w:rsid w:val="67753429"/>
    <w:rsid w:val="677551D7"/>
    <w:rsid w:val="6776644A"/>
    <w:rsid w:val="67780823"/>
    <w:rsid w:val="677A62E8"/>
    <w:rsid w:val="677B6565"/>
    <w:rsid w:val="677F2665"/>
    <w:rsid w:val="67803808"/>
    <w:rsid w:val="67822796"/>
    <w:rsid w:val="67823528"/>
    <w:rsid w:val="6784366C"/>
    <w:rsid w:val="67893D52"/>
    <w:rsid w:val="678B05A8"/>
    <w:rsid w:val="678B06C9"/>
    <w:rsid w:val="678B073E"/>
    <w:rsid w:val="678B4940"/>
    <w:rsid w:val="678D4C32"/>
    <w:rsid w:val="678E1D9F"/>
    <w:rsid w:val="678E24B1"/>
    <w:rsid w:val="678E44EB"/>
    <w:rsid w:val="678F7301"/>
    <w:rsid w:val="67915D89"/>
    <w:rsid w:val="6796339F"/>
    <w:rsid w:val="67966F51"/>
    <w:rsid w:val="67982C74"/>
    <w:rsid w:val="67987B5B"/>
    <w:rsid w:val="679924DB"/>
    <w:rsid w:val="679A4982"/>
    <w:rsid w:val="679A7AF7"/>
    <w:rsid w:val="679D472E"/>
    <w:rsid w:val="679F2254"/>
    <w:rsid w:val="67A155D6"/>
    <w:rsid w:val="67A77912"/>
    <w:rsid w:val="67A84CFE"/>
    <w:rsid w:val="67A94E81"/>
    <w:rsid w:val="67AC6406"/>
    <w:rsid w:val="67AE726F"/>
    <w:rsid w:val="67AF0629"/>
    <w:rsid w:val="67B53825"/>
    <w:rsid w:val="67B760BD"/>
    <w:rsid w:val="67B8761B"/>
    <w:rsid w:val="67B9286D"/>
    <w:rsid w:val="67BD092C"/>
    <w:rsid w:val="67C00951"/>
    <w:rsid w:val="67C131D4"/>
    <w:rsid w:val="67C16CCC"/>
    <w:rsid w:val="67C25F42"/>
    <w:rsid w:val="67C35D7B"/>
    <w:rsid w:val="67C577E1"/>
    <w:rsid w:val="67C60ADE"/>
    <w:rsid w:val="67CA180A"/>
    <w:rsid w:val="67CB129B"/>
    <w:rsid w:val="67D0240D"/>
    <w:rsid w:val="67D052DA"/>
    <w:rsid w:val="67D16185"/>
    <w:rsid w:val="67D619EE"/>
    <w:rsid w:val="67D73DEB"/>
    <w:rsid w:val="67D7784B"/>
    <w:rsid w:val="67D85766"/>
    <w:rsid w:val="67D97198"/>
    <w:rsid w:val="67DB0013"/>
    <w:rsid w:val="67DB0DB2"/>
    <w:rsid w:val="67DB598F"/>
    <w:rsid w:val="67E07FD8"/>
    <w:rsid w:val="67E1286C"/>
    <w:rsid w:val="67E22067"/>
    <w:rsid w:val="67E275B3"/>
    <w:rsid w:val="67E4410B"/>
    <w:rsid w:val="67E452A7"/>
    <w:rsid w:val="67E85E64"/>
    <w:rsid w:val="67E91721"/>
    <w:rsid w:val="67E97973"/>
    <w:rsid w:val="67EA0D64"/>
    <w:rsid w:val="67EA1118"/>
    <w:rsid w:val="67EB4DFC"/>
    <w:rsid w:val="67EC1211"/>
    <w:rsid w:val="67EF5603"/>
    <w:rsid w:val="67F43143"/>
    <w:rsid w:val="67F70B21"/>
    <w:rsid w:val="67F71960"/>
    <w:rsid w:val="67F73252"/>
    <w:rsid w:val="67F80FAB"/>
    <w:rsid w:val="67F811E7"/>
    <w:rsid w:val="67F920C3"/>
    <w:rsid w:val="67F971AD"/>
    <w:rsid w:val="67FA3AAC"/>
    <w:rsid w:val="67FB0F17"/>
    <w:rsid w:val="67FB61A0"/>
    <w:rsid w:val="67FC6214"/>
    <w:rsid w:val="67FD2842"/>
    <w:rsid w:val="67FD51CC"/>
    <w:rsid w:val="67FF2CF3"/>
    <w:rsid w:val="68030A35"/>
    <w:rsid w:val="68050429"/>
    <w:rsid w:val="680904E4"/>
    <w:rsid w:val="68097099"/>
    <w:rsid w:val="680C5410"/>
    <w:rsid w:val="680F2729"/>
    <w:rsid w:val="6810701C"/>
    <w:rsid w:val="68126ECA"/>
    <w:rsid w:val="6818021F"/>
    <w:rsid w:val="68193361"/>
    <w:rsid w:val="681A2338"/>
    <w:rsid w:val="681F3395"/>
    <w:rsid w:val="68245CEB"/>
    <w:rsid w:val="6826022B"/>
    <w:rsid w:val="682717DB"/>
    <w:rsid w:val="6827206B"/>
    <w:rsid w:val="6828049B"/>
    <w:rsid w:val="68295FC1"/>
    <w:rsid w:val="682B3395"/>
    <w:rsid w:val="682D7860"/>
    <w:rsid w:val="682E182A"/>
    <w:rsid w:val="68307350"/>
    <w:rsid w:val="683105C0"/>
    <w:rsid w:val="683139A1"/>
    <w:rsid w:val="68315C95"/>
    <w:rsid w:val="6834542E"/>
    <w:rsid w:val="68355734"/>
    <w:rsid w:val="6837248C"/>
    <w:rsid w:val="683741F8"/>
    <w:rsid w:val="6839235A"/>
    <w:rsid w:val="683A1F7D"/>
    <w:rsid w:val="683A5F02"/>
    <w:rsid w:val="683B5B69"/>
    <w:rsid w:val="683C0A1E"/>
    <w:rsid w:val="683C3F47"/>
    <w:rsid w:val="683C7AA3"/>
    <w:rsid w:val="683E644A"/>
    <w:rsid w:val="6840306D"/>
    <w:rsid w:val="684061FE"/>
    <w:rsid w:val="684140AE"/>
    <w:rsid w:val="684150B9"/>
    <w:rsid w:val="68444BA9"/>
    <w:rsid w:val="68446A19"/>
    <w:rsid w:val="68447269"/>
    <w:rsid w:val="68447EF6"/>
    <w:rsid w:val="684626D0"/>
    <w:rsid w:val="68490412"/>
    <w:rsid w:val="684B354F"/>
    <w:rsid w:val="684C6BA2"/>
    <w:rsid w:val="68530749"/>
    <w:rsid w:val="68531116"/>
    <w:rsid w:val="6853303E"/>
    <w:rsid w:val="68563069"/>
    <w:rsid w:val="685A1294"/>
    <w:rsid w:val="685A261F"/>
    <w:rsid w:val="685C0145"/>
    <w:rsid w:val="685E3EBD"/>
    <w:rsid w:val="686457A3"/>
    <w:rsid w:val="68646FFA"/>
    <w:rsid w:val="68647BCC"/>
    <w:rsid w:val="68670D60"/>
    <w:rsid w:val="686731DD"/>
    <w:rsid w:val="6867496A"/>
    <w:rsid w:val="68692862"/>
    <w:rsid w:val="68694064"/>
    <w:rsid w:val="6869675F"/>
    <w:rsid w:val="686A21E8"/>
    <w:rsid w:val="686F3609"/>
    <w:rsid w:val="68701E42"/>
    <w:rsid w:val="687234C5"/>
    <w:rsid w:val="687306F3"/>
    <w:rsid w:val="6874548F"/>
    <w:rsid w:val="68750B51"/>
    <w:rsid w:val="68772494"/>
    <w:rsid w:val="68773BBF"/>
    <w:rsid w:val="68776F7E"/>
    <w:rsid w:val="687C3178"/>
    <w:rsid w:val="687D6CA0"/>
    <w:rsid w:val="687F7DF0"/>
    <w:rsid w:val="68801F06"/>
    <w:rsid w:val="68821A66"/>
    <w:rsid w:val="6884144A"/>
    <w:rsid w:val="68863414"/>
    <w:rsid w:val="688651C2"/>
    <w:rsid w:val="68875A36"/>
    <w:rsid w:val="68914F30"/>
    <w:rsid w:val="68926C75"/>
    <w:rsid w:val="6894168D"/>
    <w:rsid w:val="68954A6A"/>
    <w:rsid w:val="689627C2"/>
    <w:rsid w:val="68972DED"/>
    <w:rsid w:val="689A2A1B"/>
    <w:rsid w:val="689B2A33"/>
    <w:rsid w:val="689B5E52"/>
    <w:rsid w:val="689D3FFD"/>
    <w:rsid w:val="689E0B09"/>
    <w:rsid w:val="689E42BA"/>
    <w:rsid w:val="68A02A67"/>
    <w:rsid w:val="68A06E8C"/>
    <w:rsid w:val="68A114BD"/>
    <w:rsid w:val="68A4359E"/>
    <w:rsid w:val="68A613C0"/>
    <w:rsid w:val="68AB231B"/>
    <w:rsid w:val="68AC4F32"/>
    <w:rsid w:val="68AD09A1"/>
    <w:rsid w:val="68AF2172"/>
    <w:rsid w:val="68AF296B"/>
    <w:rsid w:val="68B16DE2"/>
    <w:rsid w:val="68B26745"/>
    <w:rsid w:val="68B32820"/>
    <w:rsid w:val="68B4622F"/>
    <w:rsid w:val="68B7537B"/>
    <w:rsid w:val="68BA4E6C"/>
    <w:rsid w:val="68BB130F"/>
    <w:rsid w:val="68BC2510"/>
    <w:rsid w:val="68BC5088"/>
    <w:rsid w:val="68BD2F4C"/>
    <w:rsid w:val="68BE7F21"/>
    <w:rsid w:val="68C06926"/>
    <w:rsid w:val="68C63810"/>
    <w:rsid w:val="68C7256E"/>
    <w:rsid w:val="68CA77A4"/>
    <w:rsid w:val="68CB1332"/>
    <w:rsid w:val="68D5110C"/>
    <w:rsid w:val="68D6649F"/>
    <w:rsid w:val="68D75A1D"/>
    <w:rsid w:val="68DC1286"/>
    <w:rsid w:val="68DC1D7B"/>
    <w:rsid w:val="68DD2D07"/>
    <w:rsid w:val="68DF1251"/>
    <w:rsid w:val="68E20B21"/>
    <w:rsid w:val="68E648F2"/>
    <w:rsid w:val="68E65C61"/>
    <w:rsid w:val="68E70B75"/>
    <w:rsid w:val="68EA5751"/>
    <w:rsid w:val="68EA68C2"/>
    <w:rsid w:val="68F23A4E"/>
    <w:rsid w:val="68F24605"/>
    <w:rsid w:val="68F6059A"/>
    <w:rsid w:val="68F90EFE"/>
    <w:rsid w:val="68F95C4B"/>
    <w:rsid w:val="68FC0779"/>
    <w:rsid w:val="68FC7232"/>
    <w:rsid w:val="68FE77B0"/>
    <w:rsid w:val="690059E8"/>
    <w:rsid w:val="69027DBD"/>
    <w:rsid w:val="69036813"/>
    <w:rsid w:val="6904786F"/>
    <w:rsid w:val="690507DD"/>
    <w:rsid w:val="690A194F"/>
    <w:rsid w:val="690B0EB0"/>
    <w:rsid w:val="690B35DE"/>
    <w:rsid w:val="690E31B6"/>
    <w:rsid w:val="690F779A"/>
    <w:rsid w:val="691035DC"/>
    <w:rsid w:val="69117181"/>
    <w:rsid w:val="69136FDE"/>
    <w:rsid w:val="69156018"/>
    <w:rsid w:val="69160588"/>
    <w:rsid w:val="691A6D6F"/>
    <w:rsid w:val="692228EA"/>
    <w:rsid w:val="692536DF"/>
    <w:rsid w:val="69286279"/>
    <w:rsid w:val="692D5055"/>
    <w:rsid w:val="69307BB2"/>
    <w:rsid w:val="6931512E"/>
    <w:rsid w:val="693410C2"/>
    <w:rsid w:val="693764BC"/>
    <w:rsid w:val="69382960"/>
    <w:rsid w:val="69390486"/>
    <w:rsid w:val="693A5EF4"/>
    <w:rsid w:val="693C09A9"/>
    <w:rsid w:val="693E5A9D"/>
    <w:rsid w:val="69402709"/>
    <w:rsid w:val="69421988"/>
    <w:rsid w:val="694420CC"/>
    <w:rsid w:val="6945507D"/>
    <w:rsid w:val="694603DC"/>
    <w:rsid w:val="69460A1B"/>
    <w:rsid w:val="6946188F"/>
    <w:rsid w:val="69470DF5"/>
    <w:rsid w:val="694A354D"/>
    <w:rsid w:val="694C1F68"/>
    <w:rsid w:val="694E0E9C"/>
    <w:rsid w:val="694F26CB"/>
    <w:rsid w:val="694F6680"/>
    <w:rsid w:val="695100E3"/>
    <w:rsid w:val="695157D0"/>
    <w:rsid w:val="6952010C"/>
    <w:rsid w:val="69564B03"/>
    <w:rsid w:val="695739A8"/>
    <w:rsid w:val="69584116"/>
    <w:rsid w:val="695A5750"/>
    <w:rsid w:val="695B21AB"/>
    <w:rsid w:val="695B588E"/>
    <w:rsid w:val="695F7AEB"/>
    <w:rsid w:val="69605E3A"/>
    <w:rsid w:val="69631B29"/>
    <w:rsid w:val="696574CD"/>
    <w:rsid w:val="69666C5E"/>
    <w:rsid w:val="69692996"/>
    <w:rsid w:val="696C3DC2"/>
    <w:rsid w:val="696E1952"/>
    <w:rsid w:val="696E3BE1"/>
    <w:rsid w:val="696E6382"/>
    <w:rsid w:val="69711482"/>
    <w:rsid w:val="69752715"/>
    <w:rsid w:val="69761282"/>
    <w:rsid w:val="697638C4"/>
    <w:rsid w:val="6977185B"/>
    <w:rsid w:val="69790A9B"/>
    <w:rsid w:val="697B17DF"/>
    <w:rsid w:val="697F058F"/>
    <w:rsid w:val="697F47F2"/>
    <w:rsid w:val="69801C11"/>
    <w:rsid w:val="69821E2D"/>
    <w:rsid w:val="6985204A"/>
    <w:rsid w:val="69855479"/>
    <w:rsid w:val="698E07D2"/>
    <w:rsid w:val="698E0D6B"/>
    <w:rsid w:val="69911DD0"/>
    <w:rsid w:val="69931944"/>
    <w:rsid w:val="69936754"/>
    <w:rsid w:val="69992312"/>
    <w:rsid w:val="699B1804"/>
    <w:rsid w:val="699B34F7"/>
    <w:rsid w:val="699B4C9D"/>
    <w:rsid w:val="699D0A15"/>
    <w:rsid w:val="69A17166"/>
    <w:rsid w:val="69A200AE"/>
    <w:rsid w:val="69A209A3"/>
    <w:rsid w:val="69A753F0"/>
    <w:rsid w:val="69A83295"/>
    <w:rsid w:val="69A9389C"/>
    <w:rsid w:val="69A9428C"/>
    <w:rsid w:val="69A9560C"/>
    <w:rsid w:val="69AE1AF0"/>
    <w:rsid w:val="69B07BF6"/>
    <w:rsid w:val="69B10365"/>
    <w:rsid w:val="69B144C0"/>
    <w:rsid w:val="69B33D95"/>
    <w:rsid w:val="69B50C14"/>
    <w:rsid w:val="69B50F2B"/>
    <w:rsid w:val="69B66C5B"/>
    <w:rsid w:val="69B76E56"/>
    <w:rsid w:val="69B83AA1"/>
    <w:rsid w:val="69B95123"/>
    <w:rsid w:val="69BA15C7"/>
    <w:rsid w:val="69BB533F"/>
    <w:rsid w:val="69BE2739"/>
    <w:rsid w:val="69C064B2"/>
    <w:rsid w:val="69C500A1"/>
    <w:rsid w:val="69C56E2D"/>
    <w:rsid w:val="69C62D05"/>
    <w:rsid w:val="69C95AC3"/>
    <w:rsid w:val="69CA3FC5"/>
    <w:rsid w:val="69CB37D4"/>
    <w:rsid w:val="69CB6548"/>
    <w:rsid w:val="69CB7928"/>
    <w:rsid w:val="69CC4E56"/>
    <w:rsid w:val="69CC709D"/>
    <w:rsid w:val="69CD0CF9"/>
    <w:rsid w:val="69CE02FF"/>
    <w:rsid w:val="69D501AF"/>
    <w:rsid w:val="69D61FD5"/>
    <w:rsid w:val="69D65C6C"/>
    <w:rsid w:val="69D75139"/>
    <w:rsid w:val="69D87C9F"/>
    <w:rsid w:val="69D87D83"/>
    <w:rsid w:val="69DA12FC"/>
    <w:rsid w:val="69DA2213"/>
    <w:rsid w:val="69DB153D"/>
    <w:rsid w:val="69DC0EA6"/>
    <w:rsid w:val="69DC778F"/>
    <w:rsid w:val="69DD0E08"/>
    <w:rsid w:val="69DD52B6"/>
    <w:rsid w:val="69DF33FB"/>
    <w:rsid w:val="69E75AE7"/>
    <w:rsid w:val="69EE1271"/>
    <w:rsid w:val="69F0323B"/>
    <w:rsid w:val="69F04850"/>
    <w:rsid w:val="69F057E1"/>
    <w:rsid w:val="69F061A9"/>
    <w:rsid w:val="69F12B0F"/>
    <w:rsid w:val="69F3745B"/>
    <w:rsid w:val="69F65C23"/>
    <w:rsid w:val="69F73D5B"/>
    <w:rsid w:val="69F76497"/>
    <w:rsid w:val="69FB017C"/>
    <w:rsid w:val="69FB2F29"/>
    <w:rsid w:val="69FF3DA6"/>
    <w:rsid w:val="69FF6FDA"/>
    <w:rsid w:val="6A024D1C"/>
    <w:rsid w:val="6A0942FC"/>
    <w:rsid w:val="6A0953F7"/>
    <w:rsid w:val="6A0B7982"/>
    <w:rsid w:val="6A0C30C9"/>
    <w:rsid w:val="6A0C7949"/>
    <w:rsid w:val="6A0F46ED"/>
    <w:rsid w:val="6A100FD1"/>
    <w:rsid w:val="6A101D19"/>
    <w:rsid w:val="6A110E0D"/>
    <w:rsid w:val="6A130CD7"/>
    <w:rsid w:val="6A144187"/>
    <w:rsid w:val="6A1709C7"/>
    <w:rsid w:val="6A177A75"/>
    <w:rsid w:val="6A19165D"/>
    <w:rsid w:val="6A196DA5"/>
    <w:rsid w:val="6A1A2066"/>
    <w:rsid w:val="6A1A7CF2"/>
    <w:rsid w:val="6A1B14C6"/>
    <w:rsid w:val="6A1D0DB0"/>
    <w:rsid w:val="6A1D52DF"/>
    <w:rsid w:val="6A1F767C"/>
    <w:rsid w:val="6A2353BE"/>
    <w:rsid w:val="6A260A0B"/>
    <w:rsid w:val="6A272229"/>
    <w:rsid w:val="6A276531"/>
    <w:rsid w:val="6A2820A4"/>
    <w:rsid w:val="6A2A361C"/>
    <w:rsid w:val="6A2B4273"/>
    <w:rsid w:val="6A2C3B47"/>
    <w:rsid w:val="6A2D0798"/>
    <w:rsid w:val="6A2D7FEB"/>
    <w:rsid w:val="6A310DC4"/>
    <w:rsid w:val="6A325601"/>
    <w:rsid w:val="6A334ED5"/>
    <w:rsid w:val="6A3A1C45"/>
    <w:rsid w:val="6A405A48"/>
    <w:rsid w:val="6A42015E"/>
    <w:rsid w:val="6A42336B"/>
    <w:rsid w:val="6A451B01"/>
    <w:rsid w:val="6A4C0A7B"/>
    <w:rsid w:val="6A4D2210"/>
    <w:rsid w:val="6A4D6E6C"/>
    <w:rsid w:val="6A503CD9"/>
    <w:rsid w:val="6A51641B"/>
    <w:rsid w:val="6A54799D"/>
    <w:rsid w:val="6A55309E"/>
    <w:rsid w:val="6A553BF7"/>
    <w:rsid w:val="6A570BC4"/>
    <w:rsid w:val="6A574FAB"/>
    <w:rsid w:val="6A584420"/>
    <w:rsid w:val="6A5D3B5C"/>
    <w:rsid w:val="6A5F216E"/>
    <w:rsid w:val="6A610186"/>
    <w:rsid w:val="6A6148D6"/>
    <w:rsid w:val="6A674B7F"/>
    <w:rsid w:val="6A6B28C1"/>
    <w:rsid w:val="6A6B4794"/>
    <w:rsid w:val="6A6D784A"/>
    <w:rsid w:val="6A6F28B7"/>
    <w:rsid w:val="6A701C86"/>
    <w:rsid w:val="6A7154B9"/>
    <w:rsid w:val="6A7259FE"/>
    <w:rsid w:val="6A731776"/>
    <w:rsid w:val="6A7379C8"/>
    <w:rsid w:val="6A743278"/>
    <w:rsid w:val="6A753740"/>
    <w:rsid w:val="6A7E6664"/>
    <w:rsid w:val="6A7F6A64"/>
    <w:rsid w:val="6A7F75FD"/>
    <w:rsid w:val="6A814C52"/>
    <w:rsid w:val="6A851CDB"/>
    <w:rsid w:val="6A8614A9"/>
    <w:rsid w:val="6A8637A5"/>
    <w:rsid w:val="6A876F17"/>
    <w:rsid w:val="6A8A218E"/>
    <w:rsid w:val="6A8C3DC7"/>
    <w:rsid w:val="6A8D2838"/>
    <w:rsid w:val="6A8E65B0"/>
    <w:rsid w:val="6A9040D6"/>
    <w:rsid w:val="6A906766"/>
    <w:rsid w:val="6A914238"/>
    <w:rsid w:val="6A92332A"/>
    <w:rsid w:val="6A934ADD"/>
    <w:rsid w:val="6A941E18"/>
    <w:rsid w:val="6A952428"/>
    <w:rsid w:val="6A965FDC"/>
    <w:rsid w:val="6A9701A5"/>
    <w:rsid w:val="6A9736B6"/>
    <w:rsid w:val="6A9811DC"/>
    <w:rsid w:val="6A9C7BD0"/>
    <w:rsid w:val="6A9E67F3"/>
    <w:rsid w:val="6AA231AD"/>
    <w:rsid w:val="6AA34C50"/>
    <w:rsid w:val="6AA4394A"/>
    <w:rsid w:val="6AA665FD"/>
    <w:rsid w:val="6AA8002E"/>
    <w:rsid w:val="6AA95198"/>
    <w:rsid w:val="6AAA7D24"/>
    <w:rsid w:val="6AAE5152"/>
    <w:rsid w:val="6AB029CA"/>
    <w:rsid w:val="6AB11106"/>
    <w:rsid w:val="6AB161C1"/>
    <w:rsid w:val="6AB2229E"/>
    <w:rsid w:val="6AB53B3C"/>
    <w:rsid w:val="6AB57FE0"/>
    <w:rsid w:val="6AB62516"/>
    <w:rsid w:val="6AB74A42"/>
    <w:rsid w:val="6AB8422B"/>
    <w:rsid w:val="6AB853DB"/>
    <w:rsid w:val="6AB9046E"/>
    <w:rsid w:val="6AB9187F"/>
    <w:rsid w:val="6ABA1153"/>
    <w:rsid w:val="6ABB63D7"/>
    <w:rsid w:val="6ABE14AD"/>
    <w:rsid w:val="6AC10733"/>
    <w:rsid w:val="6AC22747"/>
    <w:rsid w:val="6AC5539F"/>
    <w:rsid w:val="6AC70973"/>
    <w:rsid w:val="6AC94191"/>
    <w:rsid w:val="6AC95643"/>
    <w:rsid w:val="6ACB3360"/>
    <w:rsid w:val="6ACE0429"/>
    <w:rsid w:val="6ACE65A7"/>
    <w:rsid w:val="6AD20AE0"/>
    <w:rsid w:val="6AD36967"/>
    <w:rsid w:val="6AD5555B"/>
    <w:rsid w:val="6AD761A9"/>
    <w:rsid w:val="6AD8182A"/>
    <w:rsid w:val="6AD90006"/>
    <w:rsid w:val="6AD9782B"/>
    <w:rsid w:val="6ADB166F"/>
    <w:rsid w:val="6ADB2195"/>
    <w:rsid w:val="6ADD0406"/>
    <w:rsid w:val="6ADD0FD4"/>
    <w:rsid w:val="6ADD2BBA"/>
    <w:rsid w:val="6ADE7537"/>
    <w:rsid w:val="6ADF428C"/>
    <w:rsid w:val="6AE12B83"/>
    <w:rsid w:val="6AE575ED"/>
    <w:rsid w:val="6AE920D5"/>
    <w:rsid w:val="6AEB548E"/>
    <w:rsid w:val="6AF01018"/>
    <w:rsid w:val="6AF02DC7"/>
    <w:rsid w:val="6AF05745"/>
    <w:rsid w:val="6AF12095"/>
    <w:rsid w:val="6AF1726A"/>
    <w:rsid w:val="6AF37A21"/>
    <w:rsid w:val="6AF723A7"/>
    <w:rsid w:val="6AF875AE"/>
    <w:rsid w:val="6AFC455C"/>
    <w:rsid w:val="6B011F97"/>
    <w:rsid w:val="6B0154D6"/>
    <w:rsid w:val="6B0223CE"/>
    <w:rsid w:val="6B0845B4"/>
    <w:rsid w:val="6B0A15CE"/>
    <w:rsid w:val="6B0A20DA"/>
    <w:rsid w:val="6B0B0913"/>
    <w:rsid w:val="6B0C2230"/>
    <w:rsid w:val="6B0D317B"/>
    <w:rsid w:val="6B0E1395"/>
    <w:rsid w:val="6B1116BB"/>
    <w:rsid w:val="6B144D07"/>
    <w:rsid w:val="6B14628C"/>
    <w:rsid w:val="6B146AE8"/>
    <w:rsid w:val="6B15282D"/>
    <w:rsid w:val="6B175D95"/>
    <w:rsid w:val="6B1765A5"/>
    <w:rsid w:val="6B1A7B12"/>
    <w:rsid w:val="6B1B172D"/>
    <w:rsid w:val="6B1C2AE1"/>
    <w:rsid w:val="6B1E16E2"/>
    <w:rsid w:val="6B2111D2"/>
    <w:rsid w:val="6B225676"/>
    <w:rsid w:val="6B24048F"/>
    <w:rsid w:val="6B252D96"/>
    <w:rsid w:val="6B263E67"/>
    <w:rsid w:val="6B2A1CD2"/>
    <w:rsid w:val="6B2B1A37"/>
    <w:rsid w:val="6B2B3634"/>
    <w:rsid w:val="6B2C6821"/>
    <w:rsid w:val="6B2E5977"/>
    <w:rsid w:val="6B2E65E3"/>
    <w:rsid w:val="6B30297D"/>
    <w:rsid w:val="6B3137FD"/>
    <w:rsid w:val="6B3233DF"/>
    <w:rsid w:val="6B3322F6"/>
    <w:rsid w:val="6B3453A9"/>
    <w:rsid w:val="6B356837"/>
    <w:rsid w:val="6B364190"/>
    <w:rsid w:val="6B390B14"/>
    <w:rsid w:val="6B3A2BB1"/>
    <w:rsid w:val="6B3A7A5D"/>
    <w:rsid w:val="6B3C7DBA"/>
    <w:rsid w:val="6B3D1A39"/>
    <w:rsid w:val="6B4214C7"/>
    <w:rsid w:val="6B427AC6"/>
    <w:rsid w:val="6B4636FB"/>
    <w:rsid w:val="6B4B5506"/>
    <w:rsid w:val="6B4D1FC7"/>
    <w:rsid w:val="6B4D30C6"/>
    <w:rsid w:val="6B4F5D3F"/>
    <w:rsid w:val="6B4F7C12"/>
    <w:rsid w:val="6B527557"/>
    <w:rsid w:val="6B531CE8"/>
    <w:rsid w:val="6B5475B6"/>
    <w:rsid w:val="6B553982"/>
    <w:rsid w:val="6B5720B5"/>
    <w:rsid w:val="6B574BF4"/>
    <w:rsid w:val="6B575EAD"/>
    <w:rsid w:val="6B5966AC"/>
    <w:rsid w:val="6B596BBE"/>
    <w:rsid w:val="6B5A26B9"/>
    <w:rsid w:val="6B5C220A"/>
    <w:rsid w:val="6B5E4ECB"/>
    <w:rsid w:val="6B5F1CFB"/>
    <w:rsid w:val="6B5F7270"/>
    <w:rsid w:val="6B6031EC"/>
    <w:rsid w:val="6B610CCA"/>
    <w:rsid w:val="6B61222A"/>
    <w:rsid w:val="6B63632B"/>
    <w:rsid w:val="6B64762B"/>
    <w:rsid w:val="6B657311"/>
    <w:rsid w:val="6B682EF1"/>
    <w:rsid w:val="6B6C20F6"/>
    <w:rsid w:val="6B6D2669"/>
    <w:rsid w:val="6B6D36C9"/>
    <w:rsid w:val="6B6D4A66"/>
    <w:rsid w:val="6B6E2E3F"/>
    <w:rsid w:val="6B6F525C"/>
    <w:rsid w:val="6B71426E"/>
    <w:rsid w:val="6B726DFF"/>
    <w:rsid w:val="6B730AA4"/>
    <w:rsid w:val="6B73213B"/>
    <w:rsid w:val="6B747200"/>
    <w:rsid w:val="6B767770"/>
    <w:rsid w:val="6B78606C"/>
    <w:rsid w:val="6B797F1B"/>
    <w:rsid w:val="6B7B1AB7"/>
    <w:rsid w:val="6B7C3FFB"/>
    <w:rsid w:val="6B7C4678"/>
    <w:rsid w:val="6B7C5E04"/>
    <w:rsid w:val="6B7D7CB3"/>
    <w:rsid w:val="6B7F14B0"/>
    <w:rsid w:val="6B8023DC"/>
    <w:rsid w:val="6B8816F8"/>
    <w:rsid w:val="6B8974A3"/>
    <w:rsid w:val="6B8E4AB9"/>
    <w:rsid w:val="6B8F3583"/>
    <w:rsid w:val="6B914CBA"/>
    <w:rsid w:val="6B916358"/>
    <w:rsid w:val="6B926FB7"/>
    <w:rsid w:val="6B934AE2"/>
    <w:rsid w:val="6B972E34"/>
    <w:rsid w:val="6B974819"/>
    <w:rsid w:val="6B9876E6"/>
    <w:rsid w:val="6B9A2703"/>
    <w:rsid w:val="6B9B2D32"/>
    <w:rsid w:val="6B9D6663"/>
    <w:rsid w:val="6B9E04A2"/>
    <w:rsid w:val="6B9E091B"/>
    <w:rsid w:val="6B9E0A74"/>
    <w:rsid w:val="6B9E5DC1"/>
    <w:rsid w:val="6BA142B6"/>
    <w:rsid w:val="6BA61325"/>
    <w:rsid w:val="6BA70DD8"/>
    <w:rsid w:val="6BA8358E"/>
    <w:rsid w:val="6BA84AE2"/>
    <w:rsid w:val="6BA907F0"/>
    <w:rsid w:val="6BA94DF4"/>
    <w:rsid w:val="6BA97D41"/>
    <w:rsid w:val="6BAA7419"/>
    <w:rsid w:val="6BAD0172"/>
    <w:rsid w:val="6BAE515B"/>
    <w:rsid w:val="6BAF67DE"/>
    <w:rsid w:val="6BB107A8"/>
    <w:rsid w:val="6BB12BB4"/>
    <w:rsid w:val="6BB310A3"/>
    <w:rsid w:val="6BB5158B"/>
    <w:rsid w:val="6BB55449"/>
    <w:rsid w:val="6BB5749C"/>
    <w:rsid w:val="6BB943CF"/>
    <w:rsid w:val="6BB97D35"/>
    <w:rsid w:val="6BBA4CAB"/>
    <w:rsid w:val="6BBD50B2"/>
    <w:rsid w:val="6BBF0117"/>
    <w:rsid w:val="6BC404DB"/>
    <w:rsid w:val="6BC85392"/>
    <w:rsid w:val="6BC87F51"/>
    <w:rsid w:val="6BCC1125"/>
    <w:rsid w:val="6BCC1DAA"/>
    <w:rsid w:val="6BCE3108"/>
    <w:rsid w:val="6BCE7896"/>
    <w:rsid w:val="6BD02406"/>
    <w:rsid w:val="6BD050D2"/>
    <w:rsid w:val="6BD05FBC"/>
    <w:rsid w:val="6BD06545"/>
    <w:rsid w:val="6BD17F47"/>
    <w:rsid w:val="6BD2397F"/>
    <w:rsid w:val="6BD53207"/>
    <w:rsid w:val="6BD6020E"/>
    <w:rsid w:val="6BD65659"/>
    <w:rsid w:val="6BD72563"/>
    <w:rsid w:val="6BDC3D01"/>
    <w:rsid w:val="6BDD2BFA"/>
    <w:rsid w:val="6BDD334B"/>
    <w:rsid w:val="6BDD3803"/>
    <w:rsid w:val="6BDF3567"/>
    <w:rsid w:val="6BE4292B"/>
    <w:rsid w:val="6BE47003"/>
    <w:rsid w:val="6BE7203A"/>
    <w:rsid w:val="6BE80A4C"/>
    <w:rsid w:val="6BE857E9"/>
    <w:rsid w:val="6BE96135"/>
    <w:rsid w:val="6BEC7F0B"/>
    <w:rsid w:val="6BF06B43"/>
    <w:rsid w:val="6BF15048"/>
    <w:rsid w:val="6BF508FC"/>
    <w:rsid w:val="6BF52F17"/>
    <w:rsid w:val="6BF749CB"/>
    <w:rsid w:val="6BF80185"/>
    <w:rsid w:val="6BFA214F"/>
    <w:rsid w:val="6BFC3B49"/>
    <w:rsid w:val="6BFF59B7"/>
    <w:rsid w:val="6C001354"/>
    <w:rsid w:val="6C004D10"/>
    <w:rsid w:val="6C0135EE"/>
    <w:rsid w:val="6C040838"/>
    <w:rsid w:val="6C05712E"/>
    <w:rsid w:val="6C066D46"/>
    <w:rsid w:val="6C07085B"/>
    <w:rsid w:val="6C104B90"/>
    <w:rsid w:val="6C110C52"/>
    <w:rsid w:val="6C11795F"/>
    <w:rsid w:val="6C1236FE"/>
    <w:rsid w:val="6C133210"/>
    <w:rsid w:val="6C134FBF"/>
    <w:rsid w:val="6C141DD0"/>
    <w:rsid w:val="6C150D37"/>
    <w:rsid w:val="6C1672C1"/>
    <w:rsid w:val="6C172D01"/>
    <w:rsid w:val="6C184383"/>
    <w:rsid w:val="6C1C54F5"/>
    <w:rsid w:val="6C1D5E3D"/>
    <w:rsid w:val="6C1F1BB5"/>
    <w:rsid w:val="6C222D83"/>
    <w:rsid w:val="6C2373DC"/>
    <w:rsid w:val="6C2471CC"/>
    <w:rsid w:val="6C2660DD"/>
    <w:rsid w:val="6C270246"/>
    <w:rsid w:val="6C2A0DA5"/>
    <w:rsid w:val="6C2A4B84"/>
    <w:rsid w:val="6C2B34CD"/>
    <w:rsid w:val="6C2C7E2E"/>
    <w:rsid w:val="6C2E0481"/>
    <w:rsid w:val="6C2E3B4B"/>
    <w:rsid w:val="6C2E5151"/>
    <w:rsid w:val="6C3205E4"/>
    <w:rsid w:val="6C32417E"/>
    <w:rsid w:val="6C327B3B"/>
    <w:rsid w:val="6C3379D8"/>
    <w:rsid w:val="6C345E7A"/>
    <w:rsid w:val="6C3573FF"/>
    <w:rsid w:val="6C3872B6"/>
    <w:rsid w:val="6C3948C0"/>
    <w:rsid w:val="6C3B04AD"/>
    <w:rsid w:val="6C3C2767"/>
    <w:rsid w:val="6C3F1329"/>
    <w:rsid w:val="6C4320B0"/>
    <w:rsid w:val="6C44161C"/>
    <w:rsid w:val="6C4433CA"/>
    <w:rsid w:val="6C446244"/>
    <w:rsid w:val="6C4663A0"/>
    <w:rsid w:val="6C496C32"/>
    <w:rsid w:val="6C4B29AA"/>
    <w:rsid w:val="6C4B44C7"/>
    <w:rsid w:val="6C4B6506"/>
    <w:rsid w:val="6C4C04D0"/>
    <w:rsid w:val="6C4D329F"/>
    <w:rsid w:val="6C506213"/>
    <w:rsid w:val="6C510B5D"/>
    <w:rsid w:val="6C515AE7"/>
    <w:rsid w:val="6C522A50"/>
    <w:rsid w:val="6C541E33"/>
    <w:rsid w:val="6C583647"/>
    <w:rsid w:val="6C5A2BED"/>
    <w:rsid w:val="6C5B498E"/>
    <w:rsid w:val="6C5B7090"/>
    <w:rsid w:val="6C5D26DE"/>
    <w:rsid w:val="6C5E0930"/>
    <w:rsid w:val="6C5E50EA"/>
    <w:rsid w:val="6C5E5AB6"/>
    <w:rsid w:val="6C604A90"/>
    <w:rsid w:val="6C6273AB"/>
    <w:rsid w:val="6C644217"/>
    <w:rsid w:val="6C650911"/>
    <w:rsid w:val="6C657A16"/>
    <w:rsid w:val="6C682001"/>
    <w:rsid w:val="6C692037"/>
    <w:rsid w:val="6C6B6BA9"/>
    <w:rsid w:val="6C6B7BC0"/>
    <w:rsid w:val="6C6C20FF"/>
    <w:rsid w:val="6C6D26B8"/>
    <w:rsid w:val="6C6E1A81"/>
    <w:rsid w:val="6C6F66D5"/>
    <w:rsid w:val="6C710554"/>
    <w:rsid w:val="6C742890"/>
    <w:rsid w:val="6C754FBA"/>
    <w:rsid w:val="6C755C79"/>
    <w:rsid w:val="6C7672FB"/>
    <w:rsid w:val="6C7705DE"/>
    <w:rsid w:val="6C77626C"/>
    <w:rsid w:val="6C792A11"/>
    <w:rsid w:val="6C7C73D5"/>
    <w:rsid w:val="6C7D047C"/>
    <w:rsid w:val="6C7D4B2E"/>
    <w:rsid w:val="6C7F08A6"/>
    <w:rsid w:val="6C830727"/>
    <w:rsid w:val="6C861C34"/>
    <w:rsid w:val="6C8726F7"/>
    <w:rsid w:val="6C875753"/>
    <w:rsid w:val="6C8853C9"/>
    <w:rsid w:val="6C892993"/>
    <w:rsid w:val="6C895281"/>
    <w:rsid w:val="6C8B40D0"/>
    <w:rsid w:val="6C8E61E8"/>
    <w:rsid w:val="6C9003BD"/>
    <w:rsid w:val="6C904861"/>
    <w:rsid w:val="6C924135"/>
    <w:rsid w:val="6C962F8F"/>
    <w:rsid w:val="6C96452E"/>
    <w:rsid w:val="6C967015"/>
    <w:rsid w:val="6C983716"/>
    <w:rsid w:val="6C9E0378"/>
    <w:rsid w:val="6C9F4AA4"/>
    <w:rsid w:val="6CA03A56"/>
    <w:rsid w:val="6CA2289F"/>
    <w:rsid w:val="6CA46403"/>
    <w:rsid w:val="6CA65E33"/>
    <w:rsid w:val="6CA83F0D"/>
    <w:rsid w:val="6CAA005C"/>
    <w:rsid w:val="6CAA7353"/>
    <w:rsid w:val="6CAC57E8"/>
    <w:rsid w:val="6CAF4700"/>
    <w:rsid w:val="6CAF75BB"/>
    <w:rsid w:val="6CB0280D"/>
    <w:rsid w:val="6CB040AA"/>
    <w:rsid w:val="6CB1287D"/>
    <w:rsid w:val="6CB13578"/>
    <w:rsid w:val="6CBB0B06"/>
    <w:rsid w:val="6CBB7AB5"/>
    <w:rsid w:val="6CBC2133"/>
    <w:rsid w:val="6CBD49A9"/>
    <w:rsid w:val="6CBE482D"/>
    <w:rsid w:val="6CC53523"/>
    <w:rsid w:val="6CC54BBE"/>
    <w:rsid w:val="6CC70971"/>
    <w:rsid w:val="6CC82894"/>
    <w:rsid w:val="6CC87B57"/>
    <w:rsid w:val="6CCB3AEB"/>
    <w:rsid w:val="6CCB5291"/>
    <w:rsid w:val="6CCC42E5"/>
    <w:rsid w:val="6CCE0EE6"/>
    <w:rsid w:val="6CCE55C4"/>
    <w:rsid w:val="6CD209D6"/>
    <w:rsid w:val="6CD234F8"/>
    <w:rsid w:val="6CD75754"/>
    <w:rsid w:val="6CD81D64"/>
    <w:rsid w:val="6CD96208"/>
    <w:rsid w:val="6CDA449C"/>
    <w:rsid w:val="6CDA788A"/>
    <w:rsid w:val="6CDE737B"/>
    <w:rsid w:val="6CDF01E5"/>
    <w:rsid w:val="6CDF75D7"/>
    <w:rsid w:val="6CE02CFC"/>
    <w:rsid w:val="6CE06E5E"/>
    <w:rsid w:val="6CE32BE3"/>
    <w:rsid w:val="6CE34991"/>
    <w:rsid w:val="6CE626D3"/>
    <w:rsid w:val="6CE831D2"/>
    <w:rsid w:val="6CEA1EDF"/>
    <w:rsid w:val="6CED5810"/>
    <w:rsid w:val="6CEF1588"/>
    <w:rsid w:val="6CEF645C"/>
    <w:rsid w:val="6CF03323"/>
    <w:rsid w:val="6CF272CA"/>
    <w:rsid w:val="6CF2784B"/>
    <w:rsid w:val="6CF44DF0"/>
    <w:rsid w:val="6CF45AD8"/>
    <w:rsid w:val="6CF748E0"/>
    <w:rsid w:val="6CF80F83"/>
    <w:rsid w:val="6CF941B4"/>
    <w:rsid w:val="6CFC3CA5"/>
    <w:rsid w:val="6CFD3F9D"/>
    <w:rsid w:val="6CFD6CF2"/>
    <w:rsid w:val="6CFD79B7"/>
    <w:rsid w:val="6D0112BB"/>
    <w:rsid w:val="6D013069"/>
    <w:rsid w:val="6D015823"/>
    <w:rsid w:val="6D036DE1"/>
    <w:rsid w:val="6D050DAB"/>
    <w:rsid w:val="6D077FD9"/>
    <w:rsid w:val="6D083B00"/>
    <w:rsid w:val="6D0847B1"/>
    <w:rsid w:val="6D085E3F"/>
    <w:rsid w:val="6D087D49"/>
    <w:rsid w:val="6D0A14BC"/>
    <w:rsid w:val="6D0C168E"/>
    <w:rsid w:val="6D0F4B4D"/>
    <w:rsid w:val="6D11251F"/>
    <w:rsid w:val="6D12171A"/>
    <w:rsid w:val="6D1303A1"/>
    <w:rsid w:val="6D16034B"/>
    <w:rsid w:val="6D162FB8"/>
    <w:rsid w:val="6D18386D"/>
    <w:rsid w:val="6D1B05CF"/>
    <w:rsid w:val="6D1E6BF3"/>
    <w:rsid w:val="6D205BE5"/>
    <w:rsid w:val="6D21195D"/>
    <w:rsid w:val="6D2531FB"/>
    <w:rsid w:val="6D25480D"/>
    <w:rsid w:val="6D262AD0"/>
    <w:rsid w:val="6D2633D4"/>
    <w:rsid w:val="6D28698A"/>
    <w:rsid w:val="6D291BD2"/>
    <w:rsid w:val="6D2C27DC"/>
    <w:rsid w:val="6D2D0302"/>
    <w:rsid w:val="6D2D10CA"/>
    <w:rsid w:val="6D2E0651"/>
    <w:rsid w:val="6D2E358B"/>
    <w:rsid w:val="6D2F068C"/>
    <w:rsid w:val="6D2F7BD6"/>
    <w:rsid w:val="6D307F20"/>
    <w:rsid w:val="6D317DF2"/>
    <w:rsid w:val="6D3225A4"/>
    <w:rsid w:val="6D3E250F"/>
    <w:rsid w:val="6D3E2558"/>
    <w:rsid w:val="6D4232F2"/>
    <w:rsid w:val="6D423B36"/>
    <w:rsid w:val="6D453774"/>
    <w:rsid w:val="6D463172"/>
    <w:rsid w:val="6D49468E"/>
    <w:rsid w:val="6D4C7DD0"/>
    <w:rsid w:val="6D51581F"/>
    <w:rsid w:val="6D535DD6"/>
    <w:rsid w:val="6D541E34"/>
    <w:rsid w:val="6D5626C1"/>
    <w:rsid w:val="6D567859"/>
    <w:rsid w:val="6D57537F"/>
    <w:rsid w:val="6D5A4442"/>
    <w:rsid w:val="6D5B38AF"/>
    <w:rsid w:val="6D5C2995"/>
    <w:rsid w:val="6D5C4743"/>
    <w:rsid w:val="6D5E2269"/>
    <w:rsid w:val="6D5E4080"/>
    <w:rsid w:val="6D616C89"/>
    <w:rsid w:val="6D6261FE"/>
    <w:rsid w:val="6D634021"/>
    <w:rsid w:val="6D6504CA"/>
    <w:rsid w:val="6D6555B9"/>
    <w:rsid w:val="6D667901"/>
    <w:rsid w:val="6D6C73C3"/>
    <w:rsid w:val="6D6D06FE"/>
    <w:rsid w:val="6D6E719E"/>
    <w:rsid w:val="6D7035E4"/>
    <w:rsid w:val="6D7154A2"/>
    <w:rsid w:val="6D7421F9"/>
    <w:rsid w:val="6D75250F"/>
    <w:rsid w:val="6D754F28"/>
    <w:rsid w:val="6D7B2E1B"/>
    <w:rsid w:val="6D7C7E63"/>
    <w:rsid w:val="6D8002DC"/>
    <w:rsid w:val="6D8141AA"/>
    <w:rsid w:val="6D82099A"/>
    <w:rsid w:val="6D865EAD"/>
    <w:rsid w:val="6D877A12"/>
    <w:rsid w:val="6D8819DC"/>
    <w:rsid w:val="6D8A305E"/>
    <w:rsid w:val="6D8B090B"/>
    <w:rsid w:val="6D8C05DE"/>
    <w:rsid w:val="6D8C5028"/>
    <w:rsid w:val="6D8C58A4"/>
    <w:rsid w:val="6D8C6446"/>
    <w:rsid w:val="6D8D2B4F"/>
    <w:rsid w:val="6D9143ED"/>
    <w:rsid w:val="6D9200C5"/>
    <w:rsid w:val="6D937175"/>
    <w:rsid w:val="6D943EDD"/>
    <w:rsid w:val="6D9526AD"/>
    <w:rsid w:val="6D9542BD"/>
    <w:rsid w:val="6D976DC8"/>
    <w:rsid w:val="6D995269"/>
    <w:rsid w:val="6D9A6DE4"/>
    <w:rsid w:val="6D9E161B"/>
    <w:rsid w:val="6D9E4D5C"/>
    <w:rsid w:val="6D9F775B"/>
    <w:rsid w:val="6DA575B4"/>
    <w:rsid w:val="6DA700B4"/>
    <w:rsid w:val="6DA71E62"/>
    <w:rsid w:val="6DA85BDA"/>
    <w:rsid w:val="6DA9581A"/>
    <w:rsid w:val="6DAB603C"/>
    <w:rsid w:val="6DAC1F0A"/>
    <w:rsid w:val="6DAD4F9F"/>
    <w:rsid w:val="6DAE1443"/>
    <w:rsid w:val="6DAE5F31"/>
    <w:rsid w:val="6DAF0D17"/>
    <w:rsid w:val="6DAF1157"/>
    <w:rsid w:val="6DB12CE1"/>
    <w:rsid w:val="6DB24D6B"/>
    <w:rsid w:val="6DB4632D"/>
    <w:rsid w:val="6DB71556"/>
    <w:rsid w:val="6DB73862"/>
    <w:rsid w:val="6DB74F1E"/>
    <w:rsid w:val="6DBD0467"/>
    <w:rsid w:val="6DBE0F5A"/>
    <w:rsid w:val="6DC04CD2"/>
    <w:rsid w:val="6DC24EEE"/>
    <w:rsid w:val="6DC25BD3"/>
    <w:rsid w:val="6DC30C08"/>
    <w:rsid w:val="6DC337AF"/>
    <w:rsid w:val="6DC81DD9"/>
    <w:rsid w:val="6DC870F0"/>
    <w:rsid w:val="6DCC29E7"/>
    <w:rsid w:val="6DCC3677"/>
    <w:rsid w:val="6DD07C1D"/>
    <w:rsid w:val="6DD13DAD"/>
    <w:rsid w:val="6DD23D56"/>
    <w:rsid w:val="6DD358C1"/>
    <w:rsid w:val="6DD62748"/>
    <w:rsid w:val="6DD644F6"/>
    <w:rsid w:val="6DD864C0"/>
    <w:rsid w:val="6DD93190"/>
    <w:rsid w:val="6DDE7219"/>
    <w:rsid w:val="6DDF7C7F"/>
    <w:rsid w:val="6DE035C6"/>
    <w:rsid w:val="6DE25509"/>
    <w:rsid w:val="6DE40A0C"/>
    <w:rsid w:val="6DE44E65"/>
    <w:rsid w:val="6DE55CC9"/>
    <w:rsid w:val="6DE677B8"/>
    <w:rsid w:val="6DE76703"/>
    <w:rsid w:val="6DED426D"/>
    <w:rsid w:val="6DED75A1"/>
    <w:rsid w:val="6DF053D8"/>
    <w:rsid w:val="6DF162FB"/>
    <w:rsid w:val="6DF5784D"/>
    <w:rsid w:val="6DF80910"/>
    <w:rsid w:val="6DFA6436"/>
    <w:rsid w:val="6DFB5D0A"/>
    <w:rsid w:val="6E00355C"/>
    <w:rsid w:val="6E0252EB"/>
    <w:rsid w:val="6E037EDB"/>
    <w:rsid w:val="6E053030"/>
    <w:rsid w:val="6E0607D2"/>
    <w:rsid w:val="6E070B53"/>
    <w:rsid w:val="6E08000E"/>
    <w:rsid w:val="6E0A50E2"/>
    <w:rsid w:val="6E0B63F5"/>
    <w:rsid w:val="6E0B714C"/>
    <w:rsid w:val="6E0C084E"/>
    <w:rsid w:val="6E0D0088"/>
    <w:rsid w:val="6E0E4B39"/>
    <w:rsid w:val="6E0F1600"/>
    <w:rsid w:val="6E0F7A08"/>
    <w:rsid w:val="6E104562"/>
    <w:rsid w:val="6E1119D2"/>
    <w:rsid w:val="6E114E80"/>
    <w:rsid w:val="6E157015"/>
    <w:rsid w:val="6E161E3D"/>
    <w:rsid w:val="6E193A72"/>
    <w:rsid w:val="6E193E88"/>
    <w:rsid w:val="6E1A0886"/>
    <w:rsid w:val="6E1D0CC8"/>
    <w:rsid w:val="6E1D2C4F"/>
    <w:rsid w:val="6E1D3ED3"/>
    <w:rsid w:val="6E1D71DA"/>
    <w:rsid w:val="6E1E002E"/>
    <w:rsid w:val="6E1E6EDE"/>
    <w:rsid w:val="6E1F5E9D"/>
    <w:rsid w:val="6E216668"/>
    <w:rsid w:val="6E241705"/>
    <w:rsid w:val="6E245261"/>
    <w:rsid w:val="6E252894"/>
    <w:rsid w:val="6E266E3C"/>
    <w:rsid w:val="6E2B0912"/>
    <w:rsid w:val="6E2C680B"/>
    <w:rsid w:val="6E3000AA"/>
    <w:rsid w:val="6E3117E8"/>
    <w:rsid w:val="6E3163FF"/>
    <w:rsid w:val="6E3336F6"/>
    <w:rsid w:val="6E34121C"/>
    <w:rsid w:val="6E34210F"/>
    <w:rsid w:val="6E34753E"/>
    <w:rsid w:val="6E3555BF"/>
    <w:rsid w:val="6E361438"/>
    <w:rsid w:val="6E3765B6"/>
    <w:rsid w:val="6E385050"/>
    <w:rsid w:val="6E3919C5"/>
    <w:rsid w:val="6E396833"/>
    <w:rsid w:val="6E3B0847"/>
    <w:rsid w:val="6E3B25AB"/>
    <w:rsid w:val="6E3C25B5"/>
    <w:rsid w:val="6E3E0782"/>
    <w:rsid w:val="6E3E4E20"/>
    <w:rsid w:val="6E3F611F"/>
    <w:rsid w:val="6E44354C"/>
    <w:rsid w:val="6E445F0F"/>
    <w:rsid w:val="6E4656D8"/>
    <w:rsid w:val="6E477BCA"/>
    <w:rsid w:val="6E496675"/>
    <w:rsid w:val="6E4C0C5C"/>
    <w:rsid w:val="6E4C774D"/>
    <w:rsid w:val="6E5378F4"/>
    <w:rsid w:val="6E5436AA"/>
    <w:rsid w:val="6E5A5127"/>
    <w:rsid w:val="6E5A7A44"/>
    <w:rsid w:val="6E5B49FB"/>
    <w:rsid w:val="6E5C6294"/>
    <w:rsid w:val="6E5C7E8B"/>
    <w:rsid w:val="6E5F273D"/>
    <w:rsid w:val="6E647D14"/>
    <w:rsid w:val="6E661D1D"/>
    <w:rsid w:val="6E6913B9"/>
    <w:rsid w:val="6E6935BC"/>
    <w:rsid w:val="6E693AB2"/>
    <w:rsid w:val="6E6E0BD2"/>
    <w:rsid w:val="6E6F4BC0"/>
    <w:rsid w:val="6E700D11"/>
    <w:rsid w:val="6E70513F"/>
    <w:rsid w:val="6E712470"/>
    <w:rsid w:val="6E71421E"/>
    <w:rsid w:val="6E7837FF"/>
    <w:rsid w:val="6E787587"/>
    <w:rsid w:val="6E7A30D3"/>
    <w:rsid w:val="6E7A7839"/>
    <w:rsid w:val="6E7B0238"/>
    <w:rsid w:val="6E7E22FC"/>
    <w:rsid w:val="6E7F06E9"/>
    <w:rsid w:val="6E7F42EC"/>
    <w:rsid w:val="6E80181D"/>
    <w:rsid w:val="6E803ADA"/>
    <w:rsid w:val="6E812CF0"/>
    <w:rsid w:val="6E856204"/>
    <w:rsid w:val="6E891568"/>
    <w:rsid w:val="6E893520"/>
    <w:rsid w:val="6E8937F7"/>
    <w:rsid w:val="6E8C1058"/>
    <w:rsid w:val="6E8C1D6D"/>
    <w:rsid w:val="6E8C2E06"/>
    <w:rsid w:val="6E8C6145"/>
    <w:rsid w:val="6E8D72AA"/>
    <w:rsid w:val="6E8E36E5"/>
    <w:rsid w:val="6E900B48"/>
    <w:rsid w:val="6E912A5B"/>
    <w:rsid w:val="6E91666F"/>
    <w:rsid w:val="6E91733B"/>
    <w:rsid w:val="6E921AF9"/>
    <w:rsid w:val="6E942F90"/>
    <w:rsid w:val="6E9522E5"/>
    <w:rsid w:val="6E95728B"/>
    <w:rsid w:val="6E970129"/>
    <w:rsid w:val="6E985C4F"/>
    <w:rsid w:val="6E9A1971"/>
    <w:rsid w:val="6E9D5013"/>
    <w:rsid w:val="6EA629F5"/>
    <w:rsid w:val="6EA77C40"/>
    <w:rsid w:val="6EAA039C"/>
    <w:rsid w:val="6EAB5982"/>
    <w:rsid w:val="6EAE74F5"/>
    <w:rsid w:val="6EB26201"/>
    <w:rsid w:val="6EB5599A"/>
    <w:rsid w:val="6EBD7464"/>
    <w:rsid w:val="6EBF142E"/>
    <w:rsid w:val="6EBF4F8A"/>
    <w:rsid w:val="6EBF7C57"/>
    <w:rsid w:val="6EC407F2"/>
    <w:rsid w:val="6EC46A44"/>
    <w:rsid w:val="6EC6456A"/>
    <w:rsid w:val="6EC66318"/>
    <w:rsid w:val="6EC7064B"/>
    <w:rsid w:val="6EC71234"/>
    <w:rsid w:val="6EC85F3C"/>
    <w:rsid w:val="6EC922AC"/>
    <w:rsid w:val="6EC93824"/>
    <w:rsid w:val="6ECB0F91"/>
    <w:rsid w:val="6ECE6912"/>
    <w:rsid w:val="6ED00F45"/>
    <w:rsid w:val="6ED022D0"/>
    <w:rsid w:val="6ED02D70"/>
    <w:rsid w:val="6ED22F0F"/>
    <w:rsid w:val="6ED342CF"/>
    <w:rsid w:val="6ED70525"/>
    <w:rsid w:val="6ED82121"/>
    <w:rsid w:val="6ED8429D"/>
    <w:rsid w:val="6ED9618E"/>
    <w:rsid w:val="6ED96943"/>
    <w:rsid w:val="6EDA3B7F"/>
    <w:rsid w:val="6EDB52A7"/>
    <w:rsid w:val="6EDB68A7"/>
    <w:rsid w:val="6EDC1FE0"/>
    <w:rsid w:val="6EDC453B"/>
    <w:rsid w:val="6EDC5B3C"/>
    <w:rsid w:val="6EDD3C41"/>
    <w:rsid w:val="6EDF562C"/>
    <w:rsid w:val="6EDF695F"/>
    <w:rsid w:val="6EDF73DA"/>
    <w:rsid w:val="6EDF7EC6"/>
    <w:rsid w:val="6EE36ECA"/>
    <w:rsid w:val="6EE40F43"/>
    <w:rsid w:val="6EE449F0"/>
    <w:rsid w:val="6EE618A0"/>
    <w:rsid w:val="6EE778C4"/>
    <w:rsid w:val="6EEC05C4"/>
    <w:rsid w:val="6EEC1F11"/>
    <w:rsid w:val="6EEF6056"/>
    <w:rsid w:val="6EF06C9C"/>
    <w:rsid w:val="6EF31177"/>
    <w:rsid w:val="6EF410D7"/>
    <w:rsid w:val="6EF41EC8"/>
    <w:rsid w:val="6EF41EE0"/>
    <w:rsid w:val="6EF530A1"/>
    <w:rsid w:val="6EF8407C"/>
    <w:rsid w:val="6EF870FE"/>
    <w:rsid w:val="6EF94940"/>
    <w:rsid w:val="6EFA4214"/>
    <w:rsid w:val="6EFB1BC9"/>
    <w:rsid w:val="6EFC4507"/>
    <w:rsid w:val="6EFC4FCE"/>
    <w:rsid w:val="6EFD5AB2"/>
    <w:rsid w:val="6EFE3B7D"/>
    <w:rsid w:val="6F005C39"/>
    <w:rsid w:val="6F0521AC"/>
    <w:rsid w:val="6F052E95"/>
    <w:rsid w:val="6F072688"/>
    <w:rsid w:val="6F08269A"/>
    <w:rsid w:val="6F082FF2"/>
    <w:rsid w:val="6F0F1D22"/>
    <w:rsid w:val="6F0F3EFF"/>
    <w:rsid w:val="6F103A37"/>
    <w:rsid w:val="6F107CF3"/>
    <w:rsid w:val="6F116467"/>
    <w:rsid w:val="6F132E9F"/>
    <w:rsid w:val="6F1352D6"/>
    <w:rsid w:val="6F135AF0"/>
    <w:rsid w:val="6F1B288D"/>
    <w:rsid w:val="6F1B2B08"/>
    <w:rsid w:val="6F1C23DC"/>
    <w:rsid w:val="6F1C7A8B"/>
    <w:rsid w:val="6F1D0701"/>
    <w:rsid w:val="6F2106F4"/>
    <w:rsid w:val="6F210CC7"/>
    <w:rsid w:val="6F2122C6"/>
    <w:rsid w:val="6F2264B6"/>
    <w:rsid w:val="6F24506F"/>
    <w:rsid w:val="6F255735"/>
    <w:rsid w:val="6F282F38"/>
    <w:rsid w:val="6F2B1F97"/>
    <w:rsid w:val="6F2D283B"/>
    <w:rsid w:val="6F2E3EBD"/>
    <w:rsid w:val="6F30606C"/>
    <w:rsid w:val="6F310257"/>
    <w:rsid w:val="6F363F2D"/>
    <w:rsid w:val="6F3652F2"/>
    <w:rsid w:val="6F38357B"/>
    <w:rsid w:val="6F3B6FBD"/>
    <w:rsid w:val="6F3C6291"/>
    <w:rsid w:val="6F3E67F6"/>
    <w:rsid w:val="6F3F5052"/>
    <w:rsid w:val="6F4003BF"/>
    <w:rsid w:val="6F466231"/>
    <w:rsid w:val="6F467459"/>
    <w:rsid w:val="6F484F7F"/>
    <w:rsid w:val="6F4912FB"/>
    <w:rsid w:val="6F4C3EA0"/>
    <w:rsid w:val="6F4E7F01"/>
    <w:rsid w:val="6F502086"/>
    <w:rsid w:val="6F5079E2"/>
    <w:rsid w:val="6F54640F"/>
    <w:rsid w:val="6F562C47"/>
    <w:rsid w:val="6F581532"/>
    <w:rsid w:val="6F593630"/>
    <w:rsid w:val="6F59436A"/>
    <w:rsid w:val="6F594B85"/>
    <w:rsid w:val="6F5A4D44"/>
    <w:rsid w:val="6F5D3607"/>
    <w:rsid w:val="6F5E0C47"/>
    <w:rsid w:val="6F5E79FA"/>
    <w:rsid w:val="6F603DF0"/>
    <w:rsid w:val="6F6126BA"/>
    <w:rsid w:val="6F644604"/>
    <w:rsid w:val="6F655B31"/>
    <w:rsid w:val="6F6563A0"/>
    <w:rsid w:val="6F6618A9"/>
    <w:rsid w:val="6F664B65"/>
    <w:rsid w:val="6F683E04"/>
    <w:rsid w:val="6F6B334D"/>
    <w:rsid w:val="6F6B5749"/>
    <w:rsid w:val="6F6E34E9"/>
    <w:rsid w:val="6F6E74EB"/>
    <w:rsid w:val="6F7154AE"/>
    <w:rsid w:val="6F717C57"/>
    <w:rsid w:val="6F765F90"/>
    <w:rsid w:val="6F780769"/>
    <w:rsid w:val="6F78417D"/>
    <w:rsid w:val="6F7915DC"/>
    <w:rsid w:val="6F7B39AF"/>
    <w:rsid w:val="6F7B6F1E"/>
    <w:rsid w:val="6F83245B"/>
    <w:rsid w:val="6F860D65"/>
    <w:rsid w:val="6F89488A"/>
    <w:rsid w:val="6F8A1D9E"/>
    <w:rsid w:val="6F8A37EA"/>
    <w:rsid w:val="6F8A5598"/>
    <w:rsid w:val="6F8C43DB"/>
    <w:rsid w:val="6F911A7F"/>
    <w:rsid w:val="6F912DCA"/>
    <w:rsid w:val="6F924300"/>
    <w:rsid w:val="6F931D8A"/>
    <w:rsid w:val="6F9E7295"/>
    <w:rsid w:val="6FA04DBB"/>
    <w:rsid w:val="6FA10B33"/>
    <w:rsid w:val="6FA2126A"/>
    <w:rsid w:val="6FA26D85"/>
    <w:rsid w:val="6FA665A6"/>
    <w:rsid w:val="6FA73860"/>
    <w:rsid w:val="6FA7439C"/>
    <w:rsid w:val="6FA83C70"/>
    <w:rsid w:val="6FA84A4C"/>
    <w:rsid w:val="6FAA0318"/>
    <w:rsid w:val="6FAB776F"/>
    <w:rsid w:val="6FAC2579"/>
    <w:rsid w:val="6FAC3760"/>
    <w:rsid w:val="6FAD1286"/>
    <w:rsid w:val="6FB31EBB"/>
    <w:rsid w:val="6FB40867"/>
    <w:rsid w:val="6FB46AB9"/>
    <w:rsid w:val="6FB4736E"/>
    <w:rsid w:val="6FB66A1C"/>
    <w:rsid w:val="6FBC381A"/>
    <w:rsid w:val="6FBC59BA"/>
    <w:rsid w:val="6FBD79DA"/>
    <w:rsid w:val="6FC00223"/>
    <w:rsid w:val="6FC01B2A"/>
    <w:rsid w:val="6FC211D5"/>
    <w:rsid w:val="6FC371A3"/>
    <w:rsid w:val="6FC43294"/>
    <w:rsid w:val="6FC767C3"/>
    <w:rsid w:val="6FCA1E38"/>
    <w:rsid w:val="6FCE1E96"/>
    <w:rsid w:val="6FCF2763"/>
    <w:rsid w:val="6FD26F3F"/>
    <w:rsid w:val="6FD563E8"/>
    <w:rsid w:val="6FD5763E"/>
    <w:rsid w:val="6FD64C81"/>
    <w:rsid w:val="6FD66A2F"/>
    <w:rsid w:val="6FD72449"/>
    <w:rsid w:val="6FDB5B29"/>
    <w:rsid w:val="6FDD600F"/>
    <w:rsid w:val="6FDF319B"/>
    <w:rsid w:val="6FE31BB4"/>
    <w:rsid w:val="6FE5261E"/>
    <w:rsid w:val="6FE5305E"/>
    <w:rsid w:val="6FE705AF"/>
    <w:rsid w:val="6FE8130D"/>
    <w:rsid w:val="6FEA072C"/>
    <w:rsid w:val="6FEC0A99"/>
    <w:rsid w:val="6FED3D79"/>
    <w:rsid w:val="6FF173C5"/>
    <w:rsid w:val="6FF21C22"/>
    <w:rsid w:val="6FF369BE"/>
    <w:rsid w:val="6FF43359"/>
    <w:rsid w:val="6FF60E7F"/>
    <w:rsid w:val="6FF624AC"/>
    <w:rsid w:val="6FF637CB"/>
    <w:rsid w:val="6FF65770"/>
    <w:rsid w:val="6FF869A5"/>
    <w:rsid w:val="6FF9096F"/>
    <w:rsid w:val="6FF965B8"/>
    <w:rsid w:val="6FFB46E7"/>
    <w:rsid w:val="6FFE1AE2"/>
    <w:rsid w:val="6FFF218C"/>
    <w:rsid w:val="6FFF24F7"/>
    <w:rsid w:val="70044D71"/>
    <w:rsid w:val="70057314"/>
    <w:rsid w:val="70065D98"/>
    <w:rsid w:val="70076BE8"/>
    <w:rsid w:val="7009213F"/>
    <w:rsid w:val="700D22AE"/>
    <w:rsid w:val="70102D06"/>
    <w:rsid w:val="70130B70"/>
    <w:rsid w:val="701337DF"/>
    <w:rsid w:val="70182405"/>
    <w:rsid w:val="70182BA3"/>
    <w:rsid w:val="7019691C"/>
    <w:rsid w:val="701A2DBF"/>
    <w:rsid w:val="701D465E"/>
    <w:rsid w:val="701D640C"/>
    <w:rsid w:val="701E1890"/>
    <w:rsid w:val="70202698"/>
    <w:rsid w:val="70215C2C"/>
    <w:rsid w:val="70231548"/>
    <w:rsid w:val="7023779A"/>
    <w:rsid w:val="70254AB1"/>
    <w:rsid w:val="702552C0"/>
    <w:rsid w:val="70271038"/>
    <w:rsid w:val="702739E6"/>
    <w:rsid w:val="70283432"/>
    <w:rsid w:val="702A7370"/>
    <w:rsid w:val="702D024A"/>
    <w:rsid w:val="702D38BB"/>
    <w:rsid w:val="702F4391"/>
    <w:rsid w:val="702F7EED"/>
    <w:rsid w:val="70391F3B"/>
    <w:rsid w:val="703A06F5"/>
    <w:rsid w:val="703A748A"/>
    <w:rsid w:val="703B7E4E"/>
    <w:rsid w:val="703C2F7E"/>
    <w:rsid w:val="703D41C8"/>
    <w:rsid w:val="70416FE8"/>
    <w:rsid w:val="70425E72"/>
    <w:rsid w:val="70433998"/>
    <w:rsid w:val="70436C5E"/>
    <w:rsid w:val="70440FD4"/>
    <w:rsid w:val="704716DB"/>
    <w:rsid w:val="70477ABF"/>
    <w:rsid w:val="7048463F"/>
    <w:rsid w:val="70495916"/>
    <w:rsid w:val="704F058F"/>
    <w:rsid w:val="705308AA"/>
    <w:rsid w:val="7053303C"/>
    <w:rsid w:val="7053600D"/>
    <w:rsid w:val="705617C0"/>
    <w:rsid w:val="705A3FCC"/>
    <w:rsid w:val="705A7C83"/>
    <w:rsid w:val="705C046E"/>
    <w:rsid w:val="705D0C74"/>
    <w:rsid w:val="705F2A36"/>
    <w:rsid w:val="705F4480"/>
    <w:rsid w:val="70623AE7"/>
    <w:rsid w:val="7064228D"/>
    <w:rsid w:val="7064403B"/>
    <w:rsid w:val="70671D7D"/>
    <w:rsid w:val="70673B2B"/>
    <w:rsid w:val="706908FB"/>
    <w:rsid w:val="70691651"/>
    <w:rsid w:val="706933FF"/>
    <w:rsid w:val="706A0EAE"/>
    <w:rsid w:val="706A1D39"/>
    <w:rsid w:val="706A3251"/>
    <w:rsid w:val="706D0989"/>
    <w:rsid w:val="706E4EB9"/>
    <w:rsid w:val="706F478E"/>
    <w:rsid w:val="70701351"/>
    <w:rsid w:val="7070716A"/>
    <w:rsid w:val="707253E8"/>
    <w:rsid w:val="70733469"/>
    <w:rsid w:val="70751619"/>
    <w:rsid w:val="70772C18"/>
    <w:rsid w:val="70785216"/>
    <w:rsid w:val="70785D38"/>
    <w:rsid w:val="7079173E"/>
    <w:rsid w:val="707A0DD5"/>
    <w:rsid w:val="707A6EE8"/>
    <w:rsid w:val="707B1384"/>
    <w:rsid w:val="707C2004"/>
    <w:rsid w:val="707D334E"/>
    <w:rsid w:val="707F0E75"/>
    <w:rsid w:val="70820965"/>
    <w:rsid w:val="7082580C"/>
    <w:rsid w:val="708446DD"/>
    <w:rsid w:val="708566AC"/>
    <w:rsid w:val="708649B5"/>
    <w:rsid w:val="708908B5"/>
    <w:rsid w:val="708C533F"/>
    <w:rsid w:val="708D13B9"/>
    <w:rsid w:val="708E2E66"/>
    <w:rsid w:val="709011B0"/>
    <w:rsid w:val="709046D3"/>
    <w:rsid w:val="70921CB5"/>
    <w:rsid w:val="70932B72"/>
    <w:rsid w:val="70936354"/>
    <w:rsid w:val="70944183"/>
    <w:rsid w:val="70962840"/>
    <w:rsid w:val="709D579F"/>
    <w:rsid w:val="709E041A"/>
    <w:rsid w:val="709F2893"/>
    <w:rsid w:val="70A00B41"/>
    <w:rsid w:val="70A10254"/>
    <w:rsid w:val="70A2025E"/>
    <w:rsid w:val="70A46B2D"/>
    <w:rsid w:val="70AD3C34"/>
    <w:rsid w:val="70AE3DF5"/>
    <w:rsid w:val="70AF3E88"/>
    <w:rsid w:val="70B02A6A"/>
    <w:rsid w:val="70B05C73"/>
    <w:rsid w:val="70B328CC"/>
    <w:rsid w:val="70B36D70"/>
    <w:rsid w:val="70B56644"/>
    <w:rsid w:val="70B700AB"/>
    <w:rsid w:val="70B70FFC"/>
    <w:rsid w:val="70B766E5"/>
    <w:rsid w:val="70BA01A5"/>
    <w:rsid w:val="70BA1EAD"/>
    <w:rsid w:val="70BF3385"/>
    <w:rsid w:val="70BF74C3"/>
    <w:rsid w:val="70C07804"/>
    <w:rsid w:val="70C3502C"/>
    <w:rsid w:val="70C50859"/>
    <w:rsid w:val="70C536AB"/>
    <w:rsid w:val="70C679A7"/>
    <w:rsid w:val="70C71D84"/>
    <w:rsid w:val="70C71E39"/>
    <w:rsid w:val="70C96594"/>
    <w:rsid w:val="70CB019F"/>
    <w:rsid w:val="70CB40BA"/>
    <w:rsid w:val="70D31FDB"/>
    <w:rsid w:val="70D42D6C"/>
    <w:rsid w:val="70D434ED"/>
    <w:rsid w:val="70D50A94"/>
    <w:rsid w:val="70D6480D"/>
    <w:rsid w:val="70D70CB1"/>
    <w:rsid w:val="70D770AA"/>
    <w:rsid w:val="70DA254F"/>
    <w:rsid w:val="70DA42FD"/>
    <w:rsid w:val="70DA6015"/>
    <w:rsid w:val="70DC68F1"/>
    <w:rsid w:val="70DD412F"/>
    <w:rsid w:val="70DE5E26"/>
    <w:rsid w:val="70E26BAB"/>
    <w:rsid w:val="70E2757C"/>
    <w:rsid w:val="70E34865"/>
    <w:rsid w:val="70E645B8"/>
    <w:rsid w:val="70E77692"/>
    <w:rsid w:val="70E837EB"/>
    <w:rsid w:val="70E9415A"/>
    <w:rsid w:val="70E94540"/>
    <w:rsid w:val="70EF10D2"/>
    <w:rsid w:val="70EF40E2"/>
    <w:rsid w:val="70EF67C2"/>
    <w:rsid w:val="70F133F4"/>
    <w:rsid w:val="70F25AEA"/>
    <w:rsid w:val="70F3716D"/>
    <w:rsid w:val="70F73101"/>
    <w:rsid w:val="70F869CD"/>
    <w:rsid w:val="70F90ED6"/>
    <w:rsid w:val="70F96386"/>
    <w:rsid w:val="70FA19B0"/>
    <w:rsid w:val="70FC7F1F"/>
    <w:rsid w:val="70FD7FEB"/>
    <w:rsid w:val="70FF7809"/>
    <w:rsid w:val="71024DA1"/>
    <w:rsid w:val="71025602"/>
    <w:rsid w:val="71031AA6"/>
    <w:rsid w:val="71035221"/>
    <w:rsid w:val="7103525E"/>
    <w:rsid w:val="71035E4D"/>
    <w:rsid w:val="710453BE"/>
    <w:rsid w:val="71070C41"/>
    <w:rsid w:val="71094BE2"/>
    <w:rsid w:val="710A2D55"/>
    <w:rsid w:val="710A39B3"/>
    <w:rsid w:val="710B23EA"/>
    <w:rsid w:val="710B44B6"/>
    <w:rsid w:val="710D46D2"/>
    <w:rsid w:val="710F56D1"/>
    <w:rsid w:val="71104836"/>
    <w:rsid w:val="71107FA0"/>
    <w:rsid w:val="71123A97"/>
    <w:rsid w:val="71155B37"/>
    <w:rsid w:val="71171A70"/>
    <w:rsid w:val="711A6D17"/>
    <w:rsid w:val="711C4915"/>
    <w:rsid w:val="711F4406"/>
    <w:rsid w:val="71205775"/>
    <w:rsid w:val="71211F2C"/>
    <w:rsid w:val="71221842"/>
    <w:rsid w:val="71245A38"/>
    <w:rsid w:val="71267542"/>
    <w:rsid w:val="712770DD"/>
    <w:rsid w:val="71385C9A"/>
    <w:rsid w:val="713925E8"/>
    <w:rsid w:val="713971BD"/>
    <w:rsid w:val="713E2503"/>
    <w:rsid w:val="714025F2"/>
    <w:rsid w:val="714257FE"/>
    <w:rsid w:val="71434477"/>
    <w:rsid w:val="71462BA9"/>
    <w:rsid w:val="7147742F"/>
    <w:rsid w:val="714806A6"/>
    <w:rsid w:val="71486BF5"/>
    <w:rsid w:val="71493231"/>
    <w:rsid w:val="714943C4"/>
    <w:rsid w:val="714B67BB"/>
    <w:rsid w:val="714D7563"/>
    <w:rsid w:val="714E016F"/>
    <w:rsid w:val="714E0847"/>
    <w:rsid w:val="7150485D"/>
    <w:rsid w:val="7151085E"/>
    <w:rsid w:val="7152603A"/>
    <w:rsid w:val="7156438B"/>
    <w:rsid w:val="71564A6C"/>
    <w:rsid w:val="71566079"/>
    <w:rsid w:val="715670DA"/>
    <w:rsid w:val="715721C1"/>
    <w:rsid w:val="71573B9F"/>
    <w:rsid w:val="715B3588"/>
    <w:rsid w:val="715C0B78"/>
    <w:rsid w:val="715E4F2E"/>
    <w:rsid w:val="715E6CDC"/>
    <w:rsid w:val="715E72BC"/>
    <w:rsid w:val="715F23C5"/>
    <w:rsid w:val="715F2A54"/>
    <w:rsid w:val="71600CA6"/>
    <w:rsid w:val="716061FF"/>
    <w:rsid w:val="71632544"/>
    <w:rsid w:val="716532B0"/>
    <w:rsid w:val="716751C6"/>
    <w:rsid w:val="71682BFD"/>
    <w:rsid w:val="71695ED3"/>
    <w:rsid w:val="716B2A77"/>
    <w:rsid w:val="716D0AB4"/>
    <w:rsid w:val="71704C61"/>
    <w:rsid w:val="717056C7"/>
    <w:rsid w:val="717475E4"/>
    <w:rsid w:val="71752277"/>
    <w:rsid w:val="7177330A"/>
    <w:rsid w:val="71774975"/>
    <w:rsid w:val="71777222"/>
    <w:rsid w:val="71791D68"/>
    <w:rsid w:val="71793B16"/>
    <w:rsid w:val="71795E0D"/>
    <w:rsid w:val="717C3606"/>
    <w:rsid w:val="71810C1C"/>
    <w:rsid w:val="71826B5A"/>
    <w:rsid w:val="718304F0"/>
    <w:rsid w:val="71842B0A"/>
    <w:rsid w:val="7184767E"/>
    <w:rsid w:val="71853292"/>
    <w:rsid w:val="71864485"/>
    <w:rsid w:val="7187323E"/>
    <w:rsid w:val="71883D59"/>
    <w:rsid w:val="718C1A9B"/>
    <w:rsid w:val="718D2D18"/>
    <w:rsid w:val="7190757A"/>
    <w:rsid w:val="7191269F"/>
    <w:rsid w:val="71912BB1"/>
    <w:rsid w:val="71947D50"/>
    <w:rsid w:val="71950224"/>
    <w:rsid w:val="71955E82"/>
    <w:rsid w:val="71956476"/>
    <w:rsid w:val="7196487C"/>
    <w:rsid w:val="7199701D"/>
    <w:rsid w:val="71997D14"/>
    <w:rsid w:val="719B18E2"/>
    <w:rsid w:val="719F20A9"/>
    <w:rsid w:val="71A02309"/>
    <w:rsid w:val="71A37770"/>
    <w:rsid w:val="71A5284B"/>
    <w:rsid w:val="71AA1F21"/>
    <w:rsid w:val="71AC4255"/>
    <w:rsid w:val="71AD1A11"/>
    <w:rsid w:val="71B0505E"/>
    <w:rsid w:val="71B15270"/>
    <w:rsid w:val="71B22295"/>
    <w:rsid w:val="71B52674"/>
    <w:rsid w:val="71B72363"/>
    <w:rsid w:val="71B73BB5"/>
    <w:rsid w:val="71BC7EA6"/>
    <w:rsid w:val="71BD32DF"/>
    <w:rsid w:val="71BE59CD"/>
    <w:rsid w:val="71C0013B"/>
    <w:rsid w:val="71C11019"/>
    <w:rsid w:val="71C31235"/>
    <w:rsid w:val="71C4397A"/>
    <w:rsid w:val="71C56D5B"/>
    <w:rsid w:val="71C66819"/>
    <w:rsid w:val="71C668D2"/>
    <w:rsid w:val="71C83D38"/>
    <w:rsid w:val="71CA4371"/>
    <w:rsid w:val="71CB5825"/>
    <w:rsid w:val="71CB5AA2"/>
    <w:rsid w:val="71CC1E85"/>
    <w:rsid w:val="71CC3C20"/>
    <w:rsid w:val="71CD2FAF"/>
    <w:rsid w:val="71CE309C"/>
    <w:rsid w:val="71CF1CEE"/>
    <w:rsid w:val="71CF7BDA"/>
    <w:rsid w:val="71D022E5"/>
    <w:rsid w:val="71D14601"/>
    <w:rsid w:val="71D376CA"/>
    <w:rsid w:val="71D40D4C"/>
    <w:rsid w:val="71D46F9E"/>
    <w:rsid w:val="71D5602A"/>
    <w:rsid w:val="71D61633"/>
    <w:rsid w:val="71D62EFF"/>
    <w:rsid w:val="71D652AD"/>
    <w:rsid w:val="71D92C5E"/>
    <w:rsid w:val="71DA3917"/>
    <w:rsid w:val="71DE64B7"/>
    <w:rsid w:val="71DF74B5"/>
    <w:rsid w:val="71E03B95"/>
    <w:rsid w:val="71E371E1"/>
    <w:rsid w:val="71E37527"/>
    <w:rsid w:val="71E44313"/>
    <w:rsid w:val="71E65779"/>
    <w:rsid w:val="71E755E1"/>
    <w:rsid w:val="71E76CD1"/>
    <w:rsid w:val="71E9616A"/>
    <w:rsid w:val="71EA1CB0"/>
    <w:rsid w:val="71EB06FF"/>
    <w:rsid w:val="71EC078C"/>
    <w:rsid w:val="71ED2B06"/>
    <w:rsid w:val="71EF3FF7"/>
    <w:rsid w:val="71F421C5"/>
    <w:rsid w:val="71F63220"/>
    <w:rsid w:val="71F663E5"/>
    <w:rsid w:val="71F66F14"/>
    <w:rsid w:val="71F82718"/>
    <w:rsid w:val="71F907B3"/>
    <w:rsid w:val="71FA364F"/>
    <w:rsid w:val="71FA6539"/>
    <w:rsid w:val="71FC2504"/>
    <w:rsid w:val="71FE634A"/>
    <w:rsid w:val="72007D93"/>
    <w:rsid w:val="72043B75"/>
    <w:rsid w:val="720553A9"/>
    <w:rsid w:val="72085364"/>
    <w:rsid w:val="720A4B5A"/>
    <w:rsid w:val="720A714F"/>
    <w:rsid w:val="720B6180"/>
    <w:rsid w:val="720B620B"/>
    <w:rsid w:val="720C087B"/>
    <w:rsid w:val="720C58E5"/>
    <w:rsid w:val="72143D3D"/>
    <w:rsid w:val="72146CC5"/>
    <w:rsid w:val="721B2E1F"/>
    <w:rsid w:val="721C461A"/>
    <w:rsid w:val="721F6E5B"/>
    <w:rsid w:val="72210DBE"/>
    <w:rsid w:val="72231CD3"/>
    <w:rsid w:val="722512EB"/>
    <w:rsid w:val="72255A4C"/>
    <w:rsid w:val="72282939"/>
    <w:rsid w:val="722A12B4"/>
    <w:rsid w:val="722B475E"/>
    <w:rsid w:val="722C201C"/>
    <w:rsid w:val="722E1DAB"/>
    <w:rsid w:val="722F5FA1"/>
    <w:rsid w:val="72312642"/>
    <w:rsid w:val="72316CDF"/>
    <w:rsid w:val="72323CC5"/>
    <w:rsid w:val="7234129A"/>
    <w:rsid w:val="72345C8F"/>
    <w:rsid w:val="72363BBA"/>
    <w:rsid w:val="72370434"/>
    <w:rsid w:val="7238752D"/>
    <w:rsid w:val="723C59BA"/>
    <w:rsid w:val="723E08BB"/>
    <w:rsid w:val="724063E2"/>
    <w:rsid w:val="724265FE"/>
    <w:rsid w:val="72436665"/>
    <w:rsid w:val="72450B4B"/>
    <w:rsid w:val="724539F8"/>
    <w:rsid w:val="724759C2"/>
    <w:rsid w:val="72491374"/>
    <w:rsid w:val="724C763F"/>
    <w:rsid w:val="724D7835"/>
    <w:rsid w:val="72507619"/>
    <w:rsid w:val="72510F42"/>
    <w:rsid w:val="7252722B"/>
    <w:rsid w:val="72531AE1"/>
    <w:rsid w:val="72533DC1"/>
    <w:rsid w:val="725400DF"/>
    <w:rsid w:val="72562CD2"/>
    <w:rsid w:val="72577050"/>
    <w:rsid w:val="7259599E"/>
    <w:rsid w:val="725B146D"/>
    <w:rsid w:val="725B2474"/>
    <w:rsid w:val="725B4D0D"/>
    <w:rsid w:val="725B76BF"/>
    <w:rsid w:val="725C6020"/>
    <w:rsid w:val="72600832"/>
    <w:rsid w:val="72606A84"/>
    <w:rsid w:val="72614C18"/>
    <w:rsid w:val="72620A4E"/>
    <w:rsid w:val="72633795"/>
    <w:rsid w:val="72634067"/>
    <w:rsid w:val="72640F5D"/>
    <w:rsid w:val="726473B5"/>
    <w:rsid w:val="72651EBC"/>
    <w:rsid w:val="72662EF6"/>
    <w:rsid w:val="72673B98"/>
    <w:rsid w:val="72684572"/>
    <w:rsid w:val="726C524E"/>
    <w:rsid w:val="726C5429"/>
    <w:rsid w:val="726E2F4F"/>
    <w:rsid w:val="726F7761"/>
    <w:rsid w:val="727147ED"/>
    <w:rsid w:val="72733DEA"/>
    <w:rsid w:val="7273672B"/>
    <w:rsid w:val="727644F9"/>
    <w:rsid w:val="727813E9"/>
    <w:rsid w:val="72786E47"/>
    <w:rsid w:val="727918F3"/>
    <w:rsid w:val="727B7064"/>
    <w:rsid w:val="727C36DC"/>
    <w:rsid w:val="727E6A33"/>
    <w:rsid w:val="7280022E"/>
    <w:rsid w:val="728269FA"/>
    <w:rsid w:val="72841B17"/>
    <w:rsid w:val="72850298"/>
    <w:rsid w:val="72856038"/>
    <w:rsid w:val="72860AAC"/>
    <w:rsid w:val="72861963"/>
    <w:rsid w:val="72872262"/>
    <w:rsid w:val="72873462"/>
    <w:rsid w:val="72897D89"/>
    <w:rsid w:val="728A3B01"/>
    <w:rsid w:val="728B1D53"/>
    <w:rsid w:val="728C471B"/>
    <w:rsid w:val="72925949"/>
    <w:rsid w:val="72930C07"/>
    <w:rsid w:val="72934D39"/>
    <w:rsid w:val="72965F01"/>
    <w:rsid w:val="72976610"/>
    <w:rsid w:val="729843E7"/>
    <w:rsid w:val="729A1756"/>
    <w:rsid w:val="729C5DE0"/>
    <w:rsid w:val="729E65B1"/>
    <w:rsid w:val="729E6841"/>
    <w:rsid w:val="72A4786C"/>
    <w:rsid w:val="72A51015"/>
    <w:rsid w:val="72A72905"/>
    <w:rsid w:val="72A7312D"/>
    <w:rsid w:val="72A9042B"/>
    <w:rsid w:val="72AA7D31"/>
    <w:rsid w:val="72AB21A5"/>
    <w:rsid w:val="72AB5F51"/>
    <w:rsid w:val="72AF4310"/>
    <w:rsid w:val="72B017B9"/>
    <w:rsid w:val="72B164CC"/>
    <w:rsid w:val="72B33057"/>
    <w:rsid w:val="72B853C3"/>
    <w:rsid w:val="72BB224C"/>
    <w:rsid w:val="72BC3A84"/>
    <w:rsid w:val="72BE79D8"/>
    <w:rsid w:val="72C04E41"/>
    <w:rsid w:val="72C2329A"/>
    <w:rsid w:val="72C377FA"/>
    <w:rsid w:val="72C60FDD"/>
    <w:rsid w:val="72C90909"/>
    <w:rsid w:val="72C9287B"/>
    <w:rsid w:val="72CB4344"/>
    <w:rsid w:val="72CB7A20"/>
    <w:rsid w:val="72CD6775"/>
    <w:rsid w:val="72CE1C3F"/>
    <w:rsid w:val="72D24ACF"/>
    <w:rsid w:val="72D26016"/>
    <w:rsid w:val="72D325AA"/>
    <w:rsid w:val="72D32AB9"/>
    <w:rsid w:val="72D52FCE"/>
    <w:rsid w:val="72D54ABB"/>
    <w:rsid w:val="72D60001"/>
    <w:rsid w:val="72D67B3D"/>
    <w:rsid w:val="72D763B0"/>
    <w:rsid w:val="72DD425C"/>
    <w:rsid w:val="72DD66F5"/>
    <w:rsid w:val="72DE3278"/>
    <w:rsid w:val="72E17BC5"/>
    <w:rsid w:val="72E42174"/>
    <w:rsid w:val="72E8027E"/>
    <w:rsid w:val="72EB459F"/>
    <w:rsid w:val="72EC007F"/>
    <w:rsid w:val="72EC1491"/>
    <w:rsid w:val="72ED34B8"/>
    <w:rsid w:val="72EE4080"/>
    <w:rsid w:val="72F028D5"/>
    <w:rsid w:val="72F13B80"/>
    <w:rsid w:val="72F1649D"/>
    <w:rsid w:val="72F37330"/>
    <w:rsid w:val="72F77324"/>
    <w:rsid w:val="72F86CBC"/>
    <w:rsid w:val="72F87110"/>
    <w:rsid w:val="72FA0C86"/>
    <w:rsid w:val="72FA493A"/>
    <w:rsid w:val="72FB0CA2"/>
    <w:rsid w:val="72FC10F7"/>
    <w:rsid w:val="72FC1840"/>
    <w:rsid w:val="72FC67AC"/>
    <w:rsid w:val="72FD189E"/>
    <w:rsid w:val="72FF004B"/>
    <w:rsid w:val="73001A1F"/>
    <w:rsid w:val="73010A86"/>
    <w:rsid w:val="73013121"/>
    <w:rsid w:val="73025106"/>
    <w:rsid w:val="730258AB"/>
    <w:rsid w:val="73040267"/>
    <w:rsid w:val="730613D9"/>
    <w:rsid w:val="7308636E"/>
    <w:rsid w:val="73087218"/>
    <w:rsid w:val="730B69EF"/>
    <w:rsid w:val="730E404D"/>
    <w:rsid w:val="730F17A8"/>
    <w:rsid w:val="73104006"/>
    <w:rsid w:val="73133AF6"/>
    <w:rsid w:val="731358A4"/>
    <w:rsid w:val="7313699F"/>
    <w:rsid w:val="731457BB"/>
    <w:rsid w:val="73162BB4"/>
    <w:rsid w:val="73171838"/>
    <w:rsid w:val="731B0BDB"/>
    <w:rsid w:val="731C6E4F"/>
    <w:rsid w:val="731D383A"/>
    <w:rsid w:val="731F249B"/>
    <w:rsid w:val="73206507"/>
    <w:rsid w:val="73235A27"/>
    <w:rsid w:val="73283969"/>
    <w:rsid w:val="7329331A"/>
    <w:rsid w:val="732B24E8"/>
    <w:rsid w:val="732D2E0A"/>
    <w:rsid w:val="732E1563"/>
    <w:rsid w:val="7332267C"/>
    <w:rsid w:val="73332318"/>
    <w:rsid w:val="73337E12"/>
    <w:rsid w:val="73346738"/>
    <w:rsid w:val="733608CC"/>
    <w:rsid w:val="73360E06"/>
    <w:rsid w:val="7338355D"/>
    <w:rsid w:val="73395BAF"/>
    <w:rsid w:val="733C67EE"/>
    <w:rsid w:val="733F48EB"/>
    <w:rsid w:val="733F6699"/>
    <w:rsid w:val="73410663"/>
    <w:rsid w:val="73415548"/>
    <w:rsid w:val="734168B5"/>
    <w:rsid w:val="73431272"/>
    <w:rsid w:val="73471D8B"/>
    <w:rsid w:val="734C360E"/>
    <w:rsid w:val="734E2D80"/>
    <w:rsid w:val="734F50AE"/>
    <w:rsid w:val="734F7FB8"/>
    <w:rsid w:val="73507F24"/>
    <w:rsid w:val="735320A9"/>
    <w:rsid w:val="73542C1A"/>
    <w:rsid w:val="735956FC"/>
    <w:rsid w:val="735A0609"/>
    <w:rsid w:val="735A61C9"/>
    <w:rsid w:val="735C4F2D"/>
    <w:rsid w:val="735E1215"/>
    <w:rsid w:val="735F4A72"/>
    <w:rsid w:val="73612AB3"/>
    <w:rsid w:val="736305DA"/>
    <w:rsid w:val="736342A3"/>
    <w:rsid w:val="7363682B"/>
    <w:rsid w:val="736425A4"/>
    <w:rsid w:val="73655C2D"/>
    <w:rsid w:val="7367613B"/>
    <w:rsid w:val="73681D7A"/>
    <w:rsid w:val="736B1B84"/>
    <w:rsid w:val="736C1266"/>
    <w:rsid w:val="736D1458"/>
    <w:rsid w:val="736E0C22"/>
    <w:rsid w:val="737231D6"/>
    <w:rsid w:val="73726706"/>
    <w:rsid w:val="737427E7"/>
    <w:rsid w:val="7375626A"/>
    <w:rsid w:val="737629FD"/>
    <w:rsid w:val="7376359C"/>
    <w:rsid w:val="73765D11"/>
    <w:rsid w:val="73770EE8"/>
    <w:rsid w:val="73793384"/>
    <w:rsid w:val="73794114"/>
    <w:rsid w:val="7379604F"/>
    <w:rsid w:val="737A4DB9"/>
    <w:rsid w:val="737B4D98"/>
    <w:rsid w:val="737C3878"/>
    <w:rsid w:val="737C77CB"/>
    <w:rsid w:val="737C78ED"/>
    <w:rsid w:val="737D1AF3"/>
    <w:rsid w:val="737E5EBB"/>
    <w:rsid w:val="738301C6"/>
    <w:rsid w:val="73834058"/>
    <w:rsid w:val="7385118A"/>
    <w:rsid w:val="7386251A"/>
    <w:rsid w:val="738B18DE"/>
    <w:rsid w:val="738B6471"/>
    <w:rsid w:val="738F426F"/>
    <w:rsid w:val="73916786"/>
    <w:rsid w:val="73930A62"/>
    <w:rsid w:val="73934B26"/>
    <w:rsid w:val="739437DC"/>
    <w:rsid w:val="73944C37"/>
    <w:rsid w:val="739B24E3"/>
    <w:rsid w:val="739B53E3"/>
    <w:rsid w:val="739C1D3D"/>
    <w:rsid w:val="739C6BE4"/>
    <w:rsid w:val="739D4185"/>
    <w:rsid w:val="73A0234B"/>
    <w:rsid w:val="73A22BE5"/>
    <w:rsid w:val="73A3131E"/>
    <w:rsid w:val="73A82490"/>
    <w:rsid w:val="73AB01D2"/>
    <w:rsid w:val="73AD70AD"/>
    <w:rsid w:val="73AE3E39"/>
    <w:rsid w:val="73AF35B5"/>
    <w:rsid w:val="73B05D63"/>
    <w:rsid w:val="73B221D9"/>
    <w:rsid w:val="73B6668D"/>
    <w:rsid w:val="73B726D3"/>
    <w:rsid w:val="73BA4DD1"/>
    <w:rsid w:val="73BC23E0"/>
    <w:rsid w:val="73BD03A9"/>
    <w:rsid w:val="73BE1EBD"/>
    <w:rsid w:val="73C05215"/>
    <w:rsid w:val="73C05A2C"/>
    <w:rsid w:val="73C170FD"/>
    <w:rsid w:val="73C35D2F"/>
    <w:rsid w:val="73C36AF8"/>
    <w:rsid w:val="73C450C7"/>
    <w:rsid w:val="73C61077"/>
    <w:rsid w:val="73CA4796"/>
    <w:rsid w:val="73CB68E0"/>
    <w:rsid w:val="73CD2B97"/>
    <w:rsid w:val="73CE205E"/>
    <w:rsid w:val="73CE2E79"/>
    <w:rsid w:val="73CE6BCB"/>
    <w:rsid w:val="73CF3EC1"/>
    <w:rsid w:val="73D225ED"/>
    <w:rsid w:val="73D31750"/>
    <w:rsid w:val="73D4233E"/>
    <w:rsid w:val="73D4523C"/>
    <w:rsid w:val="73D9089C"/>
    <w:rsid w:val="73DA4BFF"/>
    <w:rsid w:val="73DC4629"/>
    <w:rsid w:val="73E01C2A"/>
    <w:rsid w:val="73E21412"/>
    <w:rsid w:val="73E27984"/>
    <w:rsid w:val="73E47E00"/>
    <w:rsid w:val="73E76F23"/>
    <w:rsid w:val="73E95EE8"/>
    <w:rsid w:val="73ED2599"/>
    <w:rsid w:val="73F01250"/>
    <w:rsid w:val="73F16C50"/>
    <w:rsid w:val="73F263EC"/>
    <w:rsid w:val="73F56B61"/>
    <w:rsid w:val="73F6144E"/>
    <w:rsid w:val="73F82EA2"/>
    <w:rsid w:val="73F84386"/>
    <w:rsid w:val="73F85B5B"/>
    <w:rsid w:val="74000C22"/>
    <w:rsid w:val="740161E0"/>
    <w:rsid w:val="74026030"/>
    <w:rsid w:val="74041A81"/>
    <w:rsid w:val="740542B2"/>
    <w:rsid w:val="740643A1"/>
    <w:rsid w:val="740729EC"/>
    <w:rsid w:val="74082F2F"/>
    <w:rsid w:val="740A314B"/>
    <w:rsid w:val="740A3A87"/>
    <w:rsid w:val="740A58F3"/>
    <w:rsid w:val="740A6CA7"/>
    <w:rsid w:val="740B04E1"/>
    <w:rsid w:val="740B27B8"/>
    <w:rsid w:val="740C290B"/>
    <w:rsid w:val="740C5415"/>
    <w:rsid w:val="740E3D5D"/>
    <w:rsid w:val="74104E36"/>
    <w:rsid w:val="74104FB0"/>
    <w:rsid w:val="74107BE4"/>
    <w:rsid w:val="74160DED"/>
    <w:rsid w:val="7416564C"/>
    <w:rsid w:val="7419513C"/>
    <w:rsid w:val="741C4C2C"/>
    <w:rsid w:val="741C662A"/>
    <w:rsid w:val="741E7762"/>
    <w:rsid w:val="741F45B7"/>
    <w:rsid w:val="74202F0F"/>
    <w:rsid w:val="74223F88"/>
    <w:rsid w:val="74253AE1"/>
    <w:rsid w:val="74273CFD"/>
    <w:rsid w:val="742835D1"/>
    <w:rsid w:val="7428537F"/>
    <w:rsid w:val="742B4C2C"/>
    <w:rsid w:val="742C1313"/>
    <w:rsid w:val="742D0BBB"/>
    <w:rsid w:val="742E6DC8"/>
    <w:rsid w:val="742F585E"/>
    <w:rsid w:val="742F617E"/>
    <w:rsid w:val="74307A19"/>
    <w:rsid w:val="74321DEE"/>
    <w:rsid w:val="743401C8"/>
    <w:rsid w:val="74347A9E"/>
    <w:rsid w:val="74370FB5"/>
    <w:rsid w:val="74373814"/>
    <w:rsid w:val="74392BD3"/>
    <w:rsid w:val="743946A8"/>
    <w:rsid w:val="7439633A"/>
    <w:rsid w:val="743A1908"/>
    <w:rsid w:val="743A5E62"/>
    <w:rsid w:val="743C0E2B"/>
    <w:rsid w:val="743E2DF5"/>
    <w:rsid w:val="744043A2"/>
    <w:rsid w:val="7443040B"/>
    <w:rsid w:val="74446AC0"/>
    <w:rsid w:val="74457419"/>
    <w:rsid w:val="74493C73"/>
    <w:rsid w:val="744966C1"/>
    <w:rsid w:val="744A2189"/>
    <w:rsid w:val="744F0B5E"/>
    <w:rsid w:val="74503971"/>
    <w:rsid w:val="74524843"/>
    <w:rsid w:val="745258D8"/>
    <w:rsid w:val="74550C50"/>
    <w:rsid w:val="74564AE7"/>
    <w:rsid w:val="74574AD7"/>
    <w:rsid w:val="74580127"/>
    <w:rsid w:val="745967C2"/>
    <w:rsid w:val="74597C2E"/>
    <w:rsid w:val="745A3E4A"/>
    <w:rsid w:val="745B1903"/>
    <w:rsid w:val="745B39A7"/>
    <w:rsid w:val="745C7671"/>
    <w:rsid w:val="745E6FF3"/>
    <w:rsid w:val="745F5557"/>
    <w:rsid w:val="74607793"/>
    <w:rsid w:val="74611D80"/>
    <w:rsid w:val="7461716C"/>
    <w:rsid w:val="74620891"/>
    <w:rsid w:val="746520B8"/>
    <w:rsid w:val="746A1E3C"/>
    <w:rsid w:val="746E24AF"/>
    <w:rsid w:val="746F1200"/>
    <w:rsid w:val="746F49A5"/>
    <w:rsid w:val="746F5D9E"/>
    <w:rsid w:val="747009E3"/>
    <w:rsid w:val="747138B7"/>
    <w:rsid w:val="7472358F"/>
    <w:rsid w:val="74747483"/>
    <w:rsid w:val="747607E0"/>
    <w:rsid w:val="74767411"/>
    <w:rsid w:val="747970F1"/>
    <w:rsid w:val="747B185C"/>
    <w:rsid w:val="747B1953"/>
    <w:rsid w:val="747B7BA5"/>
    <w:rsid w:val="747C1E3B"/>
    <w:rsid w:val="74806F69"/>
    <w:rsid w:val="74850A24"/>
    <w:rsid w:val="748526D5"/>
    <w:rsid w:val="74880144"/>
    <w:rsid w:val="74881214"/>
    <w:rsid w:val="74884070"/>
    <w:rsid w:val="74894EF3"/>
    <w:rsid w:val="748A18D8"/>
    <w:rsid w:val="748D2B05"/>
    <w:rsid w:val="748F3650"/>
    <w:rsid w:val="748F408B"/>
    <w:rsid w:val="749018A2"/>
    <w:rsid w:val="749312B1"/>
    <w:rsid w:val="749347B2"/>
    <w:rsid w:val="74964575"/>
    <w:rsid w:val="74970563"/>
    <w:rsid w:val="74977C4C"/>
    <w:rsid w:val="74982505"/>
    <w:rsid w:val="74987837"/>
    <w:rsid w:val="74996FAB"/>
    <w:rsid w:val="749A44CF"/>
    <w:rsid w:val="749A60CA"/>
    <w:rsid w:val="749B74FC"/>
    <w:rsid w:val="749D7B1B"/>
    <w:rsid w:val="749E3893"/>
    <w:rsid w:val="749E5641"/>
    <w:rsid w:val="74A013B9"/>
    <w:rsid w:val="74A52E74"/>
    <w:rsid w:val="74A964C0"/>
    <w:rsid w:val="74AA2238"/>
    <w:rsid w:val="74AC5FB0"/>
    <w:rsid w:val="74AE59DA"/>
    <w:rsid w:val="74AF31E8"/>
    <w:rsid w:val="74B017DC"/>
    <w:rsid w:val="74B11819"/>
    <w:rsid w:val="74B26768"/>
    <w:rsid w:val="74B310ED"/>
    <w:rsid w:val="74B51309"/>
    <w:rsid w:val="74B63C57"/>
    <w:rsid w:val="74B65081"/>
    <w:rsid w:val="74B75C4E"/>
    <w:rsid w:val="74BA0FD5"/>
    <w:rsid w:val="74BD01BD"/>
    <w:rsid w:val="74BD640F"/>
    <w:rsid w:val="74BE07B6"/>
    <w:rsid w:val="74BF3F35"/>
    <w:rsid w:val="74C13EEB"/>
    <w:rsid w:val="74C46AAD"/>
    <w:rsid w:val="74CA5788"/>
    <w:rsid w:val="74CC659F"/>
    <w:rsid w:val="74CE36AA"/>
    <w:rsid w:val="74D527BF"/>
    <w:rsid w:val="74D8791F"/>
    <w:rsid w:val="74DA0B15"/>
    <w:rsid w:val="74DA2B1D"/>
    <w:rsid w:val="74DB5323"/>
    <w:rsid w:val="74DB62F0"/>
    <w:rsid w:val="74DE21B8"/>
    <w:rsid w:val="74DF6C21"/>
    <w:rsid w:val="74E25E76"/>
    <w:rsid w:val="74E4399C"/>
    <w:rsid w:val="74E67714"/>
    <w:rsid w:val="74E7348C"/>
    <w:rsid w:val="74E7523A"/>
    <w:rsid w:val="74E90FB2"/>
    <w:rsid w:val="74E92D60"/>
    <w:rsid w:val="74EA0887"/>
    <w:rsid w:val="74EA5FE3"/>
    <w:rsid w:val="74EB4160"/>
    <w:rsid w:val="74EB4D2A"/>
    <w:rsid w:val="74EC2851"/>
    <w:rsid w:val="74EE24F4"/>
    <w:rsid w:val="74EE4AA7"/>
    <w:rsid w:val="74F02341"/>
    <w:rsid w:val="74F23177"/>
    <w:rsid w:val="74F31E31"/>
    <w:rsid w:val="74F403FB"/>
    <w:rsid w:val="74F52D04"/>
    <w:rsid w:val="74F624E5"/>
    <w:rsid w:val="74F6547D"/>
    <w:rsid w:val="74F75E16"/>
    <w:rsid w:val="74F76F03"/>
    <w:rsid w:val="74F94BA3"/>
    <w:rsid w:val="74FD1921"/>
    <w:rsid w:val="74FD680C"/>
    <w:rsid w:val="74FD6DFA"/>
    <w:rsid w:val="74FE31EC"/>
    <w:rsid w:val="74FE7C75"/>
    <w:rsid w:val="75057F0E"/>
    <w:rsid w:val="75080A92"/>
    <w:rsid w:val="75091655"/>
    <w:rsid w:val="750A0CB1"/>
    <w:rsid w:val="750A2943"/>
    <w:rsid w:val="750D2EF3"/>
    <w:rsid w:val="75107E41"/>
    <w:rsid w:val="75110C87"/>
    <w:rsid w:val="75114065"/>
    <w:rsid w:val="75120509"/>
    <w:rsid w:val="75143CB6"/>
    <w:rsid w:val="75150730"/>
    <w:rsid w:val="75157C52"/>
    <w:rsid w:val="75190078"/>
    <w:rsid w:val="751A01C1"/>
    <w:rsid w:val="751A5610"/>
    <w:rsid w:val="751B4EE4"/>
    <w:rsid w:val="751E15E4"/>
    <w:rsid w:val="7521074C"/>
    <w:rsid w:val="7521699E"/>
    <w:rsid w:val="75232975"/>
    <w:rsid w:val="7524023C"/>
    <w:rsid w:val="7524058C"/>
    <w:rsid w:val="75241FEA"/>
    <w:rsid w:val="75253016"/>
    <w:rsid w:val="75265D63"/>
    <w:rsid w:val="75287D2D"/>
    <w:rsid w:val="75287D83"/>
    <w:rsid w:val="75292E35"/>
    <w:rsid w:val="752A7E05"/>
    <w:rsid w:val="752B5127"/>
    <w:rsid w:val="752D01CE"/>
    <w:rsid w:val="75307580"/>
    <w:rsid w:val="75312C9B"/>
    <w:rsid w:val="75315CE9"/>
    <w:rsid w:val="75330480"/>
    <w:rsid w:val="7533150D"/>
    <w:rsid w:val="75333040"/>
    <w:rsid w:val="7533674F"/>
    <w:rsid w:val="753541F8"/>
    <w:rsid w:val="753A2B30"/>
    <w:rsid w:val="753A6D9B"/>
    <w:rsid w:val="753E74EA"/>
    <w:rsid w:val="75412B9C"/>
    <w:rsid w:val="754206C3"/>
    <w:rsid w:val="754425E2"/>
    <w:rsid w:val="7545449B"/>
    <w:rsid w:val="75457920"/>
    <w:rsid w:val="75460907"/>
    <w:rsid w:val="75470C13"/>
    <w:rsid w:val="75476141"/>
    <w:rsid w:val="754825D6"/>
    <w:rsid w:val="75496A2B"/>
    <w:rsid w:val="754B401C"/>
    <w:rsid w:val="754C28F1"/>
    <w:rsid w:val="754C6448"/>
    <w:rsid w:val="754D7793"/>
    <w:rsid w:val="754F71E0"/>
    <w:rsid w:val="755074D5"/>
    <w:rsid w:val="75526E59"/>
    <w:rsid w:val="755475E5"/>
    <w:rsid w:val="75556317"/>
    <w:rsid w:val="755723C0"/>
    <w:rsid w:val="75575526"/>
    <w:rsid w:val="75587EE6"/>
    <w:rsid w:val="755E43CB"/>
    <w:rsid w:val="75604968"/>
    <w:rsid w:val="75642436"/>
    <w:rsid w:val="756557AB"/>
    <w:rsid w:val="75662603"/>
    <w:rsid w:val="756643B1"/>
    <w:rsid w:val="75690ED6"/>
    <w:rsid w:val="75693EA1"/>
    <w:rsid w:val="7569498A"/>
    <w:rsid w:val="75694AE3"/>
    <w:rsid w:val="756A238A"/>
    <w:rsid w:val="756B19C7"/>
    <w:rsid w:val="756D2843"/>
    <w:rsid w:val="756D649C"/>
    <w:rsid w:val="757012D6"/>
    <w:rsid w:val="75702F73"/>
    <w:rsid w:val="75706CA9"/>
    <w:rsid w:val="75721639"/>
    <w:rsid w:val="75734D20"/>
    <w:rsid w:val="757417D1"/>
    <w:rsid w:val="75765FF3"/>
    <w:rsid w:val="7577036C"/>
    <w:rsid w:val="757840E4"/>
    <w:rsid w:val="757A1C0A"/>
    <w:rsid w:val="75811BDF"/>
    <w:rsid w:val="7581743D"/>
    <w:rsid w:val="75823D9F"/>
    <w:rsid w:val="75824BE5"/>
    <w:rsid w:val="758571F4"/>
    <w:rsid w:val="75861F80"/>
    <w:rsid w:val="7587110E"/>
    <w:rsid w:val="75872134"/>
    <w:rsid w:val="75882AFD"/>
    <w:rsid w:val="758D7B90"/>
    <w:rsid w:val="758F6705"/>
    <w:rsid w:val="75915376"/>
    <w:rsid w:val="7592164A"/>
    <w:rsid w:val="759249D0"/>
    <w:rsid w:val="75932CCC"/>
    <w:rsid w:val="75933945"/>
    <w:rsid w:val="75956B2F"/>
    <w:rsid w:val="75965BB3"/>
    <w:rsid w:val="759A6860"/>
    <w:rsid w:val="759B0AE7"/>
    <w:rsid w:val="759B75AD"/>
    <w:rsid w:val="759D0D09"/>
    <w:rsid w:val="759D16D5"/>
    <w:rsid w:val="759D1E72"/>
    <w:rsid w:val="759E3B4B"/>
    <w:rsid w:val="75A13617"/>
    <w:rsid w:val="75A35605"/>
    <w:rsid w:val="75A40319"/>
    <w:rsid w:val="75A578BA"/>
    <w:rsid w:val="75A61D5A"/>
    <w:rsid w:val="75A66EA3"/>
    <w:rsid w:val="75A77847"/>
    <w:rsid w:val="75A80D66"/>
    <w:rsid w:val="75A96335"/>
    <w:rsid w:val="75A974DF"/>
    <w:rsid w:val="75AC412E"/>
    <w:rsid w:val="75AD0232"/>
    <w:rsid w:val="75AF7C0E"/>
    <w:rsid w:val="75B3511C"/>
    <w:rsid w:val="75B738D6"/>
    <w:rsid w:val="75B74481"/>
    <w:rsid w:val="75B9544D"/>
    <w:rsid w:val="75BD11E9"/>
    <w:rsid w:val="75C80BC8"/>
    <w:rsid w:val="75C86E1A"/>
    <w:rsid w:val="75CD61DE"/>
    <w:rsid w:val="75CE42AC"/>
    <w:rsid w:val="75D05CCE"/>
    <w:rsid w:val="75D1773C"/>
    <w:rsid w:val="75D44B1A"/>
    <w:rsid w:val="75D532E5"/>
    <w:rsid w:val="75D74ABA"/>
    <w:rsid w:val="75DF2239"/>
    <w:rsid w:val="75DF46E7"/>
    <w:rsid w:val="75E35A02"/>
    <w:rsid w:val="75E37373"/>
    <w:rsid w:val="75E654F2"/>
    <w:rsid w:val="75E6623C"/>
    <w:rsid w:val="75E66401"/>
    <w:rsid w:val="75E74DD5"/>
    <w:rsid w:val="75E90DCA"/>
    <w:rsid w:val="75EB0BC3"/>
    <w:rsid w:val="75EB0D5A"/>
    <w:rsid w:val="75EC48A9"/>
    <w:rsid w:val="75F0011F"/>
    <w:rsid w:val="75F063ED"/>
    <w:rsid w:val="75F22484"/>
    <w:rsid w:val="75F25C45"/>
    <w:rsid w:val="75F57C88"/>
    <w:rsid w:val="75F61BD9"/>
    <w:rsid w:val="75F714AD"/>
    <w:rsid w:val="75F74F42"/>
    <w:rsid w:val="75F75DC3"/>
    <w:rsid w:val="75FD5E24"/>
    <w:rsid w:val="75FD7697"/>
    <w:rsid w:val="75FE0A8D"/>
    <w:rsid w:val="75FE45EA"/>
    <w:rsid w:val="75FF2C8D"/>
    <w:rsid w:val="75FF4200"/>
    <w:rsid w:val="760017AF"/>
    <w:rsid w:val="76001F1A"/>
    <w:rsid w:val="760038E0"/>
    <w:rsid w:val="76036970"/>
    <w:rsid w:val="76051495"/>
    <w:rsid w:val="76077DE9"/>
    <w:rsid w:val="760836BA"/>
    <w:rsid w:val="760A11B1"/>
    <w:rsid w:val="760D2A7F"/>
    <w:rsid w:val="760E0CC1"/>
    <w:rsid w:val="7610529E"/>
    <w:rsid w:val="76157B85"/>
    <w:rsid w:val="76164029"/>
    <w:rsid w:val="76191423"/>
    <w:rsid w:val="761C0F14"/>
    <w:rsid w:val="761D4C22"/>
    <w:rsid w:val="761E0EAB"/>
    <w:rsid w:val="761E1F9A"/>
    <w:rsid w:val="761E337E"/>
    <w:rsid w:val="761F73DF"/>
    <w:rsid w:val="762145D3"/>
    <w:rsid w:val="7621477C"/>
    <w:rsid w:val="7621740A"/>
    <w:rsid w:val="762235CA"/>
    <w:rsid w:val="7625601A"/>
    <w:rsid w:val="76261D92"/>
    <w:rsid w:val="762657D1"/>
    <w:rsid w:val="762B2F49"/>
    <w:rsid w:val="762C03C9"/>
    <w:rsid w:val="762F0C47"/>
    <w:rsid w:val="7633660A"/>
    <w:rsid w:val="76361C8F"/>
    <w:rsid w:val="76397F86"/>
    <w:rsid w:val="763A3F76"/>
    <w:rsid w:val="763C54EF"/>
    <w:rsid w:val="763E532E"/>
    <w:rsid w:val="763E597F"/>
    <w:rsid w:val="76402E54"/>
    <w:rsid w:val="76404470"/>
    <w:rsid w:val="76421559"/>
    <w:rsid w:val="7646201B"/>
    <w:rsid w:val="76481D09"/>
    <w:rsid w:val="76487F5B"/>
    <w:rsid w:val="764D0C4D"/>
    <w:rsid w:val="764D731F"/>
    <w:rsid w:val="764F7206"/>
    <w:rsid w:val="7651520C"/>
    <w:rsid w:val="765243AF"/>
    <w:rsid w:val="7653148C"/>
    <w:rsid w:val="76557746"/>
    <w:rsid w:val="765637C0"/>
    <w:rsid w:val="76564426"/>
    <w:rsid w:val="765738D7"/>
    <w:rsid w:val="765820A3"/>
    <w:rsid w:val="765D0C6F"/>
    <w:rsid w:val="765F0014"/>
    <w:rsid w:val="766525AC"/>
    <w:rsid w:val="766528BB"/>
    <w:rsid w:val="76654669"/>
    <w:rsid w:val="7667475E"/>
    <w:rsid w:val="766823AB"/>
    <w:rsid w:val="766A3BC8"/>
    <w:rsid w:val="766D176F"/>
    <w:rsid w:val="766D196F"/>
    <w:rsid w:val="76700A71"/>
    <w:rsid w:val="76746FA2"/>
    <w:rsid w:val="76752907"/>
    <w:rsid w:val="767755A1"/>
    <w:rsid w:val="76794E52"/>
    <w:rsid w:val="767B20DE"/>
    <w:rsid w:val="767B4B32"/>
    <w:rsid w:val="767D0208"/>
    <w:rsid w:val="767E397C"/>
    <w:rsid w:val="767F4B72"/>
    <w:rsid w:val="76817D63"/>
    <w:rsid w:val="7683168D"/>
    <w:rsid w:val="76835CCD"/>
    <w:rsid w:val="768604E4"/>
    <w:rsid w:val="76860D0B"/>
    <w:rsid w:val="76870A83"/>
    <w:rsid w:val="76877C39"/>
    <w:rsid w:val="76880357"/>
    <w:rsid w:val="768947FB"/>
    <w:rsid w:val="768F2682"/>
    <w:rsid w:val="768F268A"/>
    <w:rsid w:val="769136B0"/>
    <w:rsid w:val="76921006"/>
    <w:rsid w:val="76937428"/>
    <w:rsid w:val="76941E85"/>
    <w:rsid w:val="76942AAE"/>
    <w:rsid w:val="7695128E"/>
    <w:rsid w:val="7696032B"/>
    <w:rsid w:val="769874C9"/>
    <w:rsid w:val="76A13992"/>
    <w:rsid w:val="76A23C82"/>
    <w:rsid w:val="76A25F09"/>
    <w:rsid w:val="76A2766B"/>
    <w:rsid w:val="76A71125"/>
    <w:rsid w:val="76A713AE"/>
    <w:rsid w:val="76AA2A57"/>
    <w:rsid w:val="76AA4771"/>
    <w:rsid w:val="76AB5888"/>
    <w:rsid w:val="76AC04E9"/>
    <w:rsid w:val="76AC2E78"/>
    <w:rsid w:val="76AE0EDE"/>
    <w:rsid w:val="76AF3CDC"/>
    <w:rsid w:val="76B0642C"/>
    <w:rsid w:val="76B455F0"/>
    <w:rsid w:val="76B4739E"/>
    <w:rsid w:val="76B63116"/>
    <w:rsid w:val="76B92C06"/>
    <w:rsid w:val="76BA4A98"/>
    <w:rsid w:val="76BC535E"/>
    <w:rsid w:val="76BD26F7"/>
    <w:rsid w:val="76BF6130"/>
    <w:rsid w:val="76C06CCE"/>
    <w:rsid w:val="76C174E4"/>
    <w:rsid w:val="76C21ABB"/>
    <w:rsid w:val="76C27D0D"/>
    <w:rsid w:val="76C53359"/>
    <w:rsid w:val="76C8799D"/>
    <w:rsid w:val="76C92E49"/>
    <w:rsid w:val="76CB7891"/>
    <w:rsid w:val="76CC4B2A"/>
    <w:rsid w:val="76CD29F0"/>
    <w:rsid w:val="76CE19CA"/>
    <w:rsid w:val="76CE66B2"/>
    <w:rsid w:val="76CF7746"/>
    <w:rsid w:val="76D21D3E"/>
    <w:rsid w:val="76D80004"/>
    <w:rsid w:val="76D96E05"/>
    <w:rsid w:val="76DD73BE"/>
    <w:rsid w:val="76E05B03"/>
    <w:rsid w:val="76E06E8B"/>
    <w:rsid w:val="76E25CB9"/>
    <w:rsid w:val="76E445E1"/>
    <w:rsid w:val="76E56E2D"/>
    <w:rsid w:val="76E83614"/>
    <w:rsid w:val="76E9529A"/>
    <w:rsid w:val="76E97048"/>
    <w:rsid w:val="76EC01D5"/>
    <w:rsid w:val="76EC46EF"/>
    <w:rsid w:val="76EC61DE"/>
    <w:rsid w:val="76ED6663"/>
    <w:rsid w:val="76EF6628"/>
    <w:rsid w:val="76F36118"/>
    <w:rsid w:val="76F416A8"/>
    <w:rsid w:val="76F624CB"/>
    <w:rsid w:val="76F85475"/>
    <w:rsid w:val="76FA74A7"/>
    <w:rsid w:val="76FB42F2"/>
    <w:rsid w:val="77004391"/>
    <w:rsid w:val="770056C4"/>
    <w:rsid w:val="770622CE"/>
    <w:rsid w:val="770976EA"/>
    <w:rsid w:val="771213DC"/>
    <w:rsid w:val="77126911"/>
    <w:rsid w:val="77130569"/>
    <w:rsid w:val="77131442"/>
    <w:rsid w:val="77131AFC"/>
    <w:rsid w:val="77147E3D"/>
    <w:rsid w:val="77156723"/>
    <w:rsid w:val="77185915"/>
    <w:rsid w:val="771A18F7"/>
    <w:rsid w:val="771D13D6"/>
    <w:rsid w:val="771E7554"/>
    <w:rsid w:val="771F6F0D"/>
    <w:rsid w:val="77230C98"/>
    <w:rsid w:val="772327F8"/>
    <w:rsid w:val="77244986"/>
    <w:rsid w:val="772622B3"/>
    <w:rsid w:val="77266343"/>
    <w:rsid w:val="772838A9"/>
    <w:rsid w:val="772938E8"/>
    <w:rsid w:val="772E0EFE"/>
    <w:rsid w:val="772E36E0"/>
    <w:rsid w:val="772F0D1E"/>
    <w:rsid w:val="773029DE"/>
    <w:rsid w:val="77306AB7"/>
    <w:rsid w:val="773109EF"/>
    <w:rsid w:val="77316C41"/>
    <w:rsid w:val="77366005"/>
    <w:rsid w:val="77374BED"/>
    <w:rsid w:val="77375D74"/>
    <w:rsid w:val="77376AD2"/>
    <w:rsid w:val="77383B2B"/>
    <w:rsid w:val="773D7394"/>
    <w:rsid w:val="77415D4E"/>
    <w:rsid w:val="77444E34"/>
    <w:rsid w:val="77461551"/>
    <w:rsid w:val="77493F8A"/>
    <w:rsid w:val="774B52CF"/>
    <w:rsid w:val="774B7285"/>
    <w:rsid w:val="774B730C"/>
    <w:rsid w:val="774C5829"/>
    <w:rsid w:val="774C75D7"/>
    <w:rsid w:val="774E1F2E"/>
    <w:rsid w:val="774E77F3"/>
    <w:rsid w:val="77514C46"/>
    <w:rsid w:val="77550B81"/>
    <w:rsid w:val="77551288"/>
    <w:rsid w:val="7755292F"/>
    <w:rsid w:val="775546DD"/>
    <w:rsid w:val="77585C18"/>
    <w:rsid w:val="7759426C"/>
    <w:rsid w:val="775D016B"/>
    <w:rsid w:val="775E402C"/>
    <w:rsid w:val="775F44B8"/>
    <w:rsid w:val="77603EAD"/>
    <w:rsid w:val="7760799C"/>
    <w:rsid w:val="7762482A"/>
    <w:rsid w:val="77640DC4"/>
    <w:rsid w:val="776460C1"/>
    <w:rsid w:val="776668EA"/>
    <w:rsid w:val="77674410"/>
    <w:rsid w:val="77691CC9"/>
    <w:rsid w:val="77695D86"/>
    <w:rsid w:val="776B6F70"/>
    <w:rsid w:val="776C3C22"/>
    <w:rsid w:val="776D76CE"/>
    <w:rsid w:val="776F461F"/>
    <w:rsid w:val="77707769"/>
    <w:rsid w:val="77752FD1"/>
    <w:rsid w:val="777545F0"/>
    <w:rsid w:val="77756B2D"/>
    <w:rsid w:val="777803CC"/>
    <w:rsid w:val="777A0BD9"/>
    <w:rsid w:val="777B0502"/>
    <w:rsid w:val="777C33B2"/>
    <w:rsid w:val="777C6CD1"/>
    <w:rsid w:val="777D1E86"/>
    <w:rsid w:val="777D7350"/>
    <w:rsid w:val="777E6238"/>
    <w:rsid w:val="77820A6F"/>
    <w:rsid w:val="778576B9"/>
    <w:rsid w:val="77881F42"/>
    <w:rsid w:val="77882D05"/>
    <w:rsid w:val="77884AB3"/>
    <w:rsid w:val="7789082B"/>
    <w:rsid w:val="77895533"/>
    <w:rsid w:val="778960A9"/>
    <w:rsid w:val="778D6739"/>
    <w:rsid w:val="778E5349"/>
    <w:rsid w:val="778E6C38"/>
    <w:rsid w:val="77904D60"/>
    <w:rsid w:val="77905715"/>
    <w:rsid w:val="7791493B"/>
    <w:rsid w:val="779171C4"/>
    <w:rsid w:val="7796475D"/>
    <w:rsid w:val="7796613A"/>
    <w:rsid w:val="7798639C"/>
    <w:rsid w:val="779C1231"/>
    <w:rsid w:val="779C40BA"/>
    <w:rsid w:val="779C67B0"/>
    <w:rsid w:val="779D4095"/>
    <w:rsid w:val="779E031E"/>
    <w:rsid w:val="779E6C78"/>
    <w:rsid w:val="779E726F"/>
    <w:rsid w:val="779F004E"/>
    <w:rsid w:val="779F39A0"/>
    <w:rsid w:val="77A25449"/>
    <w:rsid w:val="77AA4336"/>
    <w:rsid w:val="77AB4063"/>
    <w:rsid w:val="77AC4D3A"/>
    <w:rsid w:val="77AD7F6A"/>
    <w:rsid w:val="77B2066E"/>
    <w:rsid w:val="77B22134"/>
    <w:rsid w:val="77B22DCD"/>
    <w:rsid w:val="77B238DE"/>
    <w:rsid w:val="77B27809"/>
    <w:rsid w:val="77BB0B67"/>
    <w:rsid w:val="77BF0D29"/>
    <w:rsid w:val="77C0505B"/>
    <w:rsid w:val="77C0555A"/>
    <w:rsid w:val="77C2362B"/>
    <w:rsid w:val="77C26C1D"/>
    <w:rsid w:val="77C6382D"/>
    <w:rsid w:val="77C64979"/>
    <w:rsid w:val="77C655DB"/>
    <w:rsid w:val="77C80083"/>
    <w:rsid w:val="77C80D66"/>
    <w:rsid w:val="77CA3210"/>
    <w:rsid w:val="77CB55F9"/>
    <w:rsid w:val="77CC5C78"/>
    <w:rsid w:val="77CD77B9"/>
    <w:rsid w:val="77CE649F"/>
    <w:rsid w:val="77D00208"/>
    <w:rsid w:val="77D60760"/>
    <w:rsid w:val="77D61BF0"/>
    <w:rsid w:val="77D73344"/>
    <w:rsid w:val="77D777E8"/>
    <w:rsid w:val="77D85BF3"/>
    <w:rsid w:val="77D9530E"/>
    <w:rsid w:val="77DA0EB7"/>
    <w:rsid w:val="77DA6F0C"/>
    <w:rsid w:val="77DC095A"/>
    <w:rsid w:val="77E43CB3"/>
    <w:rsid w:val="77E85551"/>
    <w:rsid w:val="77E93077"/>
    <w:rsid w:val="77EA16F7"/>
    <w:rsid w:val="77EB6DF0"/>
    <w:rsid w:val="77EC1496"/>
    <w:rsid w:val="77EE2084"/>
    <w:rsid w:val="77F11C9F"/>
    <w:rsid w:val="77F263D0"/>
    <w:rsid w:val="77F27A3E"/>
    <w:rsid w:val="77F34167"/>
    <w:rsid w:val="77F43EF6"/>
    <w:rsid w:val="77F46E9A"/>
    <w:rsid w:val="77F51A1C"/>
    <w:rsid w:val="77F62490"/>
    <w:rsid w:val="77F62B13"/>
    <w:rsid w:val="77F739E6"/>
    <w:rsid w:val="77F9150C"/>
    <w:rsid w:val="77F93E24"/>
    <w:rsid w:val="77F96AC5"/>
    <w:rsid w:val="77F9775E"/>
    <w:rsid w:val="77FA119B"/>
    <w:rsid w:val="77FA34D6"/>
    <w:rsid w:val="77FB2E6A"/>
    <w:rsid w:val="77FC2DEE"/>
    <w:rsid w:val="77FE4D75"/>
    <w:rsid w:val="78012DA4"/>
    <w:rsid w:val="78063C29"/>
    <w:rsid w:val="78066D81"/>
    <w:rsid w:val="7809375F"/>
    <w:rsid w:val="78096F14"/>
    <w:rsid w:val="780B1240"/>
    <w:rsid w:val="780D1F41"/>
    <w:rsid w:val="780D41B1"/>
    <w:rsid w:val="780D6D66"/>
    <w:rsid w:val="780E01EA"/>
    <w:rsid w:val="780E3A16"/>
    <w:rsid w:val="780E7D94"/>
    <w:rsid w:val="7810461F"/>
    <w:rsid w:val="78106856"/>
    <w:rsid w:val="78160310"/>
    <w:rsid w:val="78175E36"/>
    <w:rsid w:val="781A1483"/>
    <w:rsid w:val="781A42C2"/>
    <w:rsid w:val="781A76D5"/>
    <w:rsid w:val="781C2311"/>
    <w:rsid w:val="781C3334"/>
    <w:rsid w:val="781D074E"/>
    <w:rsid w:val="781F6DFC"/>
    <w:rsid w:val="78211B2A"/>
    <w:rsid w:val="78214ECC"/>
    <w:rsid w:val="78227C5A"/>
    <w:rsid w:val="78237F74"/>
    <w:rsid w:val="78265F73"/>
    <w:rsid w:val="78272CE7"/>
    <w:rsid w:val="78280044"/>
    <w:rsid w:val="78287D8D"/>
    <w:rsid w:val="78291EE2"/>
    <w:rsid w:val="782C6EB1"/>
    <w:rsid w:val="782D565A"/>
    <w:rsid w:val="782D7408"/>
    <w:rsid w:val="782F049B"/>
    <w:rsid w:val="7830139F"/>
    <w:rsid w:val="78311AB8"/>
    <w:rsid w:val="7835260B"/>
    <w:rsid w:val="783562BD"/>
    <w:rsid w:val="78362761"/>
    <w:rsid w:val="7836450F"/>
    <w:rsid w:val="783655E8"/>
    <w:rsid w:val="78372035"/>
    <w:rsid w:val="7839241C"/>
    <w:rsid w:val="78395A26"/>
    <w:rsid w:val="783C2F22"/>
    <w:rsid w:val="78422750"/>
    <w:rsid w:val="78426447"/>
    <w:rsid w:val="784309DA"/>
    <w:rsid w:val="78436C0F"/>
    <w:rsid w:val="784529A4"/>
    <w:rsid w:val="784760C5"/>
    <w:rsid w:val="784862A4"/>
    <w:rsid w:val="784A02E9"/>
    <w:rsid w:val="784A7FBA"/>
    <w:rsid w:val="784D1858"/>
    <w:rsid w:val="7852300F"/>
    <w:rsid w:val="78526E6F"/>
    <w:rsid w:val="78542453"/>
    <w:rsid w:val="78544995"/>
    <w:rsid w:val="78551B30"/>
    <w:rsid w:val="78556EF6"/>
    <w:rsid w:val="78571B1D"/>
    <w:rsid w:val="785735A0"/>
    <w:rsid w:val="78583490"/>
    <w:rsid w:val="785901FD"/>
    <w:rsid w:val="785C65C4"/>
    <w:rsid w:val="785D5F3F"/>
    <w:rsid w:val="78624008"/>
    <w:rsid w:val="786279D0"/>
    <w:rsid w:val="786471CD"/>
    <w:rsid w:val="786618EC"/>
    <w:rsid w:val="7866291A"/>
    <w:rsid w:val="786872CE"/>
    <w:rsid w:val="786B761E"/>
    <w:rsid w:val="786F5C73"/>
    <w:rsid w:val="78705A85"/>
    <w:rsid w:val="787104C6"/>
    <w:rsid w:val="78714A90"/>
    <w:rsid w:val="78727511"/>
    <w:rsid w:val="78727E6D"/>
    <w:rsid w:val="78747525"/>
    <w:rsid w:val="78760DAF"/>
    <w:rsid w:val="78766533"/>
    <w:rsid w:val="78774B27"/>
    <w:rsid w:val="78780B9F"/>
    <w:rsid w:val="787943FB"/>
    <w:rsid w:val="787A654A"/>
    <w:rsid w:val="787B0173"/>
    <w:rsid w:val="787B4617"/>
    <w:rsid w:val="787D44E5"/>
    <w:rsid w:val="78801C2E"/>
    <w:rsid w:val="788039DC"/>
    <w:rsid w:val="7882517F"/>
    <w:rsid w:val="78846F19"/>
    <w:rsid w:val="788A2AAC"/>
    <w:rsid w:val="788A485A"/>
    <w:rsid w:val="788C4B6A"/>
    <w:rsid w:val="788C5047"/>
    <w:rsid w:val="78904DCE"/>
    <w:rsid w:val="789254BD"/>
    <w:rsid w:val="78935F5B"/>
    <w:rsid w:val="789735EB"/>
    <w:rsid w:val="78981BAF"/>
    <w:rsid w:val="789A4C86"/>
    <w:rsid w:val="789C633C"/>
    <w:rsid w:val="789D216A"/>
    <w:rsid w:val="789D7429"/>
    <w:rsid w:val="78A0269B"/>
    <w:rsid w:val="78A0516A"/>
    <w:rsid w:val="78A21BA4"/>
    <w:rsid w:val="78A23952"/>
    <w:rsid w:val="78A255B9"/>
    <w:rsid w:val="78A33738"/>
    <w:rsid w:val="78A3680A"/>
    <w:rsid w:val="78A51ACC"/>
    <w:rsid w:val="78A7540C"/>
    <w:rsid w:val="78A771BA"/>
    <w:rsid w:val="78A91184"/>
    <w:rsid w:val="78AA77B7"/>
    <w:rsid w:val="78AB77B5"/>
    <w:rsid w:val="78AC657F"/>
    <w:rsid w:val="78AD18CD"/>
    <w:rsid w:val="78AD2A41"/>
    <w:rsid w:val="78AE29B1"/>
    <w:rsid w:val="78B05A6F"/>
    <w:rsid w:val="78B638A1"/>
    <w:rsid w:val="78BA1942"/>
    <w:rsid w:val="78BB0EB8"/>
    <w:rsid w:val="78BC77A1"/>
    <w:rsid w:val="78BE2756"/>
    <w:rsid w:val="78C102AD"/>
    <w:rsid w:val="78C365FE"/>
    <w:rsid w:val="78C64C4F"/>
    <w:rsid w:val="78C7785D"/>
    <w:rsid w:val="78CC4207"/>
    <w:rsid w:val="78CC4E73"/>
    <w:rsid w:val="78D27E1E"/>
    <w:rsid w:val="78D4194A"/>
    <w:rsid w:val="78D75080"/>
    <w:rsid w:val="78DE2F23"/>
    <w:rsid w:val="78E06AB0"/>
    <w:rsid w:val="78E20DFA"/>
    <w:rsid w:val="78E311AF"/>
    <w:rsid w:val="78E565E6"/>
    <w:rsid w:val="78E636B9"/>
    <w:rsid w:val="78E730C6"/>
    <w:rsid w:val="78E748E0"/>
    <w:rsid w:val="78E82ECC"/>
    <w:rsid w:val="78E86D7F"/>
    <w:rsid w:val="78E953A8"/>
    <w:rsid w:val="78EA0F9F"/>
    <w:rsid w:val="78EC3D17"/>
    <w:rsid w:val="78EF1A00"/>
    <w:rsid w:val="78EF6552"/>
    <w:rsid w:val="78F31A92"/>
    <w:rsid w:val="78F458A4"/>
    <w:rsid w:val="78F66093"/>
    <w:rsid w:val="78F82E0B"/>
    <w:rsid w:val="78FB7506"/>
    <w:rsid w:val="78FC54C5"/>
    <w:rsid w:val="79003513"/>
    <w:rsid w:val="7902302B"/>
    <w:rsid w:val="79060E41"/>
    <w:rsid w:val="79061C08"/>
    <w:rsid w:val="7907499D"/>
    <w:rsid w:val="7908404B"/>
    <w:rsid w:val="79091C23"/>
    <w:rsid w:val="790B332C"/>
    <w:rsid w:val="790C34C1"/>
    <w:rsid w:val="790E198A"/>
    <w:rsid w:val="790E2B9A"/>
    <w:rsid w:val="79122DEB"/>
    <w:rsid w:val="79147BBC"/>
    <w:rsid w:val="791B4726"/>
    <w:rsid w:val="791B6C2A"/>
    <w:rsid w:val="791E61D1"/>
    <w:rsid w:val="79211986"/>
    <w:rsid w:val="792355C5"/>
    <w:rsid w:val="792427A7"/>
    <w:rsid w:val="79243966"/>
    <w:rsid w:val="79256331"/>
    <w:rsid w:val="79257F12"/>
    <w:rsid w:val="792702FB"/>
    <w:rsid w:val="792720A9"/>
    <w:rsid w:val="792859B1"/>
    <w:rsid w:val="79295E21"/>
    <w:rsid w:val="792A003C"/>
    <w:rsid w:val="792A46B7"/>
    <w:rsid w:val="792F71B0"/>
    <w:rsid w:val="79311061"/>
    <w:rsid w:val="79352A18"/>
    <w:rsid w:val="79387AF1"/>
    <w:rsid w:val="793A3317"/>
    <w:rsid w:val="793B3DA7"/>
    <w:rsid w:val="793B7903"/>
    <w:rsid w:val="793D3ADF"/>
    <w:rsid w:val="79416086"/>
    <w:rsid w:val="79442C5B"/>
    <w:rsid w:val="794909BC"/>
    <w:rsid w:val="79492020"/>
    <w:rsid w:val="794A5D98"/>
    <w:rsid w:val="794C38BE"/>
    <w:rsid w:val="794C7D62"/>
    <w:rsid w:val="794E3974"/>
    <w:rsid w:val="795051C3"/>
    <w:rsid w:val="795135CA"/>
    <w:rsid w:val="79521A42"/>
    <w:rsid w:val="795301B7"/>
    <w:rsid w:val="79543477"/>
    <w:rsid w:val="795456E5"/>
    <w:rsid w:val="79584684"/>
    <w:rsid w:val="795A2CF9"/>
    <w:rsid w:val="795B5864"/>
    <w:rsid w:val="795D3D1D"/>
    <w:rsid w:val="795F1A52"/>
    <w:rsid w:val="795F7A95"/>
    <w:rsid w:val="796055BB"/>
    <w:rsid w:val="79615944"/>
    <w:rsid w:val="79642844"/>
    <w:rsid w:val="79647F07"/>
    <w:rsid w:val="79652BD2"/>
    <w:rsid w:val="79654980"/>
    <w:rsid w:val="79660E24"/>
    <w:rsid w:val="79671C54"/>
    <w:rsid w:val="796930D3"/>
    <w:rsid w:val="796A0DDC"/>
    <w:rsid w:val="796C04E5"/>
    <w:rsid w:val="796D2246"/>
    <w:rsid w:val="796E26C8"/>
    <w:rsid w:val="796E7CD8"/>
    <w:rsid w:val="7970341A"/>
    <w:rsid w:val="797177C8"/>
    <w:rsid w:val="7972247C"/>
    <w:rsid w:val="79766B8D"/>
    <w:rsid w:val="79780B57"/>
    <w:rsid w:val="79784E82"/>
    <w:rsid w:val="797A042B"/>
    <w:rsid w:val="797A314C"/>
    <w:rsid w:val="797C23F5"/>
    <w:rsid w:val="797C4A04"/>
    <w:rsid w:val="797C75FD"/>
    <w:rsid w:val="798017B9"/>
    <w:rsid w:val="798021F2"/>
    <w:rsid w:val="7982471D"/>
    <w:rsid w:val="79836B0A"/>
    <w:rsid w:val="79864DD2"/>
    <w:rsid w:val="798968C0"/>
    <w:rsid w:val="798B2638"/>
    <w:rsid w:val="798C63B0"/>
    <w:rsid w:val="798D4602"/>
    <w:rsid w:val="79924211"/>
    <w:rsid w:val="79925111"/>
    <w:rsid w:val="79960FDD"/>
    <w:rsid w:val="79984BD1"/>
    <w:rsid w:val="79986A4D"/>
    <w:rsid w:val="799A287B"/>
    <w:rsid w:val="799C6322"/>
    <w:rsid w:val="799D236B"/>
    <w:rsid w:val="79A03FCF"/>
    <w:rsid w:val="79A25BD4"/>
    <w:rsid w:val="79A3343C"/>
    <w:rsid w:val="79A47B9E"/>
    <w:rsid w:val="79A621FC"/>
    <w:rsid w:val="79A91CCC"/>
    <w:rsid w:val="79AB6C35"/>
    <w:rsid w:val="79AB790B"/>
    <w:rsid w:val="79AE4579"/>
    <w:rsid w:val="79AF588E"/>
    <w:rsid w:val="79B102D4"/>
    <w:rsid w:val="79B17E4D"/>
    <w:rsid w:val="79B40D24"/>
    <w:rsid w:val="79B6628F"/>
    <w:rsid w:val="79B80CEF"/>
    <w:rsid w:val="79B9785D"/>
    <w:rsid w:val="79BA116F"/>
    <w:rsid w:val="79BC4EE7"/>
    <w:rsid w:val="79BF15CC"/>
    <w:rsid w:val="79C124FE"/>
    <w:rsid w:val="79C12CC8"/>
    <w:rsid w:val="79C45B4A"/>
    <w:rsid w:val="79C83F8A"/>
    <w:rsid w:val="79CA6C00"/>
    <w:rsid w:val="79CD432C"/>
    <w:rsid w:val="79D044EF"/>
    <w:rsid w:val="79D20946"/>
    <w:rsid w:val="79D26C82"/>
    <w:rsid w:val="79D31B8D"/>
    <w:rsid w:val="79D33A2B"/>
    <w:rsid w:val="79D34622"/>
    <w:rsid w:val="79D55FA9"/>
    <w:rsid w:val="79D8175C"/>
    <w:rsid w:val="79D9785A"/>
    <w:rsid w:val="79DC2E94"/>
    <w:rsid w:val="79E03564"/>
    <w:rsid w:val="79E203AB"/>
    <w:rsid w:val="79E35415"/>
    <w:rsid w:val="79E55007"/>
    <w:rsid w:val="79E76898"/>
    <w:rsid w:val="79EC5843"/>
    <w:rsid w:val="79ED369C"/>
    <w:rsid w:val="79ED50A1"/>
    <w:rsid w:val="79EF4613"/>
    <w:rsid w:val="79EF5956"/>
    <w:rsid w:val="79F200F0"/>
    <w:rsid w:val="79F301DD"/>
    <w:rsid w:val="79F3642F"/>
    <w:rsid w:val="79F45962"/>
    <w:rsid w:val="79F8376D"/>
    <w:rsid w:val="79F9156E"/>
    <w:rsid w:val="79F91C98"/>
    <w:rsid w:val="79FC0C24"/>
    <w:rsid w:val="79FD0865"/>
    <w:rsid w:val="79FD490D"/>
    <w:rsid w:val="79FE105C"/>
    <w:rsid w:val="79FE4C10"/>
    <w:rsid w:val="79FE5D8F"/>
    <w:rsid w:val="7A034058"/>
    <w:rsid w:val="7A0B5188"/>
    <w:rsid w:val="7A0C1D06"/>
    <w:rsid w:val="7A0D5743"/>
    <w:rsid w:val="7A0E28BA"/>
    <w:rsid w:val="7A0E47C7"/>
    <w:rsid w:val="7A1109A0"/>
    <w:rsid w:val="7A117D98"/>
    <w:rsid w:val="7A134D15"/>
    <w:rsid w:val="7A15123D"/>
    <w:rsid w:val="7A170370"/>
    <w:rsid w:val="7A173ECC"/>
    <w:rsid w:val="7A19268B"/>
    <w:rsid w:val="7A1A6B3F"/>
    <w:rsid w:val="7A1B1294"/>
    <w:rsid w:val="7A1B409A"/>
    <w:rsid w:val="7A1E34AC"/>
    <w:rsid w:val="7A232871"/>
    <w:rsid w:val="7A244624"/>
    <w:rsid w:val="7A24483B"/>
    <w:rsid w:val="7A245426"/>
    <w:rsid w:val="7A252A8D"/>
    <w:rsid w:val="7A277702"/>
    <w:rsid w:val="7A291E51"/>
    <w:rsid w:val="7A2A25EE"/>
    <w:rsid w:val="7A2A2CC5"/>
    <w:rsid w:val="7A2B21F4"/>
    <w:rsid w:val="7A2B48B4"/>
    <w:rsid w:val="7A2C0B6E"/>
    <w:rsid w:val="7A2D4903"/>
    <w:rsid w:val="7A2D7B93"/>
    <w:rsid w:val="7A2E3003"/>
    <w:rsid w:val="7A2E3F19"/>
    <w:rsid w:val="7A304F8E"/>
    <w:rsid w:val="7A335A87"/>
    <w:rsid w:val="7A361C0C"/>
    <w:rsid w:val="7A37456E"/>
    <w:rsid w:val="7A37631C"/>
    <w:rsid w:val="7A383BCB"/>
    <w:rsid w:val="7A392094"/>
    <w:rsid w:val="7A3C3932"/>
    <w:rsid w:val="7A3E76AA"/>
    <w:rsid w:val="7A410F49"/>
    <w:rsid w:val="7A4153ED"/>
    <w:rsid w:val="7A423251"/>
    <w:rsid w:val="7A4318D7"/>
    <w:rsid w:val="7A4836AF"/>
    <w:rsid w:val="7A48677B"/>
    <w:rsid w:val="7A49604F"/>
    <w:rsid w:val="7A4A38F6"/>
    <w:rsid w:val="7A4D2339"/>
    <w:rsid w:val="7A4D3D91"/>
    <w:rsid w:val="7A4E37FA"/>
    <w:rsid w:val="7A5039A1"/>
    <w:rsid w:val="7A5142FF"/>
    <w:rsid w:val="7A5213A8"/>
    <w:rsid w:val="7A545120"/>
    <w:rsid w:val="7A555F56"/>
    <w:rsid w:val="7A572E56"/>
    <w:rsid w:val="7A577765"/>
    <w:rsid w:val="7A5C4D93"/>
    <w:rsid w:val="7A5D3449"/>
    <w:rsid w:val="7A6115EB"/>
    <w:rsid w:val="7A613399"/>
    <w:rsid w:val="7A630C3D"/>
    <w:rsid w:val="7A6342B7"/>
    <w:rsid w:val="7A635363"/>
    <w:rsid w:val="7A65612E"/>
    <w:rsid w:val="7A682979"/>
    <w:rsid w:val="7A684727"/>
    <w:rsid w:val="7A6A04A0"/>
    <w:rsid w:val="7A6D4025"/>
    <w:rsid w:val="7A6D61E2"/>
    <w:rsid w:val="7A715CD2"/>
    <w:rsid w:val="7A7430CC"/>
    <w:rsid w:val="7A7452F3"/>
    <w:rsid w:val="7A756E44"/>
    <w:rsid w:val="7A7607F4"/>
    <w:rsid w:val="7A771C84"/>
    <w:rsid w:val="7A774405"/>
    <w:rsid w:val="7A7E2D00"/>
    <w:rsid w:val="7A7E7D69"/>
    <w:rsid w:val="7A816D47"/>
    <w:rsid w:val="7A820E9D"/>
    <w:rsid w:val="7A824F2F"/>
    <w:rsid w:val="7A864AF2"/>
    <w:rsid w:val="7A867A95"/>
    <w:rsid w:val="7A8A28F0"/>
    <w:rsid w:val="7A8D0259"/>
    <w:rsid w:val="7A9419C0"/>
    <w:rsid w:val="7A94376E"/>
    <w:rsid w:val="7A950319"/>
    <w:rsid w:val="7A965738"/>
    <w:rsid w:val="7A97325F"/>
    <w:rsid w:val="7A974A40"/>
    <w:rsid w:val="7A97705F"/>
    <w:rsid w:val="7A9A4E6B"/>
    <w:rsid w:val="7A9B2D4F"/>
    <w:rsid w:val="7A9C2623"/>
    <w:rsid w:val="7A9D7D73"/>
    <w:rsid w:val="7AA03919"/>
    <w:rsid w:val="7AA1145D"/>
    <w:rsid w:val="7AA13C93"/>
    <w:rsid w:val="7AA17C39"/>
    <w:rsid w:val="7AA3688D"/>
    <w:rsid w:val="7AA8105B"/>
    <w:rsid w:val="7AA8546C"/>
    <w:rsid w:val="7AA86C05"/>
    <w:rsid w:val="7AA92801"/>
    <w:rsid w:val="7AAB7196"/>
    <w:rsid w:val="7AAC0949"/>
    <w:rsid w:val="7AAC35A8"/>
    <w:rsid w:val="7AAF7244"/>
    <w:rsid w:val="7AB60964"/>
    <w:rsid w:val="7AB97E6D"/>
    <w:rsid w:val="7ABB6F4D"/>
    <w:rsid w:val="7ABE675F"/>
    <w:rsid w:val="7AC0743F"/>
    <w:rsid w:val="7AC17647"/>
    <w:rsid w:val="7AC244A2"/>
    <w:rsid w:val="7AC25D8D"/>
    <w:rsid w:val="7AC2652D"/>
    <w:rsid w:val="7AC3298E"/>
    <w:rsid w:val="7AC34054"/>
    <w:rsid w:val="7AC357D7"/>
    <w:rsid w:val="7AC6403B"/>
    <w:rsid w:val="7AC669B0"/>
    <w:rsid w:val="7AC837A8"/>
    <w:rsid w:val="7AC940BD"/>
    <w:rsid w:val="7ACB3368"/>
    <w:rsid w:val="7ACC115A"/>
    <w:rsid w:val="7ACC676C"/>
    <w:rsid w:val="7ACD0A2E"/>
    <w:rsid w:val="7ACF4AE6"/>
    <w:rsid w:val="7AD16771"/>
    <w:rsid w:val="7AD406D5"/>
    <w:rsid w:val="7AD518F0"/>
    <w:rsid w:val="7AD5266E"/>
    <w:rsid w:val="7AD8355D"/>
    <w:rsid w:val="7ADB0C07"/>
    <w:rsid w:val="7ADE0E8D"/>
    <w:rsid w:val="7AE0544F"/>
    <w:rsid w:val="7AE604B0"/>
    <w:rsid w:val="7AE75F94"/>
    <w:rsid w:val="7AE853FE"/>
    <w:rsid w:val="7AE90699"/>
    <w:rsid w:val="7AE92ED8"/>
    <w:rsid w:val="7AEA15E0"/>
    <w:rsid w:val="7AEA1E0E"/>
    <w:rsid w:val="7AEA77EE"/>
    <w:rsid w:val="7AEC1933"/>
    <w:rsid w:val="7AEF0A3A"/>
    <w:rsid w:val="7AF15FF9"/>
    <w:rsid w:val="7AF30510"/>
    <w:rsid w:val="7AF34939"/>
    <w:rsid w:val="7AF631F1"/>
    <w:rsid w:val="7AF85A3A"/>
    <w:rsid w:val="7AFB26BA"/>
    <w:rsid w:val="7AFC0863"/>
    <w:rsid w:val="7AFD1314"/>
    <w:rsid w:val="7AFD57B8"/>
    <w:rsid w:val="7B002BB2"/>
    <w:rsid w:val="7B073F40"/>
    <w:rsid w:val="7B087CB8"/>
    <w:rsid w:val="7B095F0A"/>
    <w:rsid w:val="7B0D41C7"/>
    <w:rsid w:val="7B0E3521"/>
    <w:rsid w:val="7B116B6D"/>
    <w:rsid w:val="7B1623D5"/>
    <w:rsid w:val="7B164183"/>
    <w:rsid w:val="7B172B54"/>
    <w:rsid w:val="7B193C74"/>
    <w:rsid w:val="7B197943"/>
    <w:rsid w:val="7B1D12C2"/>
    <w:rsid w:val="7B1D5512"/>
    <w:rsid w:val="7B1E128A"/>
    <w:rsid w:val="7B1E74DC"/>
    <w:rsid w:val="7B1F336E"/>
    <w:rsid w:val="7B1F572E"/>
    <w:rsid w:val="7B1F7358"/>
    <w:rsid w:val="7B2014A6"/>
    <w:rsid w:val="7B213C70"/>
    <w:rsid w:val="7B220D7A"/>
    <w:rsid w:val="7B234AF2"/>
    <w:rsid w:val="7B243380"/>
    <w:rsid w:val="7B2C39A7"/>
    <w:rsid w:val="7B2C48D6"/>
    <w:rsid w:val="7B2C4A37"/>
    <w:rsid w:val="7B2E3D1F"/>
    <w:rsid w:val="7B2F1799"/>
    <w:rsid w:val="7B3040C7"/>
    <w:rsid w:val="7B30793B"/>
    <w:rsid w:val="7B310FBD"/>
    <w:rsid w:val="7B322C9F"/>
    <w:rsid w:val="7B343CCB"/>
    <w:rsid w:val="7B380A88"/>
    <w:rsid w:val="7B3B184D"/>
    <w:rsid w:val="7B3D01B3"/>
    <w:rsid w:val="7B3D3D0F"/>
    <w:rsid w:val="7B3F069E"/>
    <w:rsid w:val="7B3F0F4B"/>
    <w:rsid w:val="7B3F192C"/>
    <w:rsid w:val="7B3F492D"/>
    <w:rsid w:val="7B40682E"/>
    <w:rsid w:val="7B4231CA"/>
    <w:rsid w:val="7B43462F"/>
    <w:rsid w:val="7B4719CA"/>
    <w:rsid w:val="7B4909FD"/>
    <w:rsid w:val="7B4A207F"/>
    <w:rsid w:val="7B4A6771"/>
    <w:rsid w:val="7B4E7DC1"/>
    <w:rsid w:val="7B4F7B6B"/>
    <w:rsid w:val="7B500EA2"/>
    <w:rsid w:val="7B517733"/>
    <w:rsid w:val="7B540FE3"/>
    <w:rsid w:val="7B54582D"/>
    <w:rsid w:val="7B593826"/>
    <w:rsid w:val="7B5C534E"/>
    <w:rsid w:val="7B5E6AE3"/>
    <w:rsid w:val="7B623BB4"/>
    <w:rsid w:val="7B6475E5"/>
    <w:rsid w:val="7B6770D5"/>
    <w:rsid w:val="7B6A58D0"/>
    <w:rsid w:val="7B6C4572"/>
    <w:rsid w:val="7B6E0463"/>
    <w:rsid w:val="7B6E3F3E"/>
    <w:rsid w:val="7B7404CA"/>
    <w:rsid w:val="7B754F5D"/>
    <w:rsid w:val="7B780D38"/>
    <w:rsid w:val="7B786490"/>
    <w:rsid w:val="7B7B063B"/>
    <w:rsid w:val="7B7B1CB4"/>
    <w:rsid w:val="7B7C2705"/>
    <w:rsid w:val="7B7D3104"/>
    <w:rsid w:val="7B7E3E42"/>
    <w:rsid w:val="7B7F124A"/>
    <w:rsid w:val="7B7F441F"/>
    <w:rsid w:val="7B7F5186"/>
    <w:rsid w:val="7B7F7F7B"/>
    <w:rsid w:val="7B811F45"/>
    <w:rsid w:val="7B825019"/>
    <w:rsid w:val="7B82674A"/>
    <w:rsid w:val="7B83730E"/>
    <w:rsid w:val="7B841A35"/>
    <w:rsid w:val="7B871525"/>
    <w:rsid w:val="7B892BA7"/>
    <w:rsid w:val="7B8B4B71"/>
    <w:rsid w:val="7B8D2885"/>
    <w:rsid w:val="7B8E2F52"/>
    <w:rsid w:val="7B8F0F30"/>
    <w:rsid w:val="7B902188"/>
    <w:rsid w:val="7B9143E6"/>
    <w:rsid w:val="7B9164E3"/>
    <w:rsid w:val="7B933845"/>
    <w:rsid w:val="7B93399C"/>
    <w:rsid w:val="7B95154C"/>
    <w:rsid w:val="7B9559F0"/>
    <w:rsid w:val="7B964C3D"/>
    <w:rsid w:val="7B9B0B2D"/>
    <w:rsid w:val="7B9B1FB8"/>
    <w:rsid w:val="7B9C61F1"/>
    <w:rsid w:val="7B9F499A"/>
    <w:rsid w:val="7BA05373"/>
    <w:rsid w:val="7BA1088A"/>
    <w:rsid w:val="7BA162FE"/>
    <w:rsid w:val="7BA2010D"/>
    <w:rsid w:val="7BA20143"/>
    <w:rsid w:val="7BA37ED4"/>
    <w:rsid w:val="7BA43E85"/>
    <w:rsid w:val="7BA63759"/>
    <w:rsid w:val="7BA640F6"/>
    <w:rsid w:val="7BA7312C"/>
    <w:rsid w:val="7BA95789"/>
    <w:rsid w:val="7BA96A48"/>
    <w:rsid w:val="7BAE260E"/>
    <w:rsid w:val="7BAE4972"/>
    <w:rsid w:val="7BB045D8"/>
    <w:rsid w:val="7BB07D9F"/>
    <w:rsid w:val="7BB107C3"/>
    <w:rsid w:val="7BB120FE"/>
    <w:rsid w:val="7BB3768A"/>
    <w:rsid w:val="7BB4067D"/>
    <w:rsid w:val="7BB5399C"/>
    <w:rsid w:val="7BB80F12"/>
    <w:rsid w:val="7BBB4405"/>
    <w:rsid w:val="7BBC19FB"/>
    <w:rsid w:val="7BBD197E"/>
    <w:rsid w:val="7BC049B4"/>
    <w:rsid w:val="7BC1175D"/>
    <w:rsid w:val="7BC13C07"/>
    <w:rsid w:val="7BC167E5"/>
    <w:rsid w:val="7BC203DF"/>
    <w:rsid w:val="7BC40083"/>
    <w:rsid w:val="7BC462D5"/>
    <w:rsid w:val="7BC77B74"/>
    <w:rsid w:val="7BC819EB"/>
    <w:rsid w:val="7BC93671"/>
    <w:rsid w:val="7BCC0CE6"/>
    <w:rsid w:val="7BCD1495"/>
    <w:rsid w:val="7BD04C7A"/>
    <w:rsid w:val="7BD06A28"/>
    <w:rsid w:val="7BD23D2A"/>
    <w:rsid w:val="7BD302C6"/>
    <w:rsid w:val="7BD32074"/>
    <w:rsid w:val="7BD4780C"/>
    <w:rsid w:val="7BD83649"/>
    <w:rsid w:val="7BDA78A7"/>
    <w:rsid w:val="7BDD4DC9"/>
    <w:rsid w:val="7BDE0A0C"/>
    <w:rsid w:val="7BDE27F0"/>
    <w:rsid w:val="7BDE57E8"/>
    <w:rsid w:val="7BDE62A8"/>
    <w:rsid w:val="7BDF2246"/>
    <w:rsid w:val="7BE10C35"/>
    <w:rsid w:val="7BE129E3"/>
    <w:rsid w:val="7BE349AD"/>
    <w:rsid w:val="7BE35048"/>
    <w:rsid w:val="7BE40F02"/>
    <w:rsid w:val="7BE73398"/>
    <w:rsid w:val="7BE81EEB"/>
    <w:rsid w:val="7BEA7D4F"/>
    <w:rsid w:val="7BEB6F40"/>
    <w:rsid w:val="7BEE611A"/>
    <w:rsid w:val="7BF0326C"/>
    <w:rsid w:val="7BF30969"/>
    <w:rsid w:val="7BF62F10"/>
    <w:rsid w:val="7BF63B38"/>
    <w:rsid w:val="7BF64461"/>
    <w:rsid w:val="7BF73FB5"/>
    <w:rsid w:val="7BF74863"/>
    <w:rsid w:val="7BF81ADB"/>
    <w:rsid w:val="7BF95FA4"/>
    <w:rsid w:val="7BFC0690"/>
    <w:rsid w:val="7BFC15CB"/>
    <w:rsid w:val="7BFC6208"/>
    <w:rsid w:val="7BFD5343"/>
    <w:rsid w:val="7BFF10BB"/>
    <w:rsid w:val="7C02295A"/>
    <w:rsid w:val="7C0252A9"/>
    <w:rsid w:val="7C04450D"/>
    <w:rsid w:val="7C0C6053"/>
    <w:rsid w:val="7C0D1A2A"/>
    <w:rsid w:val="7C0E7550"/>
    <w:rsid w:val="7C1032C9"/>
    <w:rsid w:val="7C104CD2"/>
    <w:rsid w:val="7C134B67"/>
    <w:rsid w:val="7C136915"/>
    <w:rsid w:val="7C15268D"/>
    <w:rsid w:val="7C174C26"/>
    <w:rsid w:val="7C1E6545"/>
    <w:rsid w:val="7C200809"/>
    <w:rsid w:val="7C2103AE"/>
    <w:rsid w:val="7C2154D6"/>
    <w:rsid w:val="7C23679C"/>
    <w:rsid w:val="7C236C3C"/>
    <w:rsid w:val="7C257CE7"/>
    <w:rsid w:val="7C2665BC"/>
    <w:rsid w:val="7C280612"/>
    <w:rsid w:val="7C2A4222"/>
    <w:rsid w:val="7C2B0102"/>
    <w:rsid w:val="7C2C3544"/>
    <w:rsid w:val="7C3074C7"/>
    <w:rsid w:val="7C32323F"/>
    <w:rsid w:val="7C324FED"/>
    <w:rsid w:val="7C346788"/>
    <w:rsid w:val="7C393F9F"/>
    <w:rsid w:val="7C3A6597"/>
    <w:rsid w:val="7C3E6ED5"/>
    <w:rsid w:val="7C3F3B33"/>
    <w:rsid w:val="7C413482"/>
    <w:rsid w:val="7C41507A"/>
    <w:rsid w:val="7C4371FA"/>
    <w:rsid w:val="7C46607D"/>
    <w:rsid w:val="7C482A62"/>
    <w:rsid w:val="7C483F35"/>
    <w:rsid w:val="7C492337"/>
    <w:rsid w:val="7C4A0CA0"/>
    <w:rsid w:val="7C4D6B63"/>
    <w:rsid w:val="7C4F1257"/>
    <w:rsid w:val="7C4F2043"/>
    <w:rsid w:val="7C5036C5"/>
    <w:rsid w:val="7C5143D4"/>
    <w:rsid w:val="7C526968"/>
    <w:rsid w:val="7C532359"/>
    <w:rsid w:val="7C536D83"/>
    <w:rsid w:val="7C5533D1"/>
    <w:rsid w:val="7C574A54"/>
    <w:rsid w:val="7C591CE4"/>
    <w:rsid w:val="7C5F3142"/>
    <w:rsid w:val="7C6026CD"/>
    <w:rsid w:val="7C607FF3"/>
    <w:rsid w:val="7C621D66"/>
    <w:rsid w:val="7C6303BA"/>
    <w:rsid w:val="7C6347E5"/>
    <w:rsid w:val="7C634F26"/>
    <w:rsid w:val="7C644479"/>
    <w:rsid w:val="7C67237D"/>
    <w:rsid w:val="7C6D24C9"/>
    <w:rsid w:val="7C6F1157"/>
    <w:rsid w:val="7C6F5233"/>
    <w:rsid w:val="7C7B6E99"/>
    <w:rsid w:val="7C7D3800"/>
    <w:rsid w:val="7C7E2011"/>
    <w:rsid w:val="7C815F74"/>
    <w:rsid w:val="7C843B4D"/>
    <w:rsid w:val="7C855A65"/>
    <w:rsid w:val="7C864B89"/>
    <w:rsid w:val="7C887303"/>
    <w:rsid w:val="7C8F243F"/>
    <w:rsid w:val="7C8F525D"/>
    <w:rsid w:val="7C8F68E3"/>
    <w:rsid w:val="7C8F6E5E"/>
    <w:rsid w:val="7C916173"/>
    <w:rsid w:val="7C91652D"/>
    <w:rsid w:val="7C947A56"/>
    <w:rsid w:val="7C951F7F"/>
    <w:rsid w:val="7C9537CE"/>
    <w:rsid w:val="7C95557C"/>
    <w:rsid w:val="7C9619C8"/>
    <w:rsid w:val="7C9712F4"/>
    <w:rsid w:val="7C975798"/>
    <w:rsid w:val="7C99522A"/>
    <w:rsid w:val="7C9A5D73"/>
    <w:rsid w:val="7C9B5288"/>
    <w:rsid w:val="7C9B7036"/>
    <w:rsid w:val="7C9D00EC"/>
    <w:rsid w:val="7CA00AD9"/>
    <w:rsid w:val="7CA0474E"/>
    <w:rsid w:val="7CA66056"/>
    <w:rsid w:val="7CA83501"/>
    <w:rsid w:val="7CAA3E05"/>
    <w:rsid w:val="7CAB2FF1"/>
    <w:rsid w:val="7CAC2D59"/>
    <w:rsid w:val="7CAD0B17"/>
    <w:rsid w:val="7CAF2AE1"/>
    <w:rsid w:val="7CB023B6"/>
    <w:rsid w:val="7CB12660"/>
    <w:rsid w:val="7CB50DE1"/>
    <w:rsid w:val="7CB54E1C"/>
    <w:rsid w:val="7CB63E70"/>
    <w:rsid w:val="7CB853B5"/>
    <w:rsid w:val="7CB9570E"/>
    <w:rsid w:val="7CBB3234"/>
    <w:rsid w:val="7CBC27B6"/>
    <w:rsid w:val="7CBC6FAC"/>
    <w:rsid w:val="7CBE0F77"/>
    <w:rsid w:val="7CC04CEF"/>
    <w:rsid w:val="7CC16371"/>
    <w:rsid w:val="7CC23DFD"/>
    <w:rsid w:val="7CC25031"/>
    <w:rsid w:val="7CC52305"/>
    <w:rsid w:val="7CC84945"/>
    <w:rsid w:val="7CC85951"/>
    <w:rsid w:val="7CCA16C9"/>
    <w:rsid w:val="7CCA1DE0"/>
    <w:rsid w:val="7CCF4F32"/>
    <w:rsid w:val="7CCF6CE0"/>
    <w:rsid w:val="7CD442F6"/>
    <w:rsid w:val="7CD4702A"/>
    <w:rsid w:val="7CD62485"/>
    <w:rsid w:val="7CD6707B"/>
    <w:rsid w:val="7CD90186"/>
    <w:rsid w:val="7CD97B5E"/>
    <w:rsid w:val="7CDB5685"/>
    <w:rsid w:val="7CDD1B87"/>
    <w:rsid w:val="7CDE7F2F"/>
    <w:rsid w:val="7CE15036"/>
    <w:rsid w:val="7CE704CD"/>
    <w:rsid w:val="7CE82114"/>
    <w:rsid w:val="7CE8346C"/>
    <w:rsid w:val="7CE86B63"/>
    <w:rsid w:val="7CE87DA1"/>
    <w:rsid w:val="7CEA3B1A"/>
    <w:rsid w:val="7CED53B8"/>
    <w:rsid w:val="7CEE1CDF"/>
    <w:rsid w:val="7CEF76C0"/>
    <w:rsid w:val="7CF3630F"/>
    <w:rsid w:val="7CF50338"/>
    <w:rsid w:val="7CF71406"/>
    <w:rsid w:val="7CF77FE5"/>
    <w:rsid w:val="7CF8146F"/>
    <w:rsid w:val="7CFB7AD5"/>
    <w:rsid w:val="7CFE43FC"/>
    <w:rsid w:val="7CFE75C5"/>
    <w:rsid w:val="7CFF43FE"/>
    <w:rsid w:val="7D0366B0"/>
    <w:rsid w:val="7D05172E"/>
    <w:rsid w:val="7D060228"/>
    <w:rsid w:val="7D07269D"/>
    <w:rsid w:val="7D094640"/>
    <w:rsid w:val="7D09797F"/>
    <w:rsid w:val="7D0A056B"/>
    <w:rsid w:val="7D0A41BC"/>
    <w:rsid w:val="7D0C1CE2"/>
    <w:rsid w:val="7D0E27DE"/>
    <w:rsid w:val="7D0F4857"/>
    <w:rsid w:val="7D0F532E"/>
    <w:rsid w:val="7D0F6CD1"/>
    <w:rsid w:val="7D140C91"/>
    <w:rsid w:val="7D160FD2"/>
    <w:rsid w:val="7D17636B"/>
    <w:rsid w:val="7D182D4D"/>
    <w:rsid w:val="7D185A54"/>
    <w:rsid w:val="7D192445"/>
    <w:rsid w:val="7D1943FF"/>
    <w:rsid w:val="7D1961AD"/>
    <w:rsid w:val="7D1B37C8"/>
    <w:rsid w:val="7D1B4A6C"/>
    <w:rsid w:val="7D1D5C9D"/>
    <w:rsid w:val="7D1E6EA1"/>
    <w:rsid w:val="7D1F5BF3"/>
    <w:rsid w:val="7D2302BB"/>
    <w:rsid w:val="7D240E8C"/>
    <w:rsid w:val="7D276926"/>
    <w:rsid w:val="7D28412D"/>
    <w:rsid w:val="7D2B1CBB"/>
    <w:rsid w:val="7D2C5EE0"/>
    <w:rsid w:val="7D2D046E"/>
    <w:rsid w:val="7D2D1C58"/>
    <w:rsid w:val="7D2D7187"/>
    <w:rsid w:val="7D2F777E"/>
    <w:rsid w:val="7D3354C1"/>
    <w:rsid w:val="7D3361D6"/>
    <w:rsid w:val="7D343275"/>
    <w:rsid w:val="7D344D95"/>
    <w:rsid w:val="7D3468FC"/>
    <w:rsid w:val="7D365042"/>
    <w:rsid w:val="7D382AD7"/>
    <w:rsid w:val="7D39684F"/>
    <w:rsid w:val="7D3A47AA"/>
    <w:rsid w:val="7D3B79D2"/>
    <w:rsid w:val="7D3D00ED"/>
    <w:rsid w:val="7D3D3A33"/>
    <w:rsid w:val="7D3F2437"/>
    <w:rsid w:val="7D3F77E3"/>
    <w:rsid w:val="7D40373A"/>
    <w:rsid w:val="7D423956"/>
    <w:rsid w:val="7D425704"/>
    <w:rsid w:val="7D447364"/>
    <w:rsid w:val="7D451654"/>
    <w:rsid w:val="7D4704B1"/>
    <w:rsid w:val="7D476486"/>
    <w:rsid w:val="7D480840"/>
    <w:rsid w:val="7D4A0A5C"/>
    <w:rsid w:val="7D4A0F45"/>
    <w:rsid w:val="7D4B31AF"/>
    <w:rsid w:val="7D4C6582"/>
    <w:rsid w:val="7D4D0BA1"/>
    <w:rsid w:val="7D4D649F"/>
    <w:rsid w:val="7D4E40A8"/>
    <w:rsid w:val="7D5316BF"/>
    <w:rsid w:val="7D5564EA"/>
    <w:rsid w:val="7D5A0C9F"/>
    <w:rsid w:val="7D5B22F4"/>
    <w:rsid w:val="7D5B587B"/>
    <w:rsid w:val="7D5D42EC"/>
    <w:rsid w:val="7D612765"/>
    <w:rsid w:val="7D617D11"/>
    <w:rsid w:val="7D620317"/>
    <w:rsid w:val="7D641299"/>
    <w:rsid w:val="7D6412F0"/>
    <w:rsid w:val="7D646321"/>
    <w:rsid w:val="7D6531A0"/>
    <w:rsid w:val="7D6733BC"/>
    <w:rsid w:val="7D68657A"/>
    <w:rsid w:val="7D692C90"/>
    <w:rsid w:val="7D6C6BF4"/>
    <w:rsid w:val="7D6D0F37"/>
    <w:rsid w:val="7D6E02A7"/>
    <w:rsid w:val="7D6F5BA1"/>
    <w:rsid w:val="7D715FE9"/>
    <w:rsid w:val="7D7635FF"/>
    <w:rsid w:val="7D7653AD"/>
    <w:rsid w:val="7D7B6E68"/>
    <w:rsid w:val="7D7E4262"/>
    <w:rsid w:val="7D830876"/>
    <w:rsid w:val="7D835243"/>
    <w:rsid w:val="7D881A1A"/>
    <w:rsid w:val="7D8E7951"/>
    <w:rsid w:val="7D9050C0"/>
    <w:rsid w:val="7D934365"/>
    <w:rsid w:val="7D935F5F"/>
    <w:rsid w:val="7D96647C"/>
    <w:rsid w:val="7D967BE4"/>
    <w:rsid w:val="7D9A3DCA"/>
    <w:rsid w:val="7D9A6D34"/>
    <w:rsid w:val="7D9B5E77"/>
    <w:rsid w:val="7D9D008E"/>
    <w:rsid w:val="7D9E1813"/>
    <w:rsid w:val="7DA21434"/>
    <w:rsid w:val="7DA273D6"/>
    <w:rsid w:val="7DA41F1A"/>
    <w:rsid w:val="7DA63EE4"/>
    <w:rsid w:val="7DA939D5"/>
    <w:rsid w:val="7DAB1AA8"/>
    <w:rsid w:val="7DAB2199"/>
    <w:rsid w:val="7DAF3C2E"/>
    <w:rsid w:val="7DB13D21"/>
    <w:rsid w:val="7DB36682"/>
    <w:rsid w:val="7DB40154"/>
    <w:rsid w:val="7DB61C4E"/>
    <w:rsid w:val="7DB74914"/>
    <w:rsid w:val="7DB93FE1"/>
    <w:rsid w:val="7DBC3708"/>
    <w:rsid w:val="7DBD122E"/>
    <w:rsid w:val="7DBE54A9"/>
    <w:rsid w:val="7DC01584"/>
    <w:rsid w:val="7DC0487A"/>
    <w:rsid w:val="7DC05154"/>
    <w:rsid w:val="7DC223A1"/>
    <w:rsid w:val="7DC37CA5"/>
    <w:rsid w:val="7DC425BD"/>
    <w:rsid w:val="7DC60B4C"/>
    <w:rsid w:val="7DC97124"/>
    <w:rsid w:val="7DCA72FC"/>
    <w:rsid w:val="7DCC321F"/>
    <w:rsid w:val="7DCD6ED9"/>
    <w:rsid w:val="7DCE1294"/>
    <w:rsid w:val="7DCE170A"/>
    <w:rsid w:val="7DCE5884"/>
    <w:rsid w:val="7DD00D6C"/>
    <w:rsid w:val="7DD047CF"/>
    <w:rsid w:val="7DD07777"/>
    <w:rsid w:val="7DD120F0"/>
    <w:rsid w:val="7DD22877"/>
    <w:rsid w:val="7DD24CD9"/>
    <w:rsid w:val="7DD32D8D"/>
    <w:rsid w:val="7DD523BC"/>
    <w:rsid w:val="7DD67AE7"/>
    <w:rsid w:val="7DD81BC4"/>
    <w:rsid w:val="7DD86DC5"/>
    <w:rsid w:val="7DD87E16"/>
    <w:rsid w:val="7DDB2463"/>
    <w:rsid w:val="7DDC28B8"/>
    <w:rsid w:val="7DE15CAB"/>
    <w:rsid w:val="7DE41651"/>
    <w:rsid w:val="7DE74C5E"/>
    <w:rsid w:val="7DE762AB"/>
    <w:rsid w:val="7DEC14A3"/>
    <w:rsid w:val="7DEC4EFA"/>
    <w:rsid w:val="7DED1A9A"/>
    <w:rsid w:val="7DEF37C6"/>
    <w:rsid w:val="7DF331DB"/>
    <w:rsid w:val="7DF5264F"/>
    <w:rsid w:val="7DF52776"/>
    <w:rsid w:val="7DF53919"/>
    <w:rsid w:val="7DF74740"/>
    <w:rsid w:val="7DF84743"/>
    <w:rsid w:val="7DF956FF"/>
    <w:rsid w:val="7DFA5D55"/>
    <w:rsid w:val="7DFC1D56"/>
    <w:rsid w:val="7DFC6BA6"/>
    <w:rsid w:val="7DFD7110"/>
    <w:rsid w:val="7DFF2D77"/>
    <w:rsid w:val="7E000943"/>
    <w:rsid w:val="7E01507C"/>
    <w:rsid w:val="7E026C41"/>
    <w:rsid w:val="7E046552"/>
    <w:rsid w:val="7E060918"/>
    <w:rsid w:val="7E0A1D1D"/>
    <w:rsid w:val="7E0C568F"/>
    <w:rsid w:val="7E0D1B9F"/>
    <w:rsid w:val="7E0E3E08"/>
    <w:rsid w:val="7E0F4C67"/>
    <w:rsid w:val="7E105802"/>
    <w:rsid w:val="7E1075B0"/>
    <w:rsid w:val="7E1150D6"/>
    <w:rsid w:val="7E122E40"/>
    <w:rsid w:val="7E156AA6"/>
    <w:rsid w:val="7E161957"/>
    <w:rsid w:val="7E19791E"/>
    <w:rsid w:val="7E1A042F"/>
    <w:rsid w:val="7E1A2A46"/>
    <w:rsid w:val="7E1B3E9D"/>
    <w:rsid w:val="7E2412AD"/>
    <w:rsid w:val="7E245A9C"/>
    <w:rsid w:val="7E271DD0"/>
    <w:rsid w:val="7E2B5128"/>
    <w:rsid w:val="7E2C54CD"/>
    <w:rsid w:val="7E300297"/>
    <w:rsid w:val="7E301A00"/>
    <w:rsid w:val="7E304D7A"/>
    <w:rsid w:val="7E322DFD"/>
    <w:rsid w:val="7E3239CA"/>
    <w:rsid w:val="7E340E8C"/>
    <w:rsid w:val="7E350DC4"/>
    <w:rsid w:val="7E36397C"/>
    <w:rsid w:val="7E385A44"/>
    <w:rsid w:val="7E38629C"/>
    <w:rsid w:val="7E386B07"/>
    <w:rsid w:val="7E3A5E1C"/>
    <w:rsid w:val="7E3E1799"/>
    <w:rsid w:val="7E4750AB"/>
    <w:rsid w:val="7E484650"/>
    <w:rsid w:val="7E4A1A4D"/>
    <w:rsid w:val="7E4A39A0"/>
    <w:rsid w:val="7E4A749A"/>
    <w:rsid w:val="7E50553E"/>
    <w:rsid w:val="7E55098E"/>
    <w:rsid w:val="7E55658F"/>
    <w:rsid w:val="7E56201F"/>
    <w:rsid w:val="7E5751DF"/>
    <w:rsid w:val="7E575BD6"/>
    <w:rsid w:val="7E5772D6"/>
    <w:rsid w:val="7E5A082B"/>
    <w:rsid w:val="7E5B7560"/>
    <w:rsid w:val="7E5F57A9"/>
    <w:rsid w:val="7E5F6236"/>
    <w:rsid w:val="7E5F6E9E"/>
    <w:rsid w:val="7E602C44"/>
    <w:rsid w:val="7E6478FC"/>
    <w:rsid w:val="7E650781"/>
    <w:rsid w:val="7E6671D0"/>
    <w:rsid w:val="7E68780B"/>
    <w:rsid w:val="7E697D38"/>
    <w:rsid w:val="7E6A278D"/>
    <w:rsid w:val="7E6C1441"/>
    <w:rsid w:val="7E6C4C26"/>
    <w:rsid w:val="7E70004F"/>
    <w:rsid w:val="7E704513"/>
    <w:rsid w:val="7E730232"/>
    <w:rsid w:val="7E74391E"/>
    <w:rsid w:val="7E750E92"/>
    <w:rsid w:val="7E785CB9"/>
    <w:rsid w:val="7E7E276B"/>
    <w:rsid w:val="7E7E3CF9"/>
    <w:rsid w:val="7E7E6C0F"/>
    <w:rsid w:val="7E800A2D"/>
    <w:rsid w:val="7E815E0D"/>
    <w:rsid w:val="7E835E22"/>
    <w:rsid w:val="7E835FD4"/>
    <w:rsid w:val="7E846485"/>
    <w:rsid w:val="7E8A5121"/>
    <w:rsid w:val="7E8A55B4"/>
    <w:rsid w:val="7E8A77B1"/>
    <w:rsid w:val="7E8C0464"/>
    <w:rsid w:val="7E8C3322"/>
    <w:rsid w:val="7E8D0466"/>
    <w:rsid w:val="7E8F4979"/>
    <w:rsid w:val="7E8F5012"/>
    <w:rsid w:val="7E903EE4"/>
    <w:rsid w:val="7E925484"/>
    <w:rsid w:val="7E9271C8"/>
    <w:rsid w:val="7E941F8F"/>
    <w:rsid w:val="7E952C57"/>
    <w:rsid w:val="7E953F59"/>
    <w:rsid w:val="7E955D3C"/>
    <w:rsid w:val="7E966C18"/>
    <w:rsid w:val="7E971C95"/>
    <w:rsid w:val="7E97390A"/>
    <w:rsid w:val="7E9800F5"/>
    <w:rsid w:val="7E986E93"/>
    <w:rsid w:val="7E991353"/>
    <w:rsid w:val="7E9957F7"/>
    <w:rsid w:val="7EA06B86"/>
    <w:rsid w:val="7EA1262B"/>
    <w:rsid w:val="7EA6685A"/>
    <w:rsid w:val="7EA72608"/>
    <w:rsid w:val="7EA83C8C"/>
    <w:rsid w:val="7EA84765"/>
    <w:rsid w:val="7EA90030"/>
    <w:rsid w:val="7EAA3560"/>
    <w:rsid w:val="7EAB72D9"/>
    <w:rsid w:val="7EAC4E84"/>
    <w:rsid w:val="7EAD0CDE"/>
    <w:rsid w:val="7EAD40CE"/>
    <w:rsid w:val="7EAD4DFF"/>
    <w:rsid w:val="7EAF0B77"/>
    <w:rsid w:val="7EAF5740"/>
    <w:rsid w:val="7EB60DD0"/>
    <w:rsid w:val="7EB63962"/>
    <w:rsid w:val="7EB72D23"/>
    <w:rsid w:val="7EB72EE7"/>
    <w:rsid w:val="7EB73ECF"/>
    <w:rsid w:val="7EB75C7D"/>
    <w:rsid w:val="7EB807C8"/>
    <w:rsid w:val="7EB838C2"/>
    <w:rsid w:val="7EBB1694"/>
    <w:rsid w:val="7EBC7738"/>
    <w:rsid w:val="7EBF37C9"/>
    <w:rsid w:val="7EC375C3"/>
    <w:rsid w:val="7EC439C6"/>
    <w:rsid w:val="7EC470A2"/>
    <w:rsid w:val="7EC55DD4"/>
    <w:rsid w:val="7EC576BA"/>
    <w:rsid w:val="7EC57993"/>
    <w:rsid w:val="7EC64C74"/>
    <w:rsid w:val="7EC6688B"/>
    <w:rsid w:val="7ECA2F29"/>
    <w:rsid w:val="7ECB4904"/>
    <w:rsid w:val="7ECC7863"/>
    <w:rsid w:val="7ECE16D3"/>
    <w:rsid w:val="7ED01717"/>
    <w:rsid w:val="7ED256DE"/>
    <w:rsid w:val="7ED30AD2"/>
    <w:rsid w:val="7ED500EA"/>
    <w:rsid w:val="7ED90A98"/>
    <w:rsid w:val="7ED96456"/>
    <w:rsid w:val="7EDC1B88"/>
    <w:rsid w:val="7EDC56E4"/>
    <w:rsid w:val="7EDC7492"/>
    <w:rsid w:val="7EDD263F"/>
    <w:rsid w:val="7EE051D4"/>
    <w:rsid w:val="7EE10F4C"/>
    <w:rsid w:val="7EE209C8"/>
    <w:rsid w:val="7EE30CDE"/>
    <w:rsid w:val="7EE32669"/>
    <w:rsid w:val="7EE36A72"/>
    <w:rsid w:val="7EE467F9"/>
    <w:rsid w:val="7EE50A3C"/>
    <w:rsid w:val="7EE86C9A"/>
    <w:rsid w:val="7EEA1BAF"/>
    <w:rsid w:val="7EF14CDF"/>
    <w:rsid w:val="7EF201E7"/>
    <w:rsid w:val="7EF449A9"/>
    <w:rsid w:val="7EF46244"/>
    <w:rsid w:val="7EF556C3"/>
    <w:rsid w:val="7EF766B6"/>
    <w:rsid w:val="7EF96296"/>
    <w:rsid w:val="7EF96936"/>
    <w:rsid w:val="7EFB3DBC"/>
    <w:rsid w:val="7EFB7FFE"/>
    <w:rsid w:val="7EFC5D86"/>
    <w:rsid w:val="7EFF7307"/>
    <w:rsid w:val="7F004D42"/>
    <w:rsid w:val="7F010262"/>
    <w:rsid w:val="7F0215EE"/>
    <w:rsid w:val="7F05742C"/>
    <w:rsid w:val="7F075EAB"/>
    <w:rsid w:val="7F0A434B"/>
    <w:rsid w:val="7F0E4495"/>
    <w:rsid w:val="7F137627"/>
    <w:rsid w:val="7F146F18"/>
    <w:rsid w:val="7F1615DE"/>
    <w:rsid w:val="7F162ED6"/>
    <w:rsid w:val="7F17496E"/>
    <w:rsid w:val="7F19333A"/>
    <w:rsid w:val="7F1A28CD"/>
    <w:rsid w:val="7F1B620C"/>
    <w:rsid w:val="7F1D09E6"/>
    <w:rsid w:val="7F201138"/>
    <w:rsid w:val="7F207CC7"/>
    <w:rsid w:val="7F2240AA"/>
    <w:rsid w:val="7F234754"/>
    <w:rsid w:val="7F250E39"/>
    <w:rsid w:val="7F254A59"/>
    <w:rsid w:val="7F2624C2"/>
    <w:rsid w:val="7F271055"/>
    <w:rsid w:val="7F271FCF"/>
    <w:rsid w:val="7F2869A1"/>
    <w:rsid w:val="7F2A0615"/>
    <w:rsid w:val="7F2C21C7"/>
    <w:rsid w:val="7F2D4191"/>
    <w:rsid w:val="7F2E23E3"/>
    <w:rsid w:val="7F2F2894"/>
    <w:rsid w:val="7F315A30"/>
    <w:rsid w:val="7F323556"/>
    <w:rsid w:val="7F345520"/>
    <w:rsid w:val="7F365FF7"/>
    <w:rsid w:val="7F372876"/>
    <w:rsid w:val="7F374E6D"/>
    <w:rsid w:val="7F3821C1"/>
    <w:rsid w:val="7F3C6B46"/>
    <w:rsid w:val="7F3D58B7"/>
    <w:rsid w:val="7F3E1EFB"/>
    <w:rsid w:val="7F3F2762"/>
    <w:rsid w:val="7F41277A"/>
    <w:rsid w:val="7F41310A"/>
    <w:rsid w:val="7F4219EB"/>
    <w:rsid w:val="7F4339B5"/>
    <w:rsid w:val="7F435763"/>
    <w:rsid w:val="7F45772D"/>
    <w:rsid w:val="7F477001"/>
    <w:rsid w:val="7F4777E4"/>
    <w:rsid w:val="7F482D79"/>
    <w:rsid w:val="7F484B27"/>
    <w:rsid w:val="7F4877D4"/>
    <w:rsid w:val="7F4F4B8A"/>
    <w:rsid w:val="7F504C24"/>
    <w:rsid w:val="7F533BF8"/>
    <w:rsid w:val="7F552C9C"/>
    <w:rsid w:val="7F593EE9"/>
    <w:rsid w:val="7F594F87"/>
    <w:rsid w:val="7F597C55"/>
    <w:rsid w:val="7F5D66F3"/>
    <w:rsid w:val="7F5F25C3"/>
    <w:rsid w:val="7F5F7E25"/>
    <w:rsid w:val="7F612051"/>
    <w:rsid w:val="7F6206BF"/>
    <w:rsid w:val="7F62208D"/>
    <w:rsid w:val="7F644CC4"/>
    <w:rsid w:val="7F65046A"/>
    <w:rsid w:val="7F693CB9"/>
    <w:rsid w:val="7F6C2F0C"/>
    <w:rsid w:val="7F6D38A9"/>
    <w:rsid w:val="7F6D458E"/>
    <w:rsid w:val="7F6F433B"/>
    <w:rsid w:val="7F706453"/>
    <w:rsid w:val="7F707FB0"/>
    <w:rsid w:val="7F714013"/>
    <w:rsid w:val="7F724BB2"/>
    <w:rsid w:val="7F7325F8"/>
    <w:rsid w:val="7F7678E7"/>
    <w:rsid w:val="7F774919"/>
    <w:rsid w:val="7F791185"/>
    <w:rsid w:val="7F7B4EFD"/>
    <w:rsid w:val="7F7E6786"/>
    <w:rsid w:val="7F800765"/>
    <w:rsid w:val="7F807128"/>
    <w:rsid w:val="7F814A6A"/>
    <w:rsid w:val="7F855D7C"/>
    <w:rsid w:val="7F863357"/>
    <w:rsid w:val="7F8A0ADC"/>
    <w:rsid w:val="7F8A3392"/>
    <w:rsid w:val="7F8B6823"/>
    <w:rsid w:val="7F8C7F60"/>
    <w:rsid w:val="7F8D26BD"/>
    <w:rsid w:val="7F9044F2"/>
    <w:rsid w:val="7F9209B5"/>
    <w:rsid w:val="7F931616"/>
    <w:rsid w:val="7F93439F"/>
    <w:rsid w:val="7F957552"/>
    <w:rsid w:val="7F96404D"/>
    <w:rsid w:val="7F9704E0"/>
    <w:rsid w:val="7F9922CD"/>
    <w:rsid w:val="7F994742"/>
    <w:rsid w:val="7F9B734D"/>
    <w:rsid w:val="7F9D27D1"/>
    <w:rsid w:val="7FA04963"/>
    <w:rsid w:val="7FA14865"/>
    <w:rsid w:val="7FA1528B"/>
    <w:rsid w:val="7FA16F1B"/>
    <w:rsid w:val="7FA17C4A"/>
    <w:rsid w:val="7FA206DC"/>
    <w:rsid w:val="7FA352FD"/>
    <w:rsid w:val="7FA426A6"/>
    <w:rsid w:val="7FA501CC"/>
    <w:rsid w:val="7FA51F7A"/>
    <w:rsid w:val="7FA53D28"/>
    <w:rsid w:val="7FA6330E"/>
    <w:rsid w:val="7FA75CF2"/>
    <w:rsid w:val="7FA773CD"/>
    <w:rsid w:val="7FA77AA0"/>
    <w:rsid w:val="7FA93818"/>
    <w:rsid w:val="7FA9780B"/>
    <w:rsid w:val="7FAC3308"/>
    <w:rsid w:val="7FAF1655"/>
    <w:rsid w:val="7FB05AA5"/>
    <w:rsid w:val="7FB12E85"/>
    <w:rsid w:val="7FB17D50"/>
    <w:rsid w:val="7FB5196B"/>
    <w:rsid w:val="7FB5461B"/>
    <w:rsid w:val="7FB62E13"/>
    <w:rsid w:val="7FB816B0"/>
    <w:rsid w:val="7FB81CAD"/>
    <w:rsid w:val="7FBC6941"/>
    <w:rsid w:val="7FBF4F7F"/>
    <w:rsid w:val="7FC00B62"/>
    <w:rsid w:val="7FC1378F"/>
    <w:rsid w:val="7FC14BF4"/>
    <w:rsid w:val="7FC266A2"/>
    <w:rsid w:val="7FC27A71"/>
    <w:rsid w:val="7FC35AEC"/>
    <w:rsid w:val="7FC44AF6"/>
    <w:rsid w:val="7FC462AE"/>
    <w:rsid w:val="7FC56178"/>
    <w:rsid w:val="7FC63C6D"/>
    <w:rsid w:val="7FC66D63"/>
    <w:rsid w:val="7FC71EF0"/>
    <w:rsid w:val="7FC76394"/>
    <w:rsid w:val="7FC83CA0"/>
    <w:rsid w:val="7FC87497"/>
    <w:rsid w:val="7FC87946"/>
    <w:rsid w:val="7FC9210C"/>
    <w:rsid w:val="7FC95C68"/>
    <w:rsid w:val="7FCD61BB"/>
    <w:rsid w:val="7FCE1433"/>
    <w:rsid w:val="7FCE327F"/>
    <w:rsid w:val="7FD05249"/>
    <w:rsid w:val="7FD0544B"/>
    <w:rsid w:val="7FD12D6F"/>
    <w:rsid w:val="7FD13DE3"/>
    <w:rsid w:val="7FD80881"/>
    <w:rsid w:val="7FDB35D3"/>
    <w:rsid w:val="7FDB3BED"/>
    <w:rsid w:val="7FDC2280"/>
    <w:rsid w:val="7FDD02DE"/>
    <w:rsid w:val="7FDD1769"/>
    <w:rsid w:val="7FDD3AC7"/>
    <w:rsid w:val="7FDD7966"/>
    <w:rsid w:val="7FE1371F"/>
    <w:rsid w:val="7FE17456"/>
    <w:rsid w:val="7FE24F7C"/>
    <w:rsid w:val="7FE36CF0"/>
    <w:rsid w:val="7FE630FB"/>
    <w:rsid w:val="7FE657FB"/>
    <w:rsid w:val="7FE661CF"/>
    <w:rsid w:val="7FE70C11"/>
    <w:rsid w:val="7FE84467"/>
    <w:rsid w:val="7FE84E34"/>
    <w:rsid w:val="7FEE03A6"/>
    <w:rsid w:val="7FF01447"/>
    <w:rsid w:val="7FF07699"/>
    <w:rsid w:val="7FF25C1E"/>
    <w:rsid w:val="7FF476AA"/>
    <w:rsid w:val="7FF52F01"/>
    <w:rsid w:val="7FF531DE"/>
    <w:rsid w:val="7FF76C79"/>
    <w:rsid w:val="7FF81994"/>
    <w:rsid w:val="7FF83817"/>
    <w:rsid w:val="7FF90109"/>
    <w:rsid w:val="7FF90E32"/>
    <w:rsid w:val="7FFB7413"/>
    <w:rsid w:val="7FFD1DB6"/>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autoRedefine/>
    <w:qFormat/>
    <w:uiPriority w:val="0"/>
    <w:pPr>
      <w:keepNext/>
      <w:keepLines/>
      <w:spacing w:before="260" w:after="260" w:line="416" w:lineRule="auto"/>
      <w:outlineLvl w:val="2"/>
    </w:pPr>
    <w:rPr>
      <w:b/>
      <w:bCs/>
      <w:sz w:val="32"/>
      <w:szCs w:val="32"/>
    </w:rPr>
  </w:style>
  <w:style w:type="paragraph" w:styleId="8">
    <w:name w:val="heading 4"/>
    <w:basedOn w:val="1"/>
    <w:next w:val="1"/>
    <w:autoRedefine/>
    <w:qFormat/>
    <w:uiPriority w:val="9"/>
    <w:pPr>
      <w:keepNext/>
      <w:keepLines/>
      <w:spacing w:before="240" w:after="120"/>
      <w:jc w:val="center"/>
      <w:outlineLvl w:val="3"/>
    </w:pPr>
    <w:rPr>
      <w:rFonts w:ascii="Arial" w:hAnsi="Arial" w:eastAsia="仿宋_GB2312"/>
      <w:b/>
      <w:sz w:val="24"/>
      <w:szCs w:val="20"/>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1"/>
    <w:autoRedefine/>
    <w:qFormat/>
    <w:uiPriority w:val="0"/>
    <w:pPr>
      <w:spacing w:after="120" w:line="240" w:lineRule="auto"/>
      <w:ind w:left="420" w:leftChars="200" w:firstLine="420" w:firstLineChars="200"/>
    </w:pPr>
    <w:rPr>
      <w:sz w:val="21"/>
    </w:rPr>
  </w:style>
  <w:style w:type="paragraph" w:styleId="3">
    <w:name w:val="Body Text Indent"/>
    <w:basedOn w:val="1"/>
    <w:next w:val="4"/>
    <w:autoRedefine/>
    <w:qFormat/>
    <w:uiPriority w:val="0"/>
    <w:pPr>
      <w:spacing w:after="120"/>
      <w:ind w:left="420" w:leftChars="200"/>
    </w:pPr>
    <w:rPr>
      <w:kern w:val="0"/>
      <w:sz w:val="24"/>
      <w:szCs w:val="20"/>
    </w:rPr>
  </w:style>
  <w:style w:type="paragraph" w:styleId="4">
    <w:name w:val="envelope return"/>
    <w:basedOn w:val="1"/>
    <w:autoRedefine/>
    <w:unhideWhenUsed/>
    <w:qFormat/>
    <w:uiPriority w:val="99"/>
    <w:pPr>
      <w:snapToGrid w:val="0"/>
      <w:ind w:firstLine="723"/>
      <w:jc w:val="left"/>
    </w:pPr>
    <w:rPr>
      <w:rFonts w:ascii="Arial" w:hAnsi="Arial" w:cs="宋体"/>
    </w:rPr>
  </w:style>
  <w:style w:type="paragraph" w:styleId="9">
    <w:name w:val="Normal Indent"/>
    <w:basedOn w:val="1"/>
    <w:next w:val="1"/>
    <w:autoRedefine/>
    <w:unhideWhenUsed/>
    <w:qFormat/>
    <w:uiPriority w:val="99"/>
    <w:pPr>
      <w:ind w:firstLine="420" w:firstLineChars="200"/>
    </w:pPr>
  </w:style>
  <w:style w:type="paragraph" w:styleId="10">
    <w:name w:val="caption"/>
    <w:basedOn w:val="1"/>
    <w:next w:val="1"/>
    <w:autoRedefine/>
    <w:unhideWhenUsed/>
    <w:qFormat/>
    <w:uiPriority w:val="35"/>
    <w:pPr>
      <w:spacing w:before="50" w:beforeLines="50" w:after="50" w:afterLines="50" w:line="240" w:lineRule="auto"/>
      <w:ind w:firstLine="0" w:firstLineChars="0"/>
      <w:jc w:val="center"/>
    </w:pPr>
    <w:rPr>
      <w:rFonts w:cstheme="majorBidi"/>
      <w:b/>
      <w:sz w:val="24"/>
    </w:rPr>
  </w:style>
  <w:style w:type="paragraph" w:styleId="11">
    <w:name w:val="toa heading"/>
    <w:basedOn w:val="1"/>
    <w:next w:val="1"/>
    <w:autoRedefine/>
    <w:unhideWhenUsed/>
    <w:qFormat/>
    <w:uiPriority w:val="99"/>
    <w:pPr>
      <w:spacing w:before="120" w:after="100" w:afterAutospacing="1"/>
      <w:outlineLvl w:val="0"/>
    </w:pPr>
    <w:rPr>
      <w:rFonts w:ascii="宋体" w:hAnsi="Calibri" w:cs="宋体"/>
      <w:b/>
      <w:bCs/>
      <w:kern w:val="0"/>
      <w:sz w:val="28"/>
      <w:szCs w:val="28"/>
    </w:rPr>
  </w:style>
  <w:style w:type="paragraph" w:styleId="12">
    <w:name w:val="annotation text"/>
    <w:basedOn w:val="1"/>
    <w:autoRedefine/>
    <w:qFormat/>
    <w:uiPriority w:val="0"/>
    <w:pPr>
      <w:jc w:val="left"/>
    </w:pPr>
  </w:style>
  <w:style w:type="paragraph" w:styleId="13">
    <w:name w:val="Salutation"/>
    <w:basedOn w:val="1"/>
    <w:next w:val="1"/>
    <w:autoRedefine/>
    <w:qFormat/>
    <w:uiPriority w:val="0"/>
    <w:pPr>
      <w:spacing w:line="240" w:lineRule="auto"/>
      <w:ind w:firstLine="0" w:firstLineChars="0"/>
    </w:pPr>
    <w:rPr>
      <w:sz w:val="28"/>
      <w:szCs w:val="20"/>
    </w:rPr>
  </w:style>
  <w:style w:type="paragraph" w:styleId="14">
    <w:name w:val="Body Text"/>
    <w:basedOn w:val="1"/>
    <w:autoRedefine/>
    <w:qFormat/>
    <w:uiPriority w:val="0"/>
    <w:pPr>
      <w:spacing w:after="120"/>
    </w:pPr>
    <w:rPr>
      <w:rFonts w:ascii="Calibri" w:hAnsi="Calibri" w:eastAsia="宋体" w:cs="Times New Roman"/>
    </w:rPr>
  </w:style>
  <w:style w:type="paragraph" w:styleId="15">
    <w:name w:val="Plain Text"/>
    <w:basedOn w:val="1"/>
    <w:next w:val="13"/>
    <w:autoRedefine/>
    <w:qFormat/>
    <w:uiPriority w:val="0"/>
    <w:pPr>
      <w:spacing w:line="240" w:lineRule="auto"/>
      <w:ind w:firstLine="0" w:firstLineChars="0"/>
    </w:pPr>
    <w:rPr>
      <w:rFonts w:ascii="宋体" w:hAnsi="Courier New"/>
      <w:kern w:val="2"/>
      <w:sz w:val="21"/>
    </w:rPr>
  </w:style>
  <w:style w:type="paragraph" w:styleId="16">
    <w:name w:val="List Bullet 5"/>
    <w:basedOn w:val="1"/>
    <w:autoRedefine/>
    <w:qFormat/>
    <w:uiPriority w:val="0"/>
    <w:pPr>
      <w:numPr>
        <w:ilvl w:val="0"/>
        <w:numId w:val="1"/>
      </w:numPr>
    </w:pPr>
  </w:style>
  <w:style w:type="paragraph" w:styleId="17">
    <w:name w:val="Body Text Indent 2"/>
    <w:basedOn w:val="1"/>
    <w:next w:val="2"/>
    <w:autoRedefine/>
    <w:unhideWhenUsed/>
    <w:qFormat/>
    <w:uiPriority w:val="99"/>
    <w:pPr>
      <w:spacing w:after="120" w:line="480" w:lineRule="auto"/>
      <w:ind w:left="420" w:leftChars="200"/>
    </w:pPr>
  </w:style>
  <w:style w:type="paragraph" w:styleId="18">
    <w:name w:val="footer"/>
    <w:basedOn w:val="1"/>
    <w:autoRedefine/>
    <w:qFormat/>
    <w:uiPriority w:val="0"/>
    <w:pPr>
      <w:tabs>
        <w:tab w:val="center" w:pos="4153"/>
        <w:tab w:val="right" w:pos="8306"/>
      </w:tabs>
      <w:snapToGrid w:val="0"/>
      <w:jc w:val="left"/>
    </w:pPr>
    <w:rPr>
      <w:sz w:val="18"/>
    </w:rPr>
  </w:style>
  <w:style w:type="paragraph" w:styleId="19">
    <w:name w:val="header"/>
    <w:basedOn w:val="1"/>
    <w:next w:val="1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1"/>
    <w:basedOn w:val="1"/>
    <w:next w:val="1"/>
    <w:autoRedefine/>
    <w:qFormat/>
    <w:uiPriority w:val="39"/>
    <w:pPr>
      <w:spacing w:before="120" w:after="120" w:line="240" w:lineRule="auto"/>
      <w:ind w:firstLine="0" w:firstLineChars="0"/>
    </w:pPr>
    <w:rPr>
      <w:b/>
      <w:bCs/>
      <w:caps/>
      <w:sz w:val="20"/>
    </w:rPr>
  </w:style>
  <w:style w:type="paragraph" w:styleId="21">
    <w:name w:val="Body Text 2"/>
    <w:basedOn w:val="1"/>
    <w:next w:val="1"/>
    <w:autoRedefine/>
    <w:qFormat/>
    <w:uiPriority w:val="0"/>
    <w:pPr>
      <w:spacing w:after="120" w:line="480" w:lineRule="auto"/>
    </w:pPr>
    <w:rPr>
      <w:rFonts w:ascii="Times New Roman" w:hAnsi="Times New Roman"/>
      <w:szCs w:val="24"/>
    </w:rPr>
  </w:style>
  <w:style w:type="paragraph" w:styleId="22">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styleId="23">
    <w:name w:val="Title"/>
    <w:basedOn w:val="1"/>
    <w:next w:val="1"/>
    <w:autoRedefine/>
    <w:qFormat/>
    <w:uiPriority w:val="0"/>
    <w:pPr>
      <w:ind w:firstLine="0" w:firstLineChars="0"/>
      <w:jc w:val="center"/>
      <w:outlineLvl w:val="3"/>
    </w:pPr>
    <w:rPr>
      <w:bCs/>
      <w:sz w:val="21"/>
      <w:szCs w:val="32"/>
    </w:r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autoRedefine/>
    <w:qFormat/>
    <w:uiPriority w:val="0"/>
    <w:rPr>
      <w:b/>
    </w:rPr>
  </w:style>
  <w:style w:type="character" w:styleId="28">
    <w:name w:val="Hyperlink"/>
    <w:basedOn w:val="26"/>
    <w:autoRedefine/>
    <w:qFormat/>
    <w:uiPriority w:val="0"/>
    <w:rPr>
      <w:color w:val="0000FF"/>
      <w:u w:val="single"/>
    </w:rPr>
  </w:style>
  <w:style w:type="paragraph" w:customStyle="1" w:styleId="29">
    <w:name w:val="Default"/>
    <w:basedOn w:val="30"/>
    <w:next w:val="3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0">
    <w:name w:val="纯文本1"/>
    <w:basedOn w:val="1"/>
    <w:autoRedefine/>
    <w:qFormat/>
    <w:uiPriority w:val="0"/>
    <w:pPr>
      <w:adjustRightInd w:val="0"/>
    </w:pPr>
    <w:rPr>
      <w:rFonts w:ascii="宋体" w:hAnsi="Courier New"/>
      <w:szCs w:val="20"/>
    </w:rPr>
  </w:style>
  <w:style w:type="paragraph" w:customStyle="1" w:styleId="31">
    <w:name w:val="Char Char Char Char Char Char1 Char Char Char Char"/>
    <w:basedOn w:val="1"/>
    <w:next w:val="1"/>
    <w:autoRedefine/>
    <w:semiHidden/>
    <w:qFormat/>
    <w:uiPriority w:val="0"/>
    <w:pPr>
      <w:spacing w:line="360" w:lineRule="auto"/>
      <w:ind w:firstLine="200" w:firstLineChars="200"/>
    </w:pPr>
    <w:rPr>
      <w:rFonts w:ascii="宋体" w:hAnsi="宋体" w:cs="宋体"/>
      <w:szCs w:val="21"/>
    </w:rPr>
  </w:style>
  <w:style w:type="paragraph" w:customStyle="1" w:styleId="32">
    <w:name w:val="1正文段落"/>
    <w:basedOn w:val="1"/>
    <w:autoRedefine/>
    <w:qFormat/>
    <w:uiPriority w:val="0"/>
    <w:pPr>
      <w:spacing w:line="360" w:lineRule="auto"/>
      <w:ind w:firstLine="480" w:firstLineChars="200"/>
      <w:jc w:val="left"/>
    </w:pPr>
    <w:rPr>
      <w:snapToGrid w:val="0"/>
      <w:kern w:val="0"/>
      <w:sz w:val="24"/>
    </w:rPr>
  </w:style>
  <w:style w:type="paragraph" w:customStyle="1" w:styleId="33">
    <w:name w:val="文本"/>
    <w:basedOn w:val="1"/>
    <w:autoRedefine/>
    <w:qFormat/>
    <w:uiPriority w:val="0"/>
    <w:pPr>
      <w:spacing w:line="360" w:lineRule="auto"/>
      <w:ind w:firstLine="480" w:firstLineChars="200"/>
    </w:pPr>
    <w:rPr>
      <w:sz w:val="24"/>
    </w:rPr>
  </w:style>
  <w:style w:type="paragraph" w:customStyle="1" w:styleId="34">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35">
    <w:name w:val="li_正文"/>
    <w:basedOn w:val="1"/>
    <w:autoRedefine/>
    <w:qFormat/>
    <w:uiPriority w:val="0"/>
    <w:pPr>
      <w:tabs>
        <w:tab w:val="left" w:pos="2340"/>
        <w:tab w:val="left" w:pos="4320"/>
      </w:tabs>
      <w:adjustRightInd/>
      <w:snapToGrid/>
      <w:spacing w:line="240" w:lineRule="auto"/>
      <w:ind w:firstLine="530" w:firstLineChars="200"/>
      <w:jc w:val="left"/>
    </w:pPr>
    <w:rPr>
      <w:rFonts w:ascii="Calibri" w:hAnsi="Calibri"/>
      <w:sz w:val="28"/>
      <w:szCs w:val="28"/>
    </w:rPr>
  </w:style>
  <w:style w:type="paragraph" w:customStyle="1" w:styleId="36">
    <w:name w:val="xl27"/>
    <w:basedOn w:val="1"/>
    <w:next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7">
    <w:name w:val="A正文"/>
    <w:basedOn w:val="1"/>
    <w:autoRedefine/>
    <w:qFormat/>
    <w:uiPriority w:val="0"/>
    <w:pPr>
      <w:spacing w:line="360" w:lineRule="auto"/>
      <w:ind w:firstLine="200" w:firstLineChars="200"/>
    </w:pPr>
    <w:rPr>
      <w:sz w:val="24"/>
    </w:rPr>
  </w:style>
  <w:style w:type="paragraph" w:customStyle="1" w:styleId="38">
    <w:name w:val="0正文"/>
    <w:basedOn w:val="22"/>
    <w:autoRedefine/>
    <w:qFormat/>
    <w:uiPriority w:val="0"/>
    <w:pPr>
      <w:spacing w:before="0" w:beforeAutospacing="0" w:after="0" w:afterAutospacing="0" w:line="360" w:lineRule="auto"/>
      <w:ind w:firstLine="482"/>
      <w:jc w:val="both"/>
    </w:pPr>
    <w:rPr>
      <w:rFonts w:ascii="Calibri" w:hAnsi="Calibri" w:eastAsia="Arial Unicode MS"/>
      <w:kern w:val="2"/>
      <w:sz w:val="24"/>
      <w:szCs w:val="24"/>
    </w:rPr>
  </w:style>
  <w:style w:type="paragraph" w:customStyle="1" w:styleId="39">
    <w:name w:val="表格内容"/>
    <w:basedOn w:val="40"/>
    <w:next w:val="1"/>
    <w:autoRedefine/>
    <w:qFormat/>
    <w:uiPriority w:val="0"/>
    <w:pPr>
      <w:spacing w:line="240" w:lineRule="atLeast"/>
      <w:jc w:val="center"/>
    </w:pPr>
    <w:rPr>
      <w:rFonts w:eastAsia="宋体"/>
      <w:sz w:val="21"/>
    </w:rPr>
  </w:style>
  <w:style w:type="paragraph" w:customStyle="1" w:styleId="40">
    <w:name w:val="表格标题"/>
    <w:basedOn w:val="1"/>
    <w:next w:val="39"/>
    <w:autoRedefine/>
    <w:qFormat/>
    <w:uiPriority w:val="0"/>
    <w:pPr>
      <w:spacing w:before="0" w:beforeLines="0" w:line="360" w:lineRule="auto"/>
      <w:jc w:val="center"/>
    </w:pPr>
    <w:rPr>
      <w:rFonts w:ascii="Times New Roman" w:hAnsi="Times New Roman" w:eastAsia="黑体"/>
      <w:sz w:val="24"/>
      <w:szCs w:val="20"/>
    </w:rPr>
  </w:style>
  <w:style w:type="paragraph" w:customStyle="1" w:styleId="41">
    <w:name w:val="List Paragraph"/>
    <w:basedOn w:val="1"/>
    <w:autoRedefine/>
    <w:qFormat/>
    <w:uiPriority w:val="0"/>
    <w:pPr>
      <w:ind w:firstLine="420" w:firstLineChars="200"/>
    </w:pPr>
    <w:rPr>
      <w:rFonts w:ascii="Calibri" w:hAnsi="Calibri" w:eastAsia="宋体" w:cs="Times New Roman"/>
    </w:rPr>
  </w:style>
  <w:style w:type="character" w:customStyle="1" w:styleId="42">
    <w:name w:val="font11"/>
    <w:basedOn w:val="26"/>
    <w:autoRedefine/>
    <w:qFormat/>
    <w:uiPriority w:val="0"/>
    <w:rPr>
      <w:rFonts w:hint="eastAsia" w:ascii="宋体" w:hAnsi="宋体" w:eastAsia="宋体" w:cs="宋体"/>
      <w:color w:val="000000"/>
      <w:sz w:val="22"/>
      <w:szCs w:val="22"/>
      <w:u w:val="none"/>
    </w:rPr>
  </w:style>
  <w:style w:type="paragraph" w:customStyle="1" w:styleId="43">
    <w:name w:val="表内容"/>
    <w:basedOn w:val="44"/>
    <w:autoRedefine/>
    <w:qFormat/>
    <w:uiPriority w:val="0"/>
    <w:pPr>
      <w:spacing w:line="360" w:lineRule="exact"/>
      <w:ind w:firstLine="0" w:firstLineChars="0"/>
      <w:jc w:val="center"/>
    </w:pPr>
    <w:rPr>
      <w:szCs w:val="21"/>
    </w:rPr>
  </w:style>
  <w:style w:type="paragraph" w:customStyle="1" w:styleId="44">
    <w:name w:val="24磅正文"/>
    <w:basedOn w:val="1"/>
    <w:autoRedefine/>
    <w:qFormat/>
    <w:uiPriority w:val="0"/>
    <w:pPr>
      <w:spacing w:line="480" w:lineRule="exact"/>
      <w:ind w:firstLine="480" w:firstLineChars="200"/>
    </w:pPr>
    <w:rPr>
      <w:rFonts w:eastAsia="宋体"/>
    </w:rPr>
  </w:style>
  <w:style w:type="paragraph" w:customStyle="1" w:styleId="45">
    <w:name w:val="正文 + 仿宋_GB2312"/>
    <w:basedOn w:val="1"/>
    <w:autoRedefine/>
    <w:qFormat/>
    <w:uiPriority w:val="99"/>
    <w:pPr>
      <w:ind w:firstLine="480" w:firstLineChars="200"/>
    </w:pPr>
    <w:rPr>
      <w:rFonts w:ascii="仿宋_GB2312" w:hAnsi="Calibri" w:eastAsia="仿宋_GB2312" w:cs="Times New Roman"/>
      <w:sz w:val="24"/>
    </w:rPr>
  </w:style>
  <w:style w:type="paragraph" w:customStyle="1" w:styleId="46">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47">
    <w:name w:val="胡正文"/>
    <w:basedOn w:val="1"/>
    <w:autoRedefine/>
    <w:qFormat/>
    <w:uiPriority w:val="0"/>
    <w:pPr>
      <w:spacing w:line="360" w:lineRule="auto"/>
      <w:ind w:firstLine="200" w:firstLineChars="200"/>
      <w:jc w:val="left"/>
    </w:pPr>
    <w:rPr>
      <w:rFonts w:ascii="宋体" w:hAnsi="宋体"/>
      <w:sz w:val="24"/>
      <w:szCs w:val="28"/>
    </w:rPr>
  </w:style>
  <w:style w:type="paragraph" w:customStyle="1" w:styleId="48">
    <w:name w:val="表格"/>
    <w:basedOn w:val="9"/>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9">
    <w:name w:val="报告正文"/>
    <w:basedOn w:val="1"/>
    <w:autoRedefine/>
    <w:qFormat/>
    <w:uiPriority w:val="0"/>
    <w:pPr>
      <w:adjustRightInd w:val="0"/>
      <w:snapToGrid w:val="0"/>
      <w:spacing w:after="20" w:afterLines="20" w:line="288" w:lineRule="auto"/>
      <w:ind w:firstLine="560" w:firstLineChars="200"/>
    </w:pPr>
    <w:rPr>
      <w:rFonts w:hint="default" w:ascii="Times New Roman" w:hAnsi="Times New Roman" w:eastAsia="宋体" w:cs="宋体"/>
      <w:snapToGrid w:val="0"/>
      <w:color w:val="auto"/>
      <w:kern w:val="0"/>
      <w:sz w:val="28"/>
      <w:szCs w:val="22"/>
    </w:rPr>
  </w:style>
  <w:style w:type="paragraph" w:customStyle="1" w:styleId="50">
    <w:name w:val="我的正文"/>
    <w:basedOn w:val="1"/>
    <w:autoRedefine/>
    <w:qFormat/>
    <w:uiPriority w:val="0"/>
    <w:pPr>
      <w:spacing w:line="360" w:lineRule="auto"/>
      <w:ind w:firstLine="480" w:firstLineChars="200"/>
      <w:jc w:val="left"/>
    </w:pPr>
    <w:rPr>
      <w:rFonts w:hAnsi="宋体"/>
      <w:bCs/>
      <w:kern w:val="44"/>
      <w:sz w:val="24"/>
    </w:rPr>
  </w:style>
  <w:style w:type="paragraph" w:customStyle="1" w:styleId="51">
    <w:name w:val="环科院正文"/>
    <w:basedOn w:val="1"/>
    <w:autoRedefine/>
    <w:semiHidden/>
    <w:qFormat/>
    <w:uiPriority w:val="0"/>
    <w:pPr>
      <w:tabs>
        <w:tab w:val="left" w:pos="5760"/>
      </w:tabs>
      <w:spacing w:line="500" w:lineRule="exact"/>
      <w:ind w:firstLine="480" w:firstLineChars="200"/>
    </w:pPr>
    <w:rPr>
      <w:rFonts w:hAnsi="宋体"/>
      <w:bCs/>
      <w:snapToGrid w:val="0"/>
      <w:kern w:val="0"/>
      <w:sz w:val="24"/>
      <w:u w:val="none" w:color="000000"/>
      <w:lang w:val="zh-CN"/>
    </w:rPr>
  </w:style>
  <w:style w:type="paragraph" w:customStyle="1" w:styleId="52">
    <w:name w:val="文字"/>
    <w:basedOn w:val="1"/>
    <w:autoRedefine/>
    <w:qFormat/>
    <w:uiPriority w:val="0"/>
    <w:pPr>
      <w:spacing w:line="360" w:lineRule="auto"/>
    </w:pPr>
  </w:style>
  <w:style w:type="paragraph" w:customStyle="1" w:styleId="53">
    <w:name w:val="fu正文"/>
    <w:basedOn w:val="1"/>
    <w:autoRedefine/>
    <w:qFormat/>
    <w:uiPriority w:val="0"/>
    <w:pPr>
      <w:spacing w:line="360" w:lineRule="auto"/>
      <w:ind w:firstLine="200" w:firstLineChars="200"/>
    </w:pPr>
    <w:rPr>
      <w:rFonts w:ascii="宋体" w:hAnsi="宋体" w:eastAsia="宋体" w:cs="Times New Roman"/>
      <w:color w:val="000000"/>
      <w:sz w:val="24"/>
      <w:szCs w:val="24"/>
    </w:rPr>
  </w:style>
  <w:style w:type="paragraph" w:customStyle="1" w:styleId="54">
    <w:name w:val="正文修改"/>
    <w:basedOn w:val="1"/>
    <w:autoRedefine/>
    <w:qFormat/>
    <w:uiPriority w:val="0"/>
    <w:pPr>
      <w:spacing w:line="360" w:lineRule="auto"/>
      <w:ind w:firstLine="480" w:firstLineChars="200"/>
    </w:pPr>
    <w:rPr>
      <w:rFonts w:cs="宋体"/>
      <w:kern w:val="0"/>
      <w:sz w:val="24"/>
    </w:rPr>
  </w:style>
  <w:style w:type="paragraph" w:customStyle="1" w:styleId="55">
    <w:name w:val="正本文字"/>
    <w:basedOn w:val="1"/>
    <w:autoRedefine/>
    <w:qFormat/>
    <w:uiPriority w:val="0"/>
    <w:pPr>
      <w:adjustRightInd w:val="0"/>
      <w:snapToGrid w:val="0"/>
      <w:spacing w:line="360" w:lineRule="auto"/>
      <w:ind w:firstLine="480" w:firstLineChars="200"/>
      <w:jc w:val="left"/>
    </w:pPr>
    <w:rPr>
      <w:rFonts w:cs="宋体"/>
      <w:kern w:val="18"/>
      <w:sz w:val="24"/>
      <w:szCs w:val="20"/>
    </w:rPr>
  </w:style>
  <w:style w:type="paragraph" w:customStyle="1" w:styleId="56">
    <w:name w:val="Default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7">
    <w:name w:val="font61"/>
    <w:autoRedefine/>
    <w:qFormat/>
    <w:uiPriority w:val="0"/>
    <w:rPr>
      <w:rFonts w:hint="eastAsia" w:ascii="宋体" w:hAnsi="宋体" w:eastAsia="宋体" w:cs="宋体"/>
      <w:color w:val="000000"/>
      <w:sz w:val="22"/>
      <w:szCs w:val="22"/>
      <w:u w:val="none"/>
    </w:rPr>
  </w:style>
  <w:style w:type="paragraph" w:customStyle="1" w:styleId="58">
    <w:name w:val="A-正文"/>
    <w:basedOn w:val="1"/>
    <w:autoRedefine/>
    <w:qFormat/>
    <w:uiPriority w:val="0"/>
    <w:pPr>
      <w:widowControl w:val="0"/>
      <w:adjustRightInd/>
      <w:snapToGrid/>
      <w:spacing w:line="560" w:lineRule="exact"/>
      <w:ind w:firstLine="560" w:firstLineChars="200"/>
    </w:pPr>
    <w:rPr>
      <w:rFonts w:ascii="Times New Roman" w:hAnsi="Times New Roman" w:eastAsia="仿宋_GB2312"/>
      <w:kern w:val="0"/>
      <w:sz w:val="24"/>
      <w:lang w:bidi="ar-SA"/>
    </w:rPr>
  </w:style>
  <w:style w:type="paragraph" w:customStyle="1" w:styleId="59">
    <w:name w:val="列表段落1"/>
    <w:basedOn w:val="1"/>
    <w:autoRedefine/>
    <w:qFormat/>
    <w:uiPriority w:val="0"/>
    <w:pPr>
      <w:ind w:firstLine="420" w:firstLineChars="200"/>
    </w:pPr>
    <w:rPr>
      <w:rFonts w:ascii="Calibri" w:hAnsi="Calibri" w:eastAsia="宋体" w:cs="Times New Roman"/>
    </w:rPr>
  </w:style>
  <w:style w:type="paragraph" w:customStyle="1" w:styleId="60">
    <w:name w:val="报告表正文"/>
    <w:basedOn w:val="1"/>
    <w:autoRedefine/>
    <w:qFormat/>
    <w:uiPriority w:val="0"/>
    <w:pPr>
      <w:ind w:firstLine="640" w:firstLineChars="200"/>
    </w:pPr>
  </w:style>
  <w:style w:type="character" w:customStyle="1" w:styleId="61">
    <w:name w:val="fontstyle01"/>
    <w:basedOn w:val="26"/>
    <w:autoRedefine/>
    <w:qFormat/>
    <w:uiPriority w:val="0"/>
    <w:rPr>
      <w:rFonts w:hint="eastAsia" w:ascii="宋体" w:hAnsi="宋体" w:eastAsia="宋体" w:cs="宋体"/>
      <w:color w:val="000000"/>
      <w:sz w:val="22"/>
      <w:szCs w:val="22"/>
    </w:rPr>
  </w:style>
  <w:style w:type="character" w:customStyle="1" w:styleId="62">
    <w:name w:val="44444 Char"/>
    <w:link w:val="63"/>
    <w:autoRedefine/>
    <w:qFormat/>
    <w:locked/>
    <w:uiPriority w:val="0"/>
    <w:rPr>
      <w:rFonts w:ascii="仿宋_GB2312" w:eastAsia="仿宋_GB2312"/>
      <w:kern w:val="0"/>
      <w:sz w:val="28"/>
      <w:szCs w:val="20"/>
    </w:rPr>
  </w:style>
  <w:style w:type="paragraph" w:customStyle="1" w:styleId="63">
    <w:name w:val="44444"/>
    <w:basedOn w:val="1"/>
    <w:link w:val="62"/>
    <w:autoRedefine/>
    <w:qFormat/>
    <w:uiPriority w:val="0"/>
    <w:pPr>
      <w:spacing w:line="360" w:lineRule="auto"/>
      <w:ind w:firstLine="480" w:firstLineChars="200"/>
    </w:pPr>
    <w:rPr>
      <w:rFonts w:ascii="仿宋_GB2312" w:eastAsia="仿宋_GB2312"/>
      <w:kern w:val="0"/>
      <w:sz w:val="28"/>
      <w:szCs w:val="20"/>
    </w:rPr>
  </w:style>
  <w:style w:type="paragraph" w:customStyle="1" w:styleId="64">
    <w:name w:val="正文（首行缩进） Char"/>
    <w:basedOn w:val="1"/>
    <w:autoRedefine/>
    <w:qFormat/>
    <w:uiPriority w:val="0"/>
    <w:pPr>
      <w:widowControl/>
      <w:overflowPunct w:val="0"/>
      <w:topLinePunct/>
      <w:autoSpaceDE w:val="0"/>
      <w:autoSpaceDN w:val="0"/>
      <w:adjustRightInd w:val="0"/>
      <w:snapToGrid w:val="0"/>
      <w:spacing w:line="360" w:lineRule="auto"/>
      <w:ind w:firstLine="480" w:firstLineChars="200"/>
      <w:textAlignment w:val="baseline"/>
    </w:pPr>
    <w:rPr>
      <w:rFonts w:eastAsia="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footer" Target="footer2.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emf"/><Relationship Id="rId32" Type="http://schemas.openxmlformats.org/officeDocument/2006/relationships/oleObject" Target="embeddings/oleObject12.bin"/><Relationship Id="rId31" Type="http://schemas.openxmlformats.org/officeDocument/2006/relationships/image" Target="media/image14.png"/><Relationship Id="rId30" Type="http://schemas.openxmlformats.org/officeDocument/2006/relationships/image" Target="media/image13.emf"/><Relationship Id="rId3" Type="http://schemas.openxmlformats.org/officeDocument/2006/relationships/header" Target="header1.xml"/><Relationship Id="rId29" Type="http://schemas.openxmlformats.org/officeDocument/2006/relationships/oleObject" Target="embeddings/oleObject11.bin"/><Relationship Id="rId28" Type="http://schemas.openxmlformats.org/officeDocument/2006/relationships/image" Target="media/image12.emf"/><Relationship Id="rId27" Type="http://schemas.openxmlformats.org/officeDocument/2006/relationships/oleObject" Target="embeddings/oleObject10.bin"/><Relationship Id="rId26" Type="http://schemas.openxmlformats.org/officeDocument/2006/relationships/image" Target="media/image11.png"/><Relationship Id="rId25" Type="http://schemas.openxmlformats.org/officeDocument/2006/relationships/image" Target="media/image10.emf"/><Relationship Id="rId24" Type="http://schemas.openxmlformats.org/officeDocument/2006/relationships/oleObject" Target="embeddings/oleObject9.bin"/><Relationship Id="rId23" Type="http://schemas.openxmlformats.org/officeDocument/2006/relationships/image" Target="media/image9.png"/><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68288</Words>
  <Characters>80089</Characters>
  <Lines>0</Lines>
  <Paragraphs>0</Paragraphs>
  <TotalTime>2</TotalTime>
  <ScaleCrop>false</ScaleCrop>
  <LinksUpToDate>false</LinksUpToDate>
  <CharactersWithSpaces>80490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2021-01-04T06:22:00Z</dcterms:created>
  <dc:creator>秋风落叶</dc:creator>
  <cp:lastModifiedBy>秋风落叶</cp:lastModifiedBy>
  <dcterms:modified xsi:type="dcterms:W3CDTF">2024-03-06T03:20:22Z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D033889EE65C454B8387401BC46D5A4B</vt:lpwstr>
  </property>
  <property fmtid="{D5CDD505-2E9C-101B-9397-08002B2CF9AE}" pid="4" name="commondata">
    <vt:lpwstr>eyJoZGlkIjoiNzZiYzlmN2FiNGI3MTI3ZjNjNTYzODk5NWE0M2VhNTgifQ==</vt:lpwstr>
  </property>
</Properties>
</file>