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1" w:afterAutospacing="1"/>
        <w:jc w:val="center"/>
        <w:outlineLvl w:val="0"/>
        <w:rPr>
          <w:rFonts w:ascii="宋体" w:hAnsi="宋体" w:cs="宋体"/>
          <w:b/>
          <w:bCs/>
          <w:kern w:val="0"/>
          <w:sz w:val="60"/>
          <w:szCs w:val="60"/>
          <w:lang w:bidi="ar"/>
        </w:rPr>
      </w:pPr>
    </w:p>
    <w:p>
      <w:pPr>
        <w:spacing w:beforeAutospacing="1" w:afterAutospacing="1"/>
        <w:jc w:val="center"/>
        <w:outlineLvl w:val="0"/>
        <w:rPr>
          <w:rFonts w:ascii="宋体" w:hAnsi="宋体" w:cs="宋体"/>
          <w:b/>
          <w:bCs/>
          <w:kern w:val="0"/>
          <w:sz w:val="60"/>
          <w:szCs w:val="60"/>
          <w:lang w:bidi="ar"/>
        </w:rPr>
      </w:pPr>
    </w:p>
    <w:p>
      <w:pPr>
        <w:spacing w:beforeAutospacing="1" w:afterAutospacing="1"/>
        <w:jc w:val="center"/>
        <w:outlineLvl w:val="0"/>
        <w:rPr>
          <w:rFonts w:ascii="宋体" w:hAnsi="宋体" w:cs="宋体"/>
          <w:b/>
          <w:bCs/>
          <w:kern w:val="0"/>
          <w:sz w:val="60"/>
          <w:szCs w:val="60"/>
          <w:lang w:bidi="ar"/>
        </w:rPr>
      </w:pPr>
      <w:r>
        <w:rPr>
          <w:rFonts w:hint="eastAsia" w:ascii="宋体" w:hAnsi="宋体" w:cs="宋体"/>
          <w:b/>
          <w:bCs/>
          <w:kern w:val="0"/>
          <w:sz w:val="60"/>
          <w:szCs w:val="60"/>
          <w:lang w:bidi="ar"/>
        </w:rPr>
        <w:t>萧县淮水北调工程调度运用办法</w:t>
      </w:r>
    </w:p>
    <w:p>
      <w:pPr>
        <w:spacing w:beforeAutospacing="1" w:afterAutospacing="1"/>
        <w:jc w:val="center"/>
        <w:outlineLvl w:val="0"/>
        <w:rPr>
          <w:rFonts w:ascii="宋体" w:hAnsi="宋体" w:cs="宋体"/>
          <w:b/>
          <w:bCs/>
          <w:kern w:val="0"/>
          <w:sz w:val="60"/>
          <w:szCs w:val="60"/>
          <w:lang w:bidi="ar"/>
        </w:rPr>
      </w:pPr>
      <w:r>
        <w:rPr>
          <w:rFonts w:hint="eastAsia" w:ascii="宋体" w:hAnsi="宋体" w:cs="宋体"/>
          <w:b/>
          <w:bCs/>
          <w:kern w:val="0"/>
          <w:sz w:val="60"/>
          <w:szCs w:val="60"/>
          <w:lang w:bidi="ar"/>
        </w:rPr>
        <w:t>（试行）</w:t>
      </w:r>
    </w:p>
    <w:p>
      <w:pPr>
        <w:rPr>
          <w:rFonts w:cs="宋体"/>
          <w:b/>
          <w:bCs/>
          <w:kern w:val="0"/>
          <w:sz w:val="66"/>
          <w:szCs w:val="66"/>
          <w:lang w:bidi="ar"/>
        </w:rPr>
      </w:pPr>
    </w:p>
    <w:p>
      <w:pPr>
        <w:rPr>
          <w:rFonts w:cs="宋体"/>
          <w:b/>
          <w:bCs/>
          <w:kern w:val="0"/>
          <w:sz w:val="66"/>
          <w:szCs w:val="66"/>
          <w:lang w:bidi="ar"/>
        </w:rPr>
      </w:pPr>
    </w:p>
    <w:p>
      <w:pPr>
        <w:rPr>
          <w:rFonts w:cs="宋体"/>
          <w:b/>
          <w:bCs/>
          <w:kern w:val="0"/>
          <w:sz w:val="66"/>
          <w:szCs w:val="66"/>
          <w:lang w:bidi="ar"/>
        </w:rPr>
      </w:pPr>
    </w:p>
    <w:p>
      <w:pPr>
        <w:rPr>
          <w:rFonts w:cs="宋体"/>
          <w:b/>
          <w:bCs/>
          <w:kern w:val="0"/>
          <w:sz w:val="66"/>
          <w:szCs w:val="66"/>
          <w:lang w:bidi="ar"/>
        </w:rPr>
      </w:pPr>
    </w:p>
    <w:p>
      <w:pPr>
        <w:rPr>
          <w:rFonts w:cs="宋体"/>
          <w:b/>
          <w:bCs/>
          <w:kern w:val="0"/>
          <w:sz w:val="66"/>
          <w:szCs w:val="66"/>
          <w:lang w:bidi="ar"/>
        </w:rPr>
      </w:pPr>
    </w:p>
    <w:p>
      <w:pPr>
        <w:spacing w:beforeAutospacing="1" w:afterAutospacing="1"/>
        <w:jc w:val="left"/>
        <w:outlineLvl w:val="0"/>
        <w:rPr>
          <w:rFonts w:ascii="宋体" w:hAnsi="宋体" w:cs="宋体"/>
          <w:b/>
          <w:bCs/>
          <w:kern w:val="0"/>
          <w:sz w:val="52"/>
          <w:szCs w:val="52"/>
          <w:lang w:bidi="ar"/>
        </w:rPr>
      </w:pPr>
    </w:p>
    <w:p>
      <w:pPr>
        <w:spacing w:beforeAutospacing="1" w:afterAutospacing="1"/>
        <w:jc w:val="left"/>
        <w:outlineLvl w:val="0"/>
        <w:rPr>
          <w:rFonts w:ascii="宋体" w:hAnsi="宋体" w:cs="宋体"/>
          <w:b/>
          <w:bCs/>
          <w:kern w:val="0"/>
          <w:sz w:val="52"/>
          <w:szCs w:val="52"/>
          <w:lang w:bidi="ar"/>
        </w:rPr>
      </w:pPr>
    </w:p>
    <w:p>
      <w:pPr>
        <w:spacing w:beforeAutospacing="1" w:afterAutospacing="1"/>
        <w:jc w:val="center"/>
        <w:outlineLvl w:val="0"/>
        <w:rPr>
          <w:rFonts w:ascii="宋体" w:hAnsi="宋体" w:cs="宋体"/>
          <w:kern w:val="0"/>
          <w:sz w:val="44"/>
          <w:szCs w:val="44"/>
          <w:lang w:bidi="ar"/>
        </w:rPr>
      </w:pPr>
      <w:r>
        <w:rPr>
          <w:rFonts w:hint="eastAsia" w:ascii="宋体" w:hAnsi="宋体" w:cs="宋体"/>
          <w:kern w:val="0"/>
          <w:sz w:val="44"/>
          <w:szCs w:val="44"/>
          <w:lang w:bidi="ar"/>
        </w:rPr>
        <w:t>萧县淮水北调工程管理中心</w:t>
      </w:r>
    </w:p>
    <w:p>
      <w:pPr>
        <w:jc w:val="center"/>
        <w:rPr>
          <w:rFonts w:ascii="宋体" w:hAnsi="宋体" w:cs="宋体"/>
          <w:kern w:val="0"/>
          <w:sz w:val="44"/>
          <w:szCs w:val="44"/>
          <w:lang w:bidi="ar"/>
        </w:rPr>
      </w:pPr>
      <w:r>
        <w:rPr>
          <w:rFonts w:hint="eastAsia" w:ascii="宋体" w:hAnsi="宋体" w:cs="宋体"/>
          <w:kern w:val="0"/>
          <w:sz w:val="44"/>
          <w:szCs w:val="44"/>
          <w:lang w:bidi="ar"/>
        </w:rPr>
        <w:t>二零二</w:t>
      </w:r>
      <w:r>
        <w:rPr>
          <w:rFonts w:hint="eastAsia" w:ascii="宋体" w:hAnsi="宋体" w:cs="宋体"/>
          <w:kern w:val="0"/>
          <w:sz w:val="44"/>
          <w:szCs w:val="44"/>
          <w:lang w:eastAsia="zh-CN" w:bidi="ar"/>
        </w:rPr>
        <w:t>四</w:t>
      </w:r>
      <w:r>
        <w:rPr>
          <w:rFonts w:hint="eastAsia" w:ascii="宋体" w:hAnsi="宋体" w:cs="宋体"/>
          <w:kern w:val="0"/>
          <w:sz w:val="44"/>
          <w:szCs w:val="44"/>
          <w:lang w:bidi="ar"/>
        </w:rPr>
        <w:t>年</w:t>
      </w:r>
      <w:r>
        <w:rPr>
          <w:rFonts w:hint="eastAsia" w:ascii="宋体" w:hAnsi="宋体" w:cs="宋体"/>
          <w:kern w:val="0"/>
          <w:sz w:val="44"/>
          <w:szCs w:val="44"/>
          <w:lang w:eastAsia="zh-CN" w:bidi="ar"/>
        </w:rPr>
        <w:t>三</w:t>
      </w:r>
      <w:r>
        <w:rPr>
          <w:rFonts w:hint="eastAsia" w:ascii="宋体" w:hAnsi="宋体" w:cs="宋体"/>
          <w:kern w:val="0"/>
          <w:sz w:val="44"/>
          <w:szCs w:val="44"/>
          <w:lang w:bidi="ar"/>
        </w:rPr>
        <w:t>月</w:t>
      </w:r>
    </w:p>
    <w:p>
      <w:pPr>
        <w:rPr>
          <w:rFonts w:ascii="宋体" w:hAnsi="宋体" w:eastAsia="宋体" w:cs="Times New Roman"/>
          <w:szCs w:val="24"/>
          <w:lang w:bidi="ar"/>
        </w:rPr>
        <w:sectPr>
          <w:pgSz w:w="11906" w:h="16838"/>
          <w:pgMar w:top="1134" w:right="1134" w:bottom="1134" w:left="1134" w:header="851" w:footer="992" w:gutter="567"/>
          <w:cols w:space="425" w:num="1"/>
          <w:docGrid w:type="lines" w:linePitch="312" w:charSpace="0"/>
        </w:sectPr>
      </w:pPr>
      <w:r>
        <w:rPr>
          <w:rFonts w:ascii="Calibri" w:hAnsi="Calibri" w:eastAsia="宋体" w:cs="Times New Roman"/>
          <w:szCs w:val="24"/>
          <w:lang w:bidi="ar"/>
        </w:rPr>
        <w:br w:type="page"/>
      </w:r>
    </w:p>
    <w:p>
      <w:pPr>
        <w:spacing w:before="100" w:beforeAutospacing="1" w:after="100" w:afterAutospacing="1"/>
        <w:jc w:val="center"/>
        <w:outlineLvl w:val="0"/>
        <w:rPr>
          <w:rFonts w:ascii="宋体" w:hAnsi="宋体" w:cs="宋体"/>
          <w:b/>
          <w:bCs/>
          <w:kern w:val="0"/>
          <w:sz w:val="40"/>
          <w:szCs w:val="60"/>
          <w:lang w:bidi="ar"/>
        </w:rPr>
      </w:pPr>
      <w:r>
        <w:rPr>
          <w:rFonts w:hint="eastAsia" w:ascii="宋体" w:hAnsi="宋体" w:cs="宋体"/>
          <w:b/>
          <w:bCs/>
          <w:kern w:val="0"/>
          <w:sz w:val="40"/>
          <w:szCs w:val="60"/>
          <w:lang w:bidi="ar"/>
        </w:rPr>
        <w:t>萧县淮水北调工程调度运用办法</w:t>
      </w:r>
    </w:p>
    <w:p>
      <w:pPr>
        <w:spacing w:before="100" w:beforeAutospacing="1" w:after="100" w:afterAutospacing="1"/>
        <w:jc w:val="center"/>
        <w:outlineLvl w:val="0"/>
        <w:rPr>
          <w:rFonts w:ascii="宋体" w:hAnsi="宋体" w:cs="宋体"/>
          <w:b/>
          <w:bCs/>
          <w:kern w:val="0"/>
          <w:sz w:val="40"/>
          <w:szCs w:val="60"/>
          <w:lang w:bidi="ar"/>
        </w:rPr>
      </w:pP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萧县淮水北调工程是保障萧县工业用水为主</w:t>
      </w:r>
      <w:r>
        <w:rPr>
          <w:rFonts w:hint="eastAsia" w:ascii="仿宋_GB2312" w:eastAsia="仿宋_GB2312" w:hAnsiTheme="minorEastAsia"/>
          <w:sz w:val="32"/>
          <w:lang w:eastAsia="zh-CN"/>
        </w:rPr>
        <w:t>、</w:t>
      </w:r>
      <w:r>
        <w:rPr>
          <w:rFonts w:hint="eastAsia" w:ascii="仿宋_GB2312" w:eastAsia="仿宋_GB2312" w:hAnsiTheme="minorEastAsia"/>
          <w:sz w:val="32"/>
        </w:rPr>
        <w:t>农业灌溉和生态用水的跨区域骨干调水工程。为做好淮水北调工程调度运用工作，充分发挥工程效益，根据2015年省政府专题会议纪要129号、《安徽省淮水北调工程水量调度方案(试行)》(皖水节函[2019]652号)、《宿州市淮水北调工程调度管理办法（暂行）》等，特制定本办法。</w:t>
      </w:r>
    </w:p>
    <w:p>
      <w:pPr>
        <w:rPr>
          <w:rFonts w:ascii="仿宋_GB2312" w:eastAsia="仿宋_GB2312" w:hAnsiTheme="minorEastAsia"/>
          <w:b/>
          <w:sz w:val="32"/>
        </w:rPr>
      </w:pPr>
      <w:r>
        <w:rPr>
          <w:rFonts w:hint="eastAsia" w:ascii="仿宋_GB2312" w:eastAsia="仿宋_GB2312" w:hAnsiTheme="minorEastAsia"/>
          <w:b/>
          <w:sz w:val="32"/>
        </w:rPr>
        <w:t>一、工程概况</w:t>
      </w:r>
    </w:p>
    <w:p>
      <w:pPr>
        <w:pStyle w:val="7"/>
        <w:widowControl/>
        <w:spacing w:before="0" w:beforeAutospacing="0" w:after="0" w:afterAutospacing="0" w:line="420" w:lineRule="atLeast"/>
        <w:ind w:firstLine="640" w:firstLineChars="200"/>
        <w:jc w:val="both"/>
        <w:rPr>
          <w:rFonts w:ascii="仿宋_GB2312" w:eastAsia="仿宋_GB2312" w:hAnsiTheme="minorEastAsia" w:cstheme="minorBidi"/>
          <w:kern w:val="2"/>
          <w:sz w:val="32"/>
          <w:szCs w:val="22"/>
        </w:rPr>
      </w:pPr>
      <w:r>
        <w:rPr>
          <w:rFonts w:hint="eastAsia" w:ascii="仿宋_GB2312" w:eastAsia="仿宋_GB2312" w:hAnsiTheme="minorEastAsia" w:cstheme="minorBidi"/>
          <w:kern w:val="2"/>
          <w:sz w:val="32"/>
          <w:szCs w:val="22"/>
        </w:rPr>
        <w:t>安徽省淮水北调工程萧县段包括：岱山口站、贾窝站2座泵站、岱山口闸、曲仙河闸，瓦子口闸，共2座泵站</w:t>
      </w:r>
      <w:r>
        <w:rPr>
          <w:rFonts w:hint="eastAsia" w:ascii="仿宋_GB2312" w:eastAsia="仿宋_GB2312" w:hAnsiTheme="minorEastAsia" w:cstheme="minorBidi"/>
          <w:kern w:val="2"/>
          <w:sz w:val="32"/>
          <w:szCs w:val="22"/>
          <w:lang w:eastAsia="zh-CN"/>
        </w:rPr>
        <w:t>、</w:t>
      </w:r>
      <w:r>
        <w:rPr>
          <w:rFonts w:hint="eastAsia" w:ascii="仿宋_GB2312" w:eastAsia="仿宋_GB2312" w:hAnsiTheme="minorEastAsia" w:cstheme="minorBidi"/>
          <w:kern w:val="2"/>
          <w:sz w:val="32"/>
          <w:szCs w:val="22"/>
        </w:rPr>
        <w:t>3座节制闸。</w:t>
      </w:r>
    </w:p>
    <w:p>
      <w:pPr>
        <w:pStyle w:val="7"/>
        <w:widowControl/>
        <w:spacing w:before="0" w:beforeAutospacing="0" w:after="0" w:afterAutospacing="0" w:line="420" w:lineRule="atLeast"/>
        <w:ind w:firstLine="640" w:firstLineChars="200"/>
        <w:jc w:val="both"/>
        <w:rPr>
          <w:rFonts w:hint="eastAsia" w:ascii="仿宋_GB2312" w:eastAsia="仿宋_GB2312" w:hAnsiTheme="minorEastAsia" w:cstheme="minorBidi"/>
          <w:kern w:val="2"/>
          <w:sz w:val="32"/>
          <w:szCs w:val="22"/>
        </w:rPr>
      </w:pPr>
      <w:r>
        <w:rPr>
          <w:rFonts w:hint="eastAsia" w:ascii="仿宋_GB2312" w:eastAsia="仿宋_GB2312" w:hAnsiTheme="minorEastAsia" w:cstheme="minorBidi"/>
          <w:kern w:val="2"/>
          <w:sz w:val="32"/>
          <w:szCs w:val="22"/>
        </w:rPr>
        <w:t>岱山口站位于</w:t>
      </w:r>
      <w:r>
        <w:rPr>
          <w:rFonts w:hint="eastAsia" w:ascii="仿宋_GB2312" w:eastAsia="仿宋_GB2312" w:hAnsiTheme="minorEastAsia" w:cstheme="minorBidi"/>
          <w:kern w:val="2"/>
          <w:sz w:val="32"/>
          <w:szCs w:val="22"/>
          <w:lang w:eastAsia="zh-CN"/>
        </w:rPr>
        <w:t>凤城街道</w:t>
      </w:r>
      <w:r>
        <w:rPr>
          <w:rFonts w:hint="eastAsia" w:ascii="仿宋_GB2312" w:eastAsia="仿宋_GB2312" w:hAnsiTheme="minorEastAsia" w:cstheme="minorBidi"/>
          <w:kern w:val="2"/>
          <w:sz w:val="32"/>
          <w:szCs w:val="22"/>
        </w:rPr>
        <w:t>画乡路与岱湖大道交叉口西侧，东经116°54'23"，北纬34°12'12"，为淮水北调工程输水沿线上的八级翻水站，设计引水流量为2 m</w:t>
      </w:r>
      <w:r>
        <w:rPr>
          <w:rFonts w:hint="eastAsia" w:ascii="仿宋_GB2312" w:eastAsia="仿宋_GB2312" w:hAnsiTheme="minorEastAsia" w:cstheme="minorBidi"/>
          <w:kern w:val="2"/>
          <w:sz w:val="32"/>
          <w:szCs w:val="22"/>
          <w:vertAlign w:val="superscript"/>
        </w:rPr>
        <w:t>3</w:t>
      </w:r>
      <w:r>
        <w:rPr>
          <w:rFonts w:hint="eastAsia" w:ascii="仿宋_GB2312" w:eastAsia="仿宋_GB2312" w:hAnsiTheme="minorEastAsia" w:cstheme="minorBidi"/>
          <w:kern w:val="2"/>
          <w:sz w:val="32"/>
          <w:szCs w:val="22"/>
        </w:rPr>
        <w:t>/s，装机容量150kW。</w:t>
      </w:r>
    </w:p>
    <w:p>
      <w:pPr>
        <w:pStyle w:val="7"/>
        <w:widowControl/>
        <w:spacing w:before="0" w:beforeAutospacing="0" w:after="0" w:afterAutospacing="0" w:line="420" w:lineRule="atLeast"/>
        <w:ind w:firstLine="640" w:firstLineChars="200"/>
        <w:jc w:val="both"/>
        <w:rPr>
          <w:rFonts w:hint="eastAsia" w:ascii="仿宋_GB2312" w:eastAsia="仿宋_GB2312" w:hAnsiTheme="minorEastAsia" w:cstheme="minorBidi"/>
          <w:kern w:val="2"/>
          <w:sz w:val="32"/>
          <w:szCs w:val="22"/>
        </w:rPr>
      </w:pPr>
      <w:r>
        <w:rPr>
          <w:rFonts w:hint="eastAsia" w:ascii="仿宋_GB2312" w:eastAsia="仿宋_GB2312" w:hAnsiTheme="minorEastAsia" w:cstheme="minorBidi"/>
          <w:kern w:val="2"/>
          <w:sz w:val="32"/>
          <w:szCs w:val="22"/>
        </w:rPr>
        <w:t>贾窝站位于孙圩子镇贾窝村，东经116°47'22"，北纬34°2'48"，为淮水北调工程输水沿线上的七级翻水站，设计引水流量为3 m</w:t>
      </w:r>
      <w:r>
        <w:rPr>
          <w:rFonts w:hint="eastAsia" w:ascii="仿宋_GB2312" w:eastAsia="仿宋_GB2312" w:hAnsiTheme="minorEastAsia" w:cstheme="minorBidi"/>
          <w:kern w:val="2"/>
          <w:sz w:val="32"/>
          <w:szCs w:val="22"/>
          <w:vertAlign w:val="superscript"/>
        </w:rPr>
        <w:t>3</w:t>
      </w:r>
      <w:r>
        <w:rPr>
          <w:rFonts w:hint="eastAsia" w:ascii="仿宋_GB2312" w:eastAsia="仿宋_GB2312" w:hAnsiTheme="minorEastAsia" w:cstheme="minorBidi"/>
          <w:kern w:val="2"/>
          <w:sz w:val="32"/>
          <w:szCs w:val="22"/>
        </w:rPr>
        <w:t>/s，装机容量220kW。</w:t>
      </w:r>
    </w:p>
    <w:p>
      <w:pPr>
        <w:pStyle w:val="7"/>
        <w:widowControl/>
        <w:spacing w:before="0" w:beforeAutospacing="0" w:after="0" w:afterAutospacing="0" w:line="420" w:lineRule="atLeast"/>
        <w:ind w:firstLine="640" w:firstLineChars="200"/>
        <w:jc w:val="both"/>
        <w:rPr>
          <w:rFonts w:ascii="仿宋_GB2312" w:eastAsia="仿宋_GB2312" w:hAnsiTheme="minorEastAsia" w:cstheme="minorBidi"/>
          <w:kern w:val="2"/>
          <w:sz w:val="32"/>
          <w:szCs w:val="22"/>
        </w:rPr>
      </w:pPr>
      <w:r>
        <w:rPr>
          <w:rFonts w:hint="eastAsia" w:ascii="仿宋_GB2312" w:eastAsia="仿宋_GB2312" w:hAnsiTheme="minorEastAsia" w:cstheme="minorBidi"/>
          <w:kern w:val="2"/>
          <w:sz w:val="32"/>
          <w:szCs w:val="22"/>
        </w:rPr>
        <w:t>岱山口闸位于东经116°54'23"，北纬34°12'12"，老岱河上，为开敞式结构，规模为2孔×6m，闸底板高程为29.20m，设计防洪流量112.0</w:t>
      </w:r>
      <w:r>
        <w:rPr>
          <w:rFonts w:ascii="仿宋_GB2312" w:eastAsia="仿宋_GB2312" w:hAnsiTheme="minorEastAsia" w:cstheme="minorBidi"/>
          <w:kern w:val="2"/>
          <w:sz w:val="32"/>
          <w:szCs w:val="22"/>
        </w:rPr>
        <w:t>m³</w:t>
      </w:r>
      <w:r>
        <w:rPr>
          <w:rFonts w:hint="eastAsia" w:ascii="仿宋_GB2312" w:eastAsia="仿宋_GB2312" w:hAnsiTheme="minorEastAsia" w:cstheme="minorBidi"/>
          <w:kern w:val="2"/>
          <w:sz w:val="32"/>
          <w:szCs w:val="22"/>
        </w:rPr>
        <w:t>/s，相应闸上水位36.00m、闸下水位35.85m；设计除涝流量62.0m</w:t>
      </w:r>
      <w:r>
        <w:rPr>
          <w:rFonts w:ascii="仿宋_GB2312" w:eastAsia="仿宋_GB2312" w:hAnsiTheme="minorEastAsia" w:cstheme="minorBidi"/>
          <w:kern w:val="2"/>
          <w:sz w:val="32"/>
          <w:szCs w:val="22"/>
        </w:rPr>
        <w:t>³</w:t>
      </w:r>
      <w:r>
        <w:rPr>
          <w:rFonts w:hint="eastAsia" w:ascii="仿宋_GB2312" w:eastAsia="仿宋_GB2312" w:hAnsiTheme="minorEastAsia" w:cstheme="minorBidi"/>
          <w:kern w:val="2"/>
          <w:sz w:val="32"/>
          <w:szCs w:val="22"/>
        </w:rPr>
        <w:t>/s，相应闸上水位34.50m、闸下水位34.40m；正常蓄水位闸上3</w:t>
      </w:r>
      <w:r>
        <w:rPr>
          <w:rFonts w:hint="eastAsia" w:ascii="仿宋_GB2312" w:eastAsia="仿宋_GB2312" w:hAnsiTheme="minorEastAsia" w:cstheme="minorBidi"/>
          <w:kern w:val="2"/>
          <w:sz w:val="32"/>
          <w:szCs w:val="22"/>
          <w:lang w:val="en-US" w:eastAsia="zh-CN"/>
        </w:rPr>
        <w:t>3</w:t>
      </w:r>
      <w:r>
        <w:rPr>
          <w:rFonts w:hint="eastAsia" w:ascii="仿宋_GB2312" w:eastAsia="仿宋_GB2312" w:hAnsiTheme="minorEastAsia" w:cstheme="minorBidi"/>
          <w:kern w:val="2"/>
          <w:sz w:val="32"/>
          <w:szCs w:val="22"/>
        </w:rPr>
        <w:t>.50m、闸下31.00m。</w:t>
      </w:r>
    </w:p>
    <w:p>
      <w:pPr>
        <w:pStyle w:val="7"/>
        <w:widowControl/>
        <w:spacing w:before="0" w:beforeAutospacing="0" w:after="0" w:afterAutospacing="0" w:line="420" w:lineRule="atLeast"/>
        <w:ind w:firstLine="640" w:firstLineChars="200"/>
        <w:jc w:val="both"/>
        <w:rPr>
          <w:rFonts w:ascii="仿宋_GB2312" w:eastAsia="仿宋_GB2312" w:hAnsiTheme="minorEastAsia" w:cstheme="minorBidi"/>
          <w:kern w:val="2"/>
          <w:sz w:val="32"/>
          <w:szCs w:val="22"/>
        </w:rPr>
      </w:pPr>
      <w:r>
        <w:rPr>
          <w:rFonts w:hint="eastAsia" w:ascii="仿宋_GB2312" w:eastAsia="仿宋_GB2312" w:hAnsiTheme="minorEastAsia" w:cstheme="minorBidi"/>
          <w:kern w:val="2"/>
          <w:sz w:val="32"/>
          <w:szCs w:val="22"/>
        </w:rPr>
        <w:t>曲仙河闸位于杜楼镇彭村，东经116°52'42"，北纬34°11'8"，岱河上段支流曲仙河上，为开敞</w:t>
      </w:r>
      <w:r>
        <w:rPr>
          <w:rFonts w:hint="eastAsia" w:ascii="仿宋_GB2312" w:eastAsia="仿宋_GB2312" w:hAnsiTheme="minorEastAsia" w:cstheme="minorBidi"/>
          <w:kern w:val="2"/>
          <w:sz w:val="32"/>
          <w:szCs w:val="22"/>
          <w:lang w:eastAsia="zh-CN"/>
        </w:rPr>
        <w:t>式</w:t>
      </w:r>
      <w:r>
        <w:rPr>
          <w:rFonts w:hint="eastAsia" w:ascii="仿宋_GB2312" w:eastAsia="仿宋_GB2312" w:hAnsiTheme="minorEastAsia" w:cstheme="minorBidi"/>
          <w:kern w:val="2"/>
          <w:sz w:val="32"/>
          <w:szCs w:val="22"/>
        </w:rPr>
        <w:t>结构，规模为2孔×4m，闸底板高程为31.20m，设计防洪水位35.70m，闸上(曲仙河侧)水位35.70m、闸下(岱河侧)水位35.20m；设计除涝流量45.0 m</w:t>
      </w:r>
      <w:r>
        <w:rPr>
          <w:rFonts w:hint="eastAsia" w:ascii="宋体" w:hAnsi="宋体" w:cs="宋体"/>
          <w:kern w:val="2"/>
          <w:sz w:val="32"/>
          <w:szCs w:val="22"/>
        </w:rPr>
        <w:t>³</w:t>
      </w:r>
      <w:r>
        <w:rPr>
          <w:rFonts w:hint="eastAsia" w:ascii="仿宋_GB2312" w:eastAsia="仿宋_GB2312" w:hAnsiTheme="minorEastAsia" w:cstheme="minorBidi"/>
          <w:kern w:val="2"/>
          <w:sz w:val="32"/>
          <w:szCs w:val="22"/>
        </w:rPr>
        <w:t>/s，相应闸上水位35.20m、闸下水位35.00m；正常蓄水位闸上32.50m、闸下31.20m。</w:t>
      </w:r>
    </w:p>
    <w:p>
      <w:pPr>
        <w:pStyle w:val="7"/>
        <w:widowControl/>
        <w:spacing w:before="0" w:beforeAutospacing="0" w:after="0" w:afterAutospacing="0" w:line="420" w:lineRule="atLeast"/>
        <w:ind w:firstLine="640" w:firstLineChars="200"/>
        <w:jc w:val="both"/>
        <w:rPr>
          <w:rFonts w:ascii="仿宋_GB2312" w:eastAsia="仿宋_GB2312" w:hAnsiTheme="minorEastAsia" w:cstheme="minorBidi"/>
          <w:kern w:val="2"/>
          <w:sz w:val="32"/>
          <w:szCs w:val="22"/>
        </w:rPr>
      </w:pPr>
      <w:r>
        <w:rPr>
          <w:rFonts w:hint="eastAsia" w:ascii="仿宋_GB2312" w:eastAsia="仿宋_GB2312" w:hAnsiTheme="minorEastAsia" w:cstheme="minorBidi"/>
          <w:kern w:val="2"/>
          <w:sz w:val="32"/>
          <w:szCs w:val="22"/>
        </w:rPr>
        <w:t>瓦子口闸位于丁里镇瓦子口村，东经116°48'50.1"，北纬34°5'13.7"，萧县运粮河上，为开敞式结构，规模为3孔×4m，闸底板高程为29.50m，设计防洪流量86m</w:t>
      </w:r>
      <w:r>
        <w:rPr>
          <w:rFonts w:hint="eastAsia" w:ascii="宋体" w:hAnsi="宋体" w:cs="宋体"/>
          <w:kern w:val="2"/>
          <w:sz w:val="32"/>
          <w:szCs w:val="22"/>
        </w:rPr>
        <w:t>³</w:t>
      </w:r>
      <w:r>
        <w:rPr>
          <w:rFonts w:hint="eastAsia" w:ascii="仿宋_GB2312" w:eastAsia="仿宋_GB2312" w:hAnsiTheme="minorEastAsia" w:cstheme="minorBidi"/>
          <w:kern w:val="2"/>
          <w:sz w:val="32"/>
          <w:szCs w:val="22"/>
        </w:rPr>
        <w:t>/s，相应闸上(运粮河侧)水位35.70m、闸下(岱河侧)水位35.50m；设计除涝流量51m</w:t>
      </w:r>
      <w:r>
        <w:rPr>
          <w:rFonts w:hint="eastAsia" w:ascii="宋体" w:hAnsi="宋体" w:cs="宋体"/>
          <w:kern w:val="2"/>
          <w:sz w:val="32"/>
          <w:szCs w:val="22"/>
        </w:rPr>
        <w:t>³</w:t>
      </w:r>
      <w:r>
        <w:rPr>
          <w:rFonts w:hint="eastAsia" w:ascii="仿宋_GB2312" w:eastAsia="仿宋_GB2312" w:hAnsiTheme="minorEastAsia" w:cstheme="minorBidi"/>
          <w:kern w:val="2"/>
          <w:sz w:val="32"/>
          <w:szCs w:val="22"/>
        </w:rPr>
        <w:t>/s，相应闸上水位33.20m、闸下水位33.00m；正常蓄水位闸上32.80m、闸下29.50m。</w:t>
      </w:r>
    </w:p>
    <w:p>
      <w:pPr>
        <w:rPr>
          <w:rFonts w:ascii="仿宋_GB2312" w:eastAsia="仿宋_GB2312" w:hAnsiTheme="minorEastAsia"/>
          <w:b/>
          <w:sz w:val="32"/>
        </w:rPr>
      </w:pPr>
      <w:r>
        <w:rPr>
          <w:rFonts w:hint="eastAsia" w:ascii="仿宋_GB2312" w:eastAsia="仿宋_GB2312" w:hAnsiTheme="minorEastAsia"/>
          <w:b/>
          <w:sz w:val="32"/>
        </w:rPr>
        <w:t>二、调度权限</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淮水北调工程水量调度由省淮水北调管理中心会同宿州市相关单位具体负责实施，宿州市相关单位应执行省淮水北调管理中心的调度指令，负责所辖工程的具体调度。</w:t>
      </w:r>
    </w:p>
    <w:p>
      <w:pPr>
        <w:spacing w:line="360" w:lineRule="auto"/>
        <w:rPr>
          <w:rFonts w:ascii="仿宋_GB2312" w:eastAsia="仿宋_GB2312" w:hAnsiTheme="minorEastAsia"/>
          <w:b/>
          <w:sz w:val="32"/>
        </w:rPr>
      </w:pPr>
      <w:r>
        <w:rPr>
          <w:rFonts w:hint="eastAsia" w:ascii="仿宋_GB2312" w:eastAsia="仿宋_GB2312" w:hAnsiTheme="minorEastAsia"/>
          <w:b/>
          <w:sz w:val="32"/>
        </w:rPr>
        <w:t>三、调度管理原则</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1、适时运用，确保工程安全。树立安全第一的观点，密切掌握调水沿线雨水情，水位达到最低运行水位且低于最高运行水位的情况下，适时开机试运行，严防超压运行，确保站、闸运行安全。</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2、根据批准的宿州市淮水北调年度水量调度计划和分期调水计划，按照“统一调度、分级管理”的要求，按照安徽省淮水北调工程供水调度方案和省市淮水北调管理中心调度指令，开机调水。</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3、科学控制沿线河道水位，在确保安全前提下，充分发挥工程效益。</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4、局部服从整体，统一指挥、分级负责、部门协作、服从调度、各负其责。</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5、具体负责接收市中心调度指令，上报调度信息，监督辖区内工程运行管理单位执行调度指令等工作。</w:t>
      </w:r>
    </w:p>
    <w:p>
      <w:pPr>
        <w:rPr>
          <w:rFonts w:ascii="仿宋_GB2312" w:eastAsia="仿宋_GB2312" w:hAnsiTheme="minorEastAsia"/>
          <w:b/>
          <w:sz w:val="32"/>
        </w:rPr>
      </w:pPr>
      <w:r>
        <w:rPr>
          <w:rFonts w:hint="eastAsia" w:ascii="仿宋_GB2312" w:eastAsia="仿宋_GB2312" w:hAnsiTheme="minorEastAsia"/>
          <w:b/>
          <w:sz w:val="32"/>
        </w:rPr>
        <w:t>四、调水准备</w:t>
      </w:r>
    </w:p>
    <w:p>
      <w:pPr>
        <w:rPr>
          <w:rFonts w:ascii="仿宋_GB2312" w:eastAsia="仿宋_GB2312" w:hAnsiTheme="minorEastAsia"/>
          <w:sz w:val="32"/>
        </w:rPr>
      </w:pPr>
      <w:r>
        <w:rPr>
          <w:rFonts w:hint="eastAsia" w:ascii="仿宋_GB2312" w:eastAsia="仿宋_GB2312" w:hAnsiTheme="minorEastAsia"/>
          <w:sz w:val="32"/>
        </w:rPr>
        <w:t>1、调水预通知</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市淮水北调管理中心根据调水方案，提前3日向萧县淮水北调工程管理中心下达调水预通知。通知内容包括调水时间、调水准备工作内容及要求、调水期工作要求。</w:t>
      </w:r>
    </w:p>
    <w:p>
      <w:pPr>
        <w:rPr>
          <w:rFonts w:ascii="仿宋_GB2312" w:eastAsia="仿宋_GB2312" w:hAnsiTheme="minorEastAsia"/>
          <w:sz w:val="32"/>
        </w:rPr>
      </w:pPr>
      <w:r>
        <w:rPr>
          <w:rFonts w:hint="eastAsia" w:ascii="仿宋_GB2312" w:eastAsia="仿宋_GB2312" w:hAnsiTheme="minorEastAsia"/>
          <w:sz w:val="32"/>
        </w:rPr>
        <w:t>2、自检</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接到调水预通知后，萧县淮水北调工程管理单位应在2天内完成泵站、输水河道自检，协同相关单位关闭贾窝闸、瓦子口闸、曲仙河闸、岱山口闸4座节制闸及孙庄闸、周圩子闸、孙店子闸、郑腰庄闸、穆集闸5座沟口涵闸，按要求</w:t>
      </w:r>
      <w:r>
        <w:rPr>
          <w:rFonts w:hint="eastAsia" w:ascii="仿宋_GB2312" w:eastAsia="仿宋_GB2312" w:hAnsiTheme="minorEastAsia"/>
          <w:sz w:val="32"/>
          <w:lang w:eastAsia="zh-CN"/>
        </w:rPr>
        <w:t>做好</w:t>
      </w:r>
      <w:r>
        <w:rPr>
          <w:rFonts w:hint="eastAsia" w:ascii="仿宋_GB2312" w:eastAsia="仿宋_GB2312" w:hAnsiTheme="minorEastAsia"/>
          <w:sz w:val="32"/>
        </w:rPr>
        <w:t>贾窝站、岱山口站</w:t>
      </w:r>
      <w:r>
        <w:rPr>
          <w:rFonts w:hint="eastAsia" w:ascii="仿宋_GB2312" w:eastAsia="仿宋_GB2312" w:hAnsiTheme="minorEastAsia"/>
          <w:sz w:val="32"/>
          <w:lang w:eastAsia="zh-CN"/>
        </w:rPr>
        <w:t>的</w:t>
      </w:r>
      <w:r>
        <w:rPr>
          <w:rFonts w:hint="eastAsia" w:ascii="仿宋_GB2312" w:eastAsia="仿宋_GB2312" w:hAnsiTheme="minorEastAsia"/>
          <w:sz w:val="32"/>
        </w:rPr>
        <w:t>人员调配、电力供应、物资准备、后勤保障等准备工作，对发现的问题及时处置，并将准备情况反馈市淮水北调管理中心。</w:t>
      </w:r>
    </w:p>
    <w:p>
      <w:pPr>
        <w:rPr>
          <w:rFonts w:ascii="仿宋_GB2312" w:eastAsia="仿宋_GB2312" w:hAnsiTheme="minorEastAsia"/>
          <w:b/>
          <w:sz w:val="32"/>
        </w:rPr>
      </w:pPr>
      <w:r>
        <w:rPr>
          <w:rFonts w:hint="eastAsia" w:ascii="仿宋_GB2312" w:eastAsia="仿宋_GB2312" w:hAnsiTheme="minorEastAsia"/>
          <w:b/>
          <w:sz w:val="32"/>
        </w:rPr>
        <w:t>五、调水实施</w:t>
      </w:r>
    </w:p>
    <w:p>
      <w:pPr>
        <w:rPr>
          <w:rFonts w:ascii="仿宋_GB2312" w:eastAsia="仿宋_GB2312" w:hAnsiTheme="minorEastAsia"/>
          <w:sz w:val="32"/>
        </w:rPr>
      </w:pPr>
      <w:r>
        <w:rPr>
          <w:rFonts w:hint="eastAsia" w:ascii="仿宋_GB2312" w:eastAsia="仿宋_GB2312" w:hAnsiTheme="minorEastAsia"/>
          <w:sz w:val="32"/>
        </w:rPr>
        <w:t>1、调度程序</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省淮水北调管理中心负责调水期间淮水北调全线输水工程的统一调度。省淮水北调管理中心调度指令下达至市淮水北调管理中心，由市淮水北调管理中心按照省中心调度指令通知萧县淮水北调工程管理中心执行。</w:t>
      </w:r>
    </w:p>
    <w:p>
      <w:pPr>
        <w:jc w:val="left"/>
        <w:rPr>
          <w:rFonts w:ascii="仿宋_GB2312" w:eastAsia="仿宋_GB2312" w:hAnsiTheme="minorEastAsia"/>
          <w:sz w:val="32"/>
        </w:rPr>
      </w:pPr>
      <w:bookmarkStart w:id="0" w:name="_GoBack"/>
      <w:bookmarkEnd w:id="0"/>
      <w:r>
        <w:rPr>
          <w:rFonts w:hint="eastAsia" w:ascii="仿宋_GB2312" w:eastAsia="仿宋_GB2312" w:hAnsiTheme="minorEastAsia"/>
          <w:sz w:val="32"/>
        </w:rPr>
        <w:t>2、调度指令执行</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调度指令下达后，萧县淮水北调工程管理中心应按照指令确定时间，开启（关闭）闸、站。在指令执行完成后15分钟内，应将执行情况报市淮水北调管理中心，闸、站动态调整后15分钟内报告调整情况。调水期间，应严肃工作纪律，安排人员24h轮流值班，密切关注水情，按照要求实时上报泵站进、出水口水位，并认真搜集、记录相关数据。当日调水量情况于次日8时上报，特殊情况应及时加报。</w:t>
      </w:r>
    </w:p>
    <w:p>
      <w:pPr>
        <w:jc w:val="left"/>
        <w:rPr>
          <w:rFonts w:ascii="仿宋_GB2312" w:eastAsia="仿宋_GB2312" w:hAnsiTheme="minorEastAsia"/>
          <w:b/>
          <w:sz w:val="32"/>
        </w:rPr>
      </w:pPr>
      <w:r>
        <w:rPr>
          <w:rFonts w:hint="eastAsia" w:ascii="仿宋_GB2312" w:eastAsia="仿宋_GB2312" w:hAnsiTheme="minorEastAsia"/>
          <w:b/>
          <w:sz w:val="32"/>
        </w:rPr>
        <w:t>六、闸、站运用条件</w:t>
      </w:r>
    </w:p>
    <w:p>
      <w:pPr>
        <w:jc w:val="left"/>
        <w:rPr>
          <w:rFonts w:ascii="仿宋_GB2312" w:eastAsia="仿宋_GB2312" w:hAnsiTheme="minorEastAsia"/>
          <w:sz w:val="32"/>
        </w:rPr>
      </w:pPr>
      <w:r>
        <w:rPr>
          <w:rFonts w:hint="eastAsia" w:ascii="仿宋_GB2312" w:eastAsia="仿宋_GB2312" w:hAnsiTheme="minorEastAsia"/>
          <w:sz w:val="32"/>
        </w:rPr>
        <w:t>1、贾窝泵站</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贾窝站站前水位（进水口）达到30.00m及以上时，贾窝站开启第一台机组运行，并根据水位情况和上级指令开启第二台机组，站前水位低于30.00m或达到调水前水位时请示关机。</w:t>
      </w:r>
    </w:p>
    <w:p>
      <w:pPr>
        <w:jc w:val="left"/>
        <w:rPr>
          <w:rFonts w:ascii="仿宋_GB2312" w:eastAsia="仿宋_GB2312" w:hAnsiTheme="minorEastAsia"/>
          <w:sz w:val="32"/>
        </w:rPr>
      </w:pPr>
      <w:r>
        <w:rPr>
          <w:rFonts w:hint="eastAsia" w:ascii="仿宋_GB2312" w:eastAsia="仿宋_GB2312" w:hAnsiTheme="minorEastAsia"/>
          <w:sz w:val="32"/>
        </w:rPr>
        <w:t>2、岱山口站</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岱山口站站前水位（进水口）达到32.0m及以上时，岱山口站开启第一台机组运行，并根据水位情况和上级指令开启第二台机组，站前水位低于32.00m或达到调水前水位时请示关机。</w:t>
      </w:r>
    </w:p>
    <w:p>
      <w:pPr>
        <w:jc w:val="left"/>
        <w:rPr>
          <w:rFonts w:ascii="仿宋_GB2312" w:eastAsia="仿宋_GB2312" w:hAnsiTheme="minorEastAsia"/>
          <w:b/>
          <w:sz w:val="32"/>
        </w:rPr>
      </w:pPr>
      <w:r>
        <w:rPr>
          <w:rFonts w:hint="eastAsia" w:ascii="仿宋_GB2312" w:eastAsia="仿宋_GB2312" w:hAnsiTheme="minorEastAsia"/>
          <w:b/>
          <w:sz w:val="32"/>
        </w:rPr>
        <w:t>七、运行管理</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萧县淮水北调工程管理中心负责调水期间输水通道和闸站管理，建立日常巡视巡查制度，及时清除阻水障碍物，加强机电设备维修养护，保障其正常运行，保障调水工作顺利实施。</w:t>
      </w:r>
    </w:p>
    <w:p>
      <w:pPr>
        <w:spacing w:line="360" w:lineRule="auto"/>
        <w:rPr>
          <w:rFonts w:ascii="仿宋_GB2312" w:eastAsia="仿宋_GB2312" w:hAnsiTheme="minorEastAsia"/>
          <w:b/>
          <w:sz w:val="32"/>
        </w:rPr>
      </w:pPr>
      <w:r>
        <w:rPr>
          <w:rFonts w:hint="eastAsia" w:ascii="仿宋_GB2312" w:eastAsia="仿宋_GB2312" w:hAnsiTheme="minorEastAsia"/>
          <w:b/>
          <w:sz w:val="32"/>
        </w:rPr>
        <w:t>八、其他</w:t>
      </w:r>
    </w:p>
    <w:p>
      <w:pPr>
        <w:spacing w:line="360" w:lineRule="auto"/>
        <w:ind w:firstLine="640" w:firstLineChars="200"/>
        <w:rPr>
          <w:rFonts w:ascii="仿宋_GB2312" w:eastAsia="仿宋_GB2312" w:hAnsiTheme="minorEastAsia"/>
          <w:sz w:val="32"/>
        </w:rPr>
      </w:pPr>
      <w:r>
        <w:rPr>
          <w:rFonts w:hint="eastAsia" w:ascii="仿宋_GB2312" w:eastAsia="仿宋_GB2312" w:hAnsiTheme="minorEastAsia"/>
          <w:sz w:val="32"/>
        </w:rPr>
        <w:t>本办法自批准之日起施行。</w:t>
      </w:r>
    </w:p>
    <w:p>
      <w:pPr>
        <w:spacing w:line="360" w:lineRule="auto"/>
        <w:ind w:firstLine="640" w:firstLineChars="200"/>
        <w:rPr>
          <w:rFonts w:ascii="仿宋_GB2312" w:eastAsia="仿宋_GB2312" w:hAnsiTheme="minorEastAsia"/>
          <w:sz w:val="32"/>
        </w:rPr>
      </w:pPr>
    </w:p>
    <w:p>
      <w:pPr>
        <w:spacing w:line="360" w:lineRule="auto"/>
        <w:rPr>
          <w:rFonts w:ascii="仿宋_GB2312" w:eastAsia="仿宋_GB2312" w:hAnsiTheme="minorEastAsia"/>
          <w:sz w:val="32"/>
        </w:rPr>
      </w:pPr>
    </w:p>
    <w:p>
      <w:pPr>
        <w:spacing w:line="360" w:lineRule="auto"/>
        <w:rPr>
          <w:rFonts w:ascii="仿宋_GB2312" w:eastAsia="仿宋_GB2312" w:hAnsiTheme="minorEastAsia"/>
          <w:sz w:val="32"/>
        </w:rPr>
      </w:pPr>
    </w:p>
    <w:p>
      <w:pPr>
        <w:spacing w:line="360" w:lineRule="auto"/>
        <w:rPr>
          <w:rFonts w:ascii="仿宋_GB2312" w:eastAsia="仿宋_GB2312" w:hAnsiTheme="minorEastAsia"/>
          <w:sz w:val="32"/>
        </w:rPr>
      </w:pPr>
    </w:p>
    <w:p>
      <w:pPr>
        <w:spacing w:line="360" w:lineRule="auto"/>
        <w:rPr>
          <w:rFonts w:ascii="仿宋_GB2312" w:eastAsia="仿宋_GB2312" w:hAnsiTheme="minorEastAsia"/>
          <w:sz w:val="32"/>
        </w:rPr>
      </w:pPr>
    </w:p>
    <w:p>
      <w:pPr>
        <w:spacing w:line="360" w:lineRule="auto"/>
        <w:rPr>
          <w:rFonts w:ascii="仿宋_GB2312" w:eastAsia="仿宋_GB2312" w:hAnsiTheme="minorEastAsia"/>
          <w:sz w:val="32"/>
        </w:rPr>
      </w:pPr>
    </w:p>
    <w:p>
      <w:pPr>
        <w:spacing w:line="360" w:lineRule="auto"/>
        <w:rPr>
          <w:rFonts w:ascii="仿宋_GB2312" w:eastAsia="仿宋_GB2312" w:hAnsiTheme="minorEastAsia"/>
          <w:sz w:val="32"/>
        </w:rPr>
      </w:pPr>
    </w:p>
    <w:p>
      <w:pPr>
        <w:spacing w:line="360" w:lineRule="auto"/>
        <w:rPr>
          <w:rFonts w:ascii="仿宋_GB2312" w:eastAsia="仿宋_GB2312" w:hAnsiTheme="minorEastAsia"/>
          <w:sz w:val="32"/>
        </w:rPr>
      </w:pPr>
    </w:p>
    <w:p>
      <w:pPr>
        <w:spacing w:line="360" w:lineRule="auto"/>
        <w:rPr>
          <w:rFonts w:ascii="仿宋_GB2312" w:eastAsia="仿宋_GB2312" w:hAnsiTheme="minorEastAsia"/>
          <w:sz w:val="32"/>
        </w:rPr>
      </w:pPr>
    </w:p>
    <w:p>
      <w:pPr>
        <w:spacing w:line="360" w:lineRule="auto"/>
        <w:rPr>
          <w:rFonts w:ascii="仿宋_GB2312" w:eastAsia="仿宋_GB2312" w:hAnsiTheme="minorEastAsia"/>
          <w:sz w:val="32"/>
        </w:rPr>
      </w:pPr>
    </w:p>
    <w:p>
      <w:pPr>
        <w:spacing w:line="360" w:lineRule="auto"/>
        <w:ind w:right="640" w:firstLine="2880" w:firstLineChars="900"/>
        <w:rPr>
          <w:rFonts w:ascii="仿宋_GB2312" w:eastAsia="仿宋_GB2312" w:hAnsiTheme="minorEastAsia"/>
          <w:sz w:val="32"/>
        </w:rPr>
      </w:pPr>
    </w:p>
    <w:sectPr>
      <w:pgSz w:w="11906" w:h="16838"/>
      <w:pgMar w:top="2098" w:right="1474" w:bottom="1985" w:left="1588" w:header="851" w:footer="992" w:gutter="567"/>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ODllMDdlMWM2NWEzYjNiZTZiNzM1NWNkNDYzOTYifQ=="/>
  </w:docVars>
  <w:rsids>
    <w:rsidRoot w:val="001B3755"/>
    <w:rsid w:val="00014BDF"/>
    <w:rsid w:val="000F13BC"/>
    <w:rsid w:val="00144545"/>
    <w:rsid w:val="001B3755"/>
    <w:rsid w:val="002A1E12"/>
    <w:rsid w:val="00316ECF"/>
    <w:rsid w:val="00320B55"/>
    <w:rsid w:val="00364C21"/>
    <w:rsid w:val="003678E9"/>
    <w:rsid w:val="003E6FE2"/>
    <w:rsid w:val="00537210"/>
    <w:rsid w:val="00545B58"/>
    <w:rsid w:val="00590DF0"/>
    <w:rsid w:val="00590EB9"/>
    <w:rsid w:val="005A459E"/>
    <w:rsid w:val="006C1FF2"/>
    <w:rsid w:val="006E77E7"/>
    <w:rsid w:val="006F773A"/>
    <w:rsid w:val="00724FF3"/>
    <w:rsid w:val="007A102E"/>
    <w:rsid w:val="008273D3"/>
    <w:rsid w:val="0083294C"/>
    <w:rsid w:val="008F23F0"/>
    <w:rsid w:val="009A20A0"/>
    <w:rsid w:val="009B53CA"/>
    <w:rsid w:val="009C3698"/>
    <w:rsid w:val="00A047EB"/>
    <w:rsid w:val="00A57C55"/>
    <w:rsid w:val="00A66A1A"/>
    <w:rsid w:val="00B1402E"/>
    <w:rsid w:val="00B75357"/>
    <w:rsid w:val="00B7605C"/>
    <w:rsid w:val="00C1456D"/>
    <w:rsid w:val="00C64D6F"/>
    <w:rsid w:val="00D9787D"/>
    <w:rsid w:val="00DA0C93"/>
    <w:rsid w:val="00DD2EEA"/>
    <w:rsid w:val="00E962CD"/>
    <w:rsid w:val="00ED032E"/>
    <w:rsid w:val="00ED7606"/>
    <w:rsid w:val="00F07DC4"/>
    <w:rsid w:val="00F82E1A"/>
    <w:rsid w:val="117F699C"/>
    <w:rsid w:val="38F74CB7"/>
    <w:rsid w:val="3AFE2E55"/>
    <w:rsid w:val="4AF33166"/>
    <w:rsid w:val="60432042"/>
    <w:rsid w:val="6CD35563"/>
    <w:rsid w:val="7FC65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autoRedefine/>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1"/>
    <w:autoRedefine/>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日期 Char"/>
    <w:basedOn w:val="10"/>
    <w:link w:val="3"/>
    <w:autoRedefine/>
    <w:semiHidden/>
    <w:qFormat/>
    <w:uiPriority w:val="99"/>
  </w:style>
  <w:style w:type="character" w:customStyle="1" w:styleId="12">
    <w:name w:val="标题 1 Char"/>
    <w:basedOn w:val="10"/>
    <w:link w:val="2"/>
    <w:autoRedefine/>
    <w:qFormat/>
    <w:uiPriority w:val="0"/>
    <w:rPr>
      <w:rFonts w:ascii="宋体" w:hAnsi="宋体" w:eastAsia="宋体" w:cs="Times New Roman"/>
      <w:b/>
      <w:bCs/>
      <w:kern w:val="44"/>
      <w:sz w:val="48"/>
      <w:szCs w:val="48"/>
    </w:rPr>
  </w:style>
  <w:style w:type="character" w:customStyle="1" w:styleId="13">
    <w:name w:val="页眉 Char"/>
    <w:basedOn w:val="10"/>
    <w:link w:val="6"/>
    <w:autoRedefine/>
    <w:qFormat/>
    <w:uiPriority w:val="99"/>
    <w:rPr>
      <w:sz w:val="18"/>
      <w:szCs w:val="18"/>
    </w:rPr>
  </w:style>
  <w:style w:type="character" w:customStyle="1" w:styleId="14">
    <w:name w:val="页脚 Char"/>
    <w:basedOn w:val="10"/>
    <w:link w:val="5"/>
    <w:autoRedefine/>
    <w:qFormat/>
    <w:uiPriority w:val="99"/>
    <w:rPr>
      <w:sz w:val="18"/>
      <w:szCs w:val="18"/>
    </w:rPr>
  </w:style>
  <w:style w:type="character" w:customStyle="1" w:styleId="15">
    <w:name w:val="批注框文本 Char"/>
    <w:basedOn w:val="10"/>
    <w:link w:val="4"/>
    <w:autoRedefine/>
    <w:semiHidden/>
    <w:qFormat/>
    <w:uiPriority w:val="99"/>
    <w:rPr>
      <w:sz w:val="18"/>
      <w:szCs w:val="18"/>
    </w:rPr>
  </w:style>
  <w:style w:type="paragraph" w:styleId="16">
    <w:name w:val="List Paragraph"/>
    <w:basedOn w:val="1"/>
    <w:autoRedefine/>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347</Words>
  <Characters>1983</Characters>
  <Lines>16</Lines>
  <Paragraphs>4</Paragraphs>
  <TotalTime>39</TotalTime>
  <ScaleCrop>false</ScaleCrop>
  <LinksUpToDate>false</LinksUpToDate>
  <CharactersWithSpaces>2326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2022-02-22T07:19:00Z</dcterms:created>
  <dc:creator>张鹏飞</dc:creator>
  <cp:lastModifiedBy>情之所至。</cp:lastModifiedBy>
  <cp:lastPrinted>2022-02-24T07:24:00Z</cp:lastPrinted>
  <dcterms:modified xsi:type="dcterms:W3CDTF">2024-03-01T07:49:58Z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05622F6C35BD49EC81BD46FE89772195_13</vt:lpwstr>
  </property>
</Properties>
</file>