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63583"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关于萧县2022年度国有资产管理情况的</w:t>
      </w:r>
    </w:p>
    <w:p w14:paraId="02866388"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综合报告</w:t>
      </w:r>
    </w:p>
    <w:p w14:paraId="4B2CEAD9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一、国有资产总的情况</w:t>
      </w:r>
    </w:p>
    <w:p w14:paraId="1DCD90FF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国有企业资产情况。2022年年报企业8户，分属投资运营、商贸、农副产品加工、储藏等行业。上述年报单位均为中小微企业，国有独资企业。2022年末，国有资产总额384.25亿元，比年初增加51.80亿元，增幅为15.58%；负债总额298.09亿元，比年初增加41.28亿元,增幅为16.08%；所有者权益总额86.16亿元，比年初增加10.52亿元，增幅为13.91%。</w:t>
      </w:r>
    </w:p>
    <w:p w14:paraId="0D0AA42F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金融企业资产情况。2022年末，金融企业总资产6.78亿元，较上年同期增加0.38亿元，增幅5.88%；负债总额2.66亿元，较上年同期增加0.20亿元，增幅8.35%；资产负债率39.2%。其中流动性资产6.48亿元，流动性负债2.66亿元，流动比率243.9%；所有者权益4.13亿元，较上年同期增加0.17亿元，增幅4.35%。</w:t>
      </w:r>
    </w:p>
    <w:p w14:paraId="29766EA7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（三）行政事业性资产情况。截至2022年底，全县纳入独立核算的行政事业单位共155户。全县行政事业单位资产总额71.76亿元，较上年增加11.49亿元,同比增长19.06%。负债总额 13.33亿，较上年减少0.73亿元,同比下降5.21%。净资产58.43亿元,较上年增加12.22亿元,同比增长26.45%。</w:t>
      </w:r>
    </w:p>
    <w:p w14:paraId="24354011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四）自然资源资产情况。截至2022年末，全县国有土地总面积19,676公顷，其中国有耕地2,868公顷、国有园地916公顷、国有林地4,030公顷、国有草地646公顷；我县矿产资源丰富，矿产资源保有储量中，煤矿5.06亿吨、水泥用石灰岩矿石量0.408亿吨、建筑石料用灰岩矿石量2.44亿吨、瓷石矿矿石量12.89亿吨、铁矿矿石量0.14亿吨；林业用地总面积67,109公顷；自然保护地整合优化后面积6,032.73公顷，其中黄河故道湿地自然保护区（省级）总面积2,020.71公顷；萧县木本植物共有54科、110属、119种，有留鸟17种、夏候鸟20种、冬候鸟3种、旅鸟17种，隶属于12目、26种；全县水资源总量6.39亿立方米，总用水量1.7669亿立方米。</w:t>
      </w:r>
    </w:p>
    <w:p w14:paraId="1C2A265F"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二、主要工作措施</w:t>
      </w:r>
    </w:p>
    <w:p w14:paraId="5A19CDED"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（一）加强企业国有资产监管。</w:t>
      </w:r>
    </w:p>
    <w:p w14:paraId="7E2A6AC9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1、国企改革三年行动收官。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2022年进一步明确了以管资本为主的监管职责，建立了权责清单和授放权清单并根据实际情况进行了相应的调整，积极引导受县国资委监管的3家企业及重要子企业进行公司制改革。县产投代管公司萧县民基投资有限责任公司投资3.27亿元认购安徽林平循环发展股份有限公司656.11万股新增股份，占注册资本总额比例11.6% ，积极助推林平公司上市。推动国有资本向关系国计民生的重要行业集中，聚焦生态环保、乡村振兴等重点领域，县乡村振兴集团建立法人治理结构、人员配置到位，进行正常运营。在2022年不断推进国企用工市场化，建立以劳动合同管理为关键、以岗位管理为基础的市场化用工制度，推行经理层任期制和契约化管理，坚持以以业绩为导向，实施中长期激励机制，进一步加强国企干部队伍建设，清退岗位不胜任人员。截止2022年12月底，受监管的国企已全部实现市场化用工，已全部建立企业经理层成员任期制和契约化管理制度，已全部制定全员绩效考核制度和开展中长期激励梳理评估工作。县属一级实现任期制和契约化管理的经理层成员总人数为9人，占一级企业新聘任管理人员人数的100%。加强董事会建设，落实董事会职权，制定了外部董事管理和考核评价办法，并落实外部董事人才库建设。三年改革行动任务涉及8大类、60个小项， 2022年12月底，改革任务已基本完成。</w:t>
      </w:r>
    </w:p>
    <w:p w14:paraId="17ABDB16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2、加强产权交易管理。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2022年度以建立“归属清晰、权责明确、保护严格、流转畅通”的现代产权制度为目标，依据《中华人民共和国国有资产法》、《中华人民共和国资产评估法》、《企业国有产权无偿划转管理暂行办法》等法律法规，办理股权变更及增加、股权无偿转让、土地使用权无偿转让、资产报废及处置等事项共计二十余件，每件都能做到材料完整、手续齐全、办理高效、企业满意。</w:t>
      </w:r>
    </w:p>
    <w:p w14:paraId="3EDAFBD8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3、国资监管系统建设。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资监管系统于2022年8月正式开始建设，建设过程中，多次组织软件开发公司员工下企业考察，并开展调研会1次、培训会1次，使软件开发公司充分了解我县国企具体情况和软件使用需求，有针对性的进行搭建工作。该系统于2022年12月正式验收投入使用，实现企业“三重一大决策运营”和“大额资金动态监测”的线上填报和管理。</w:t>
      </w:r>
    </w:p>
    <w:p w14:paraId="459866CD">
      <w:pPr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（二）规范金融企业融资担保行为。</w:t>
      </w:r>
    </w:p>
    <w:p w14:paraId="659308E0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1、引导国有资本投向。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按照扶小微、广覆盖、低费率、可持续的原则，聚焦支小支农主业，投向县域中小微企业、“三农”融资担保需求。2022年新增担保业务21.77亿元，共计242户，335笔。其中小微企业新增担保业务18.38亿元，占比84.42%，“三农”主体新增担保业务0.99亿元，占比4.55%。2022年全年担保费率为0.92%，较大程度上缓解了企业融资难，融资贵的问题，有效解决了许多小微企业流动资金不足的燃眉之急。</w:t>
      </w:r>
    </w:p>
    <w:p w14:paraId="4A2BA9EE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2、保障金融资产质量。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为确保代偿能力充足，保障资产流动性和安全性，严格按照有关规定，经营管理各级资产。截至2022年12月底，金融企业总资产6.78亿元，其中一级资产4.71亿元，二级资产0.30亿元，三级资产1.78亿元；未到期责任准备金期末余额0.10亿元，担保赔偿准备金期末余额1.36亿元，一般风险准期末余额0.17亿元，应收代偿款期末余额1.50亿元。拨备覆盖率108.94%，净资产及两项准备金占总资产的比重为82.32%，一级资产占扣除应收代偿款后总资产的比重为89.07%，一级、二级资产合计占扣除应收代偿款后总资产的比重为94.75%，三项指标均大幅超过监管要求，资产规模较大、货币资金较为充足，资产质量可靠稳固。</w:t>
      </w:r>
    </w:p>
    <w:p w14:paraId="18C76A75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3、防范化解金融风险。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完善企业规章制度，堵塞漏洞，注重反腐倡廉教育，树立企业廉洁文化理念，规范职工廉洁从业行为。严把贷款准入关，公司、银行、园区三方配合，对企业走访考察，召开担保贷款评审委员会进行评审。续贷企业建立“提前准备制”，做好接续服务，通过无还本续贷、展期、过桥资金等方式，使企业续贷无缝对接，减少违约风险。加强保后监管，定期对在保客户进行考察，建立贷款五级分类台账，全面把握担保企业的风险情况，早发现、早处置。建立困难企业救急救助机制，防止小风险演变成大风险，发挥金融企业“救生器”作用。</w:t>
      </w:r>
    </w:p>
    <w:p w14:paraId="256449D2">
      <w:pPr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（三）全面提升行政事业性国有资产监管水平。</w:t>
      </w:r>
    </w:p>
    <w:p w14:paraId="16A663E2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1、认真履行监管职责。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一是加强国有资产配置管理。2022年共审核配置资产620次、27,870件、价值4,660万元。指导新增资产录入国有资产管理系统，在建工程及时转入固定资产。二是坚持固定资产清查盘点。每年组织人员定期进行盘点，并与会计账进行核对，确保账实相符。三是规范固定资产处置。固定资产达到报废年限已不能正常使用的，按规定报废处置;虽已到报废年限，但尚能使用的要继续使用，不能报废。固定资产报废、调拨要坚持集体决策，严格按《萧县行政事业单位国有资产处置监督管理暂行办法》（萧财资</w:t>
      </w:r>
      <w:r>
        <w:rPr>
          <w:rFonts w:hint="eastAsia" w:ascii="微软雅黑" w:hAnsi="微软雅黑" w:eastAsia="微软雅黑" w:cs="方正仿宋_GBK"/>
          <w:bCs/>
          <w:sz w:val="32"/>
          <w:szCs w:val="32"/>
        </w:rPr>
        <w:t>〔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2021</w:t>
      </w:r>
      <w:r>
        <w:rPr>
          <w:rFonts w:hint="eastAsia" w:ascii="微软雅黑" w:hAnsi="微软雅黑" w:eastAsia="微软雅黑" w:cs="方正仿宋_GBK"/>
          <w:bCs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58号）执行。四是准确完整报送国有资产月报年报，在保证报送时间的同时，努力提高报送质量。</w:t>
      </w:r>
    </w:p>
    <w:p w14:paraId="6EC22594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2、落实助企纾困政策。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根据《关于进一步落实减免疫情期间公有经营性用房租金政策的通知》（萧财资</w:t>
      </w:r>
      <w:r>
        <w:rPr>
          <w:rFonts w:hint="eastAsia" w:ascii="微软雅黑" w:hAnsi="微软雅黑" w:eastAsia="微软雅黑" w:cs="方正仿宋_GBK"/>
          <w:bCs/>
          <w:sz w:val="32"/>
          <w:szCs w:val="32"/>
        </w:rPr>
        <w:t>〔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2022</w:t>
      </w:r>
      <w:r>
        <w:rPr>
          <w:rFonts w:hint="eastAsia" w:ascii="微软雅黑" w:hAnsi="微软雅黑" w:eastAsia="微软雅黑" w:cs="方正仿宋_GBK"/>
          <w:bCs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21号），全县行政事业单位免收租金114户，免租面积22,915.2平米，免收租金191.13万元；县属国有企业免收租金83户，免租面积238,192.18平米，免收租金1,077.21万元；全县养老托育机构14家，在享受中小微企业和个体工商户免收5个月租金的同时，又从8月29日起享受到年底的租金免收政策，全年共免租金9个月，免租面积21,327平米，免收租金66.06万元。</w:t>
      </w:r>
    </w:p>
    <w:p w14:paraId="14C0938D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3、开展应收账款专项清理。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印发《萧县行政事业单位应收账款、预付账款和其他应收款清查及处理工作方案》（萧财资</w:t>
      </w:r>
      <w:r>
        <w:rPr>
          <w:rFonts w:hint="eastAsia" w:ascii="微软雅黑" w:hAnsi="微软雅黑" w:eastAsia="微软雅黑" w:cs="方正仿宋_GBK"/>
          <w:bCs/>
          <w:sz w:val="32"/>
          <w:szCs w:val="32"/>
        </w:rPr>
        <w:t>〔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2022</w:t>
      </w:r>
      <w:r>
        <w:rPr>
          <w:rFonts w:hint="eastAsia" w:ascii="微软雅黑" w:hAnsi="微软雅黑" w:eastAsia="微软雅黑" w:cs="方正仿宋_GBK"/>
          <w:bCs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23号），组建了工作专班，清理历年债权。县政府召开专题会议，听取关于《萧县行政事业单位应收账款归类处理指导意见（征求意见稿）》的汇报，印发《专题会议纪要》（第55号）文件，为有关单位清理应收账款提供了指导和遵循，截至2022年底，应收账款清理总体进度达82%。</w:t>
      </w:r>
    </w:p>
    <w:p w14:paraId="4854FEDD">
      <w:pPr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4、创新国有资产管理机制。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根据《行政事业性国有资产管理条例》（国务院令第738号）和《安徽省省级政府公物仓管理暂行办法》（皖财资</w:t>
      </w:r>
      <w:r>
        <w:rPr>
          <w:rFonts w:hint="eastAsia" w:ascii="微软雅黑" w:hAnsi="微软雅黑" w:eastAsia="微软雅黑" w:cs="方正仿宋_GBK"/>
          <w:bCs/>
          <w:sz w:val="32"/>
          <w:szCs w:val="32"/>
        </w:rPr>
        <w:t>〔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2021</w:t>
      </w:r>
      <w:r>
        <w:rPr>
          <w:rFonts w:hint="eastAsia" w:ascii="微软雅黑" w:hAnsi="微软雅黑" w:eastAsia="微软雅黑" w:cs="方正仿宋_GBK"/>
          <w:bCs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1348号）等有关规定，建立政府公物仓。2022年11月1日萧县政府公物仓建设动员大会召开，标志着我县政府公物仓进入试运行阶段。制定政府公物仓管理暂行办法、工作流程、指南等各项规章制度。首单业务接收县发改委72万只防疫医用口罩，快速无偿划拨给县直单位、乡镇政府、县内中小学校，为应对疫情送来 “及时雨”。</w:t>
      </w:r>
    </w:p>
    <w:p w14:paraId="408E48AA">
      <w:pPr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（四）规范自然资源资产管理。</w:t>
      </w:r>
    </w:p>
    <w:p w14:paraId="4AF2D180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1、建设自然资源管理制度。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一是落实耕地保护制度。坚决严守103,660公顷耕地红线和95,333.6公顷基本农田的红线。2022年办理补充耕地项目13个，补充耕地1,366.683亩。二是打造土地“阳光拍卖”市场竞争机制。2022年度拍卖出让土地94宗，总面积4,010.96亩，成交金额10.64亿元，其中住宅用地7宗共412.76亩，成交金额3.71亿元；商服用地6宗共220.62亩，成交金额1.77亿元；工业用地72宗共3,068.53亩，成交金额4.00亿元；其他9宗共309.05亩，成交金额1.16亿元。三是加强林业管理制度建设。严格执行林木采伐限额管理，严把林木证办理申请关、审核关和公示关；依法依规管理森林植物检疫证办理；严格林地使用的审批程序；组织开展严打专项行动，严厉打击破坏森林资源的违法行为。</w:t>
      </w:r>
    </w:p>
    <w:p w14:paraId="30AE6113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2、规范自然资源资产利用。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一是推进土地节约集约利用方式转变。2022年计划土地供应总量3,643亩，其中商服用地49亩、工矿仓储用地1,024亩、各类住宅用地1,336亩、公共管理与公共服务用地260亩、交通运输用地975亩。2022年全年供应各类用地166宗，面积14,223亩，收取出让价款和划拨费共计23.04亿元。二是统筹矿产资源保护与开发。编制《萧县白土镇孤西粘土矿地质环境调查报告》，查明项目区内稳沉情况和可能遭受地质灾害危害等情况，为该废弃矿山的治理提供参考，通过辅助治理措施的施工，顺利完成废弃矿山年度生态修复任务。三是强化水资源集约节约手段。推进节水型社会达标建设各项工作，编制完成《萧县节水型社会达标建设规（2020-2022）》，成立节水型社会达标建设领导小组，按照时间节点开展各项创建任务。</w:t>
      </w:r>
    </w:p>
    <w:p w14:paraId="53E4B142"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3、强化自然资源保护力度。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一是严格征占用林草地审核。全年审核审批使用林地建设项目14个，面积103.3019公顷，收缴森林植被恢复费1,467.72万元。二是统一确权登记工作。2022年对萧县主要河流和湿地自然保护区开展确权登记。三是森林植被恢复工作。2022年组织评审4个森林植被恢复作业设计项目，森林植被恢复费总计35.7万元，恢复总面积0.0043万公顷。四是进行水污染防治。开展“清河行动”专项整治工作，对全县河道、水库、大中沟进行全覆盖进行清理、疏浚和清淤等，同时实施清洁小流域综合治理项目，保障河道水环境。加强龙河浮绥断面的运行管护，保障龙河浮绥断面水质。五是强化监管工作。2022年查处案件55起，涉及违法侵占林地面积1.94公顷，纠正违法毁林开垦面积2.6公顷。全县年森林采伐总限额为115,689立方米，已发证采伐量8,951.393立方米，占全县年森林采伐限额的 7.7%。</w:t>
      </w:r>
    </w:p>
    <w:p w14:paraId="1F4E4F4E"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三、存在的困难和问题</w:t>
      </w:r>
    </w:p>
    <w:p w14:paraId="31AD3295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取得成绩的同时，我们也清醒地看到国有资产管理中存在的困难和问题。1、企业国有资产管理方面：国企优质经营性资产比重低，实体经营基础弱，抵御市场风险的能力不足；存在部分国有资产产权不清，闲置低效资产未能进行有效利用；企业资金需求较大，缺乏持续融资的渠道；国资监管、融资、财务等专业人才缺乏，人才后备力量不足。2、融资担保方面：发生代偿后，抵押资产变现难，变现价值低，难以弥补欠款；单户500万以下业务占比低，风险集中度较高。3、行政事业性资产管理方面：资产配置与会计处理不同步，存在账实不符、账外资产等现象；部分单位对国有资产归属权认识不清，零星、闲置国有资产使用效率不高；全县行政事业单位还存在未清理应收账款1.42亿元，占应清理应收账款的18%；部分单位对公物仓调剂余缺的职能认识不足，公物仓运行缺少相应的工作人员。4、国有自然资源资产管理方面：各类自然资源主管部门工作基础数据不统一，进展不平衡；缺乏行之有效的保护和利用管理政策措施体系；缺少规范的自然资源资产核算方法；工程占地较多，土地指标难以争取，工程资金体量大，地方难以落实配套资金。</w:t>
      </w:r>
    </w:p>
    <w:p w14:paraId="79544FC4"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四、下一步工作安排</w:t>
      </w:r>
    </w:p>
    <w:p w14:paraId="6666BF76">
      <w:pPr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（一）进一步完善企业国有资产管理体制。</w:t>
      </w:r>
    </w:p>
    <w:p w14:paraId="25F62401">
      <w:pPr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1、组织新一轮国企改革。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巩固国企改革三年行动工作成果，组织实施新一轮国企改革深化提升行动。完善中国特色国有企业现代公司治理，持续推进市场化经营，进一步落实工资调整机制、市场化薪酬分配机制和各类中长期激励政策。</w:t>
      </w:r>
    </w:p>
    <w:p w14:paraId="1A605B21">
      <w:pPr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2、优化业务布局和结构调整。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继续推动业务在重要行业和关键领域的集中，深度融入长三角一体化发展战略，加大与省市级成熟平台公司、淮海经济区平台公司的交流合作，引领社会资本进入萧县国企。对低效无效闲置资产进行清理，对类别相同的资产进行集中处置，将存量资产价值最大化。</w:t>
      </w:r>
    </w:p>
    <w:p w14:paraId="55721C44">
      <w:pPr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3、提高服务质量和效率。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规范业务办理流程，多做释疑解惑、宣传引导等工作，为国企提供优质高效的服务。</w:t>
      </w:r>
    </w:p>
    <w:p w14:paraId="14ECE560">
      <w:pPr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4、进一步推进国资监管系统建设。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督促县属国有企业及时更新监管信息，积极协调软件公司做好业务培训，适时推进乡村振兴集团纳入监管系统。</w:t>
      </w:r>
    </w:p>
    <w:p w14:paraId="6AE7A4B6">
      <w:pPr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（二）加强金融企业资产管理。</w:t>
      </w:r>
    </w:p>
    <w:p w14:paraId="6F2E75DC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1、聚焦主责，深耕主业。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持续坚持准公共定位，践行普惠金融，优化流程、降低门槛、减费让利，主动精准服务企业。</w:t>
      </w:r>
    </w:p>
    <w:p w14:paraId="5CCE85C2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2、加强业务创新，提升服务能力。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根据服务小微、“三农”、创业创新、战略性新兴等不同客户群体的需要，培育核心能力，做精专业。</w:t>
      </w:r>
    </w:p>
    <w:p w14:paraId="7E3F98B6">
      <w:pPr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3、优化业务结构，防范化解风险。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持续调整担保规模结构，重点开展500万元以下业务，协助企业多渠道融资。不断完善风险控制手段，提升项目准入、保后管理、风险识别、代偿追偿的能力。</w:t>
      </w:r>
    </w:p>
    <w:p w14:paraId="15A26EC9">
      <w:pPr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（三）进一步提高行政事业性国有资产管理水平。</w:t>
      </w:r>
    </w:p>
    <w:p w14:paraId="061D8EC9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1、加强国有资产日常管理。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建立和完善国有资产配置、使用、处置工作流程，开展资产管理人员业务培训，加强资产配置与资金支付情况比对；按照配置按标准、使用讲效益、报废有证据的管理原则，形成国有资产全生命周期的工作流程。</w:t>
      </w:r>
    </w:p>
    <w:p w14:paraId="770DB6B9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2、充分挖掘资产变现潜力。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大力开展国有资产清查，推进低效、闲置国有资产出租出售、涉案物品处置，促进“资产”变“资本”、变“资金”，增加财政收入，缓解公共预算平衡压力。</w:t>
      </w:r>
    </w:p>
    <w:p w14:paraId="35315B9F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3、巩固应收账款清理成果。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出台萧县行政事业单位往来款项管理办法，对去年已清理的应收账款开展“回头看”活动，防止“死灰复燃”。</w:t>
      </w:r>
    </w:p>
    <w:p w14:paraId="28FF652E">
      <w:pPr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4、配齐公物仓“五件套”。</w:t>
      </w:r>
      <w:r>
        <w:rPr>
          <w:rFonts w:hint="eastAsia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从资产入仓、调剂、处置、核销等环节入手，健全一套规章制度。围绕资产入库、出库、借用、归还等资产不同流向，制定一套操作流程。借助预算管理一体化资产管理系统，建立一套管理系统。通过安装门禁锁、设置指纹和密码等措施，完善一套监督体系。通过加强业务培训和廉洁教育，建设一套高素质管理队伍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</w:t>
      </w:r>
    </w:p>
    <w:p w14:paraId="45909531">
      <w:pPr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(四）积极构建规范透明的自然资源资产管理体系</w:t>
      </w:r>
    </w:p>
    <w:p w14:paraId="32EBABA6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1、进一步摸清家底，建立统一数据共享平台。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继续完善全县三调数据库，摸清自然资源“家底”。探索搭建自然资源、水利、农业、林业等部门数据统一共享平台，明确各类国有自然资源规模和数量。</w:t>
      </w:r>
    </w:p>
    <w:p w14:paraId="3C649B19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2、继续加快健全自然资源资产产权制度。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进一步探索全民所有自然资源资产所有者的实现形式，建立行使所有权的资源清单和管理制度，探索全民所有自然资源资产统计和评价考核体系。</w:t>
      </w:r>
    </w:p>
    <w:p w14:paraId="0212C56E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3、统一行使好所有国土空间规划职责。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加快完成全县国土空间规划编制工作，强化落实耕地保有总量、建设用地总规模等约束性指标，探索将森林、草原面积纳入约束性指标。</w:t>
      </w:r>
    </w:p>
    <w:p w14:paraId="0E5087B2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4、全面开展自然资源产权制度改革工作。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深入贯彻《统筹推进自然资源资产产权制度改革的指导意见》等文件要求，积极探索开展自然资源资产的经营权、处置权的委托、出租、转让、拍卖工作，构建底数清、权责明、保护严、监管实、市场畅的自然资源资产管理框架。</w:t>
      </w:r>
      <w:bookmarkStart w:id="0" w:name="_GoBack"/>
      <w:bookmarkEnd w:id="0"/>
    </w:p>
    <w:p w14:paraId="4A3AADF7"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984" w:right="1474" w:bottom="1417" w:left="1474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D692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74C8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Gn2ap74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Zd8w5kVhhr+oMbAPsLI1tGdwfmCiu4dlYWR&#10;0jQzSal3dyB/embhthO2VTeIMHRK1MQu3cweXZ1wfASphi9Q0zPiGCABjQ2aaB2ZwQidOnO+dCZS&#10;kZR8e/VmQweSTtavP7zPU+MyUSx3HfrwSYFhMSg5Ut8Ttjjd+UAqqHQpiU9ZOOi+T73v7V8JKoyZ&#10;xD3SnYiHsRpnLyqoz6QCYRol+kgUdIC/OBtojEpu6ddw1n+25EOcuCXAJaiWQFhJF0seOJvC2zBN&#10;5tGhbjvCXZy+Ia8OOgmJpk4cZpY0GEnfPMRx8h7vU9Wfj7v7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tbuXfQAAAAAgEAAA8AAAAAAAAAAQAgAAAAIgAAAGRycy9kb3ducmV2LnhtbFBLAQIUABQA&#10;AAAIAIdO4kBp9mqe+AEAAAAEAAAOAAAAAAAAAAEAIAAAAB8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174C8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0ODI0MmU2OWU2ZWIyZTM4ZTA5MWMzMzY3NmY3ZWEifQ=="/>
  </w:docVars>
  <w:rsids>
    <w:rsidRoot w:val="00BF1D01"/>
    <w:rsid w:val="000330B2"/>
    <w:rsid w:val="00075237"/>
    <w:rsid w:val="00076FE4"/>
    <w:rsid w:val="0008084C"/>
    <w:rsid w:val="00083995"/>
    <w:rsid w:val="000A6773"/>
    <w:rsid w:val="000B4C6A"/>
    <w:rsid w:val="000C0638"/>
    <w:rsid w:val="000D4E32"/>
    <w:rsid w:val="000E1E8C"/>
    <w:rsid w:val="001031B4"/>
    <w:rsid w:val="001231D1"/>
    <w:rsid w:val="00171C59"/>
    <w:rsid w:val="00184A7B"/>
    <w:rsid w:val="00190839"/>
    <w:rsid w:val="00195E33"/>
    <w:rsid w:val="001B09EA"/>
    <w:rsid w:val="001C14C6"/>
    <w:rsid w:val="00232745"/>
    <w:rsid w:val="00232CBE"/>
    <w:rsid w:val="002527B8"/>
    <w:rsid w:val="00257010"/>
    <w:rsid w:val="002C1878"/>
    <w:rsid w:val="002C5931"/>
    <w:rsid w:val="002E08FE"/>
    <w:rsid w:val="002E6472"/>
    <w:rsid w:val="002F25A9"/>
    <w:rsid w:val="00305437"/>
    <w:rsid w:val="00323B43"/>
    <w:rsid w:val="003341F7"/>
    <w:rsid w:val="00346601"/>
    <w:rsid w:val="003B665E"/>
    <w:rsid w:val="003D37D8"/>
    <w:rsid w:val="003F6099"/>
    <w:rsid w:val="00406F1E"/>
    <w:rsid w:val="0043057C"/>
    <w:rsid w:val="00430986"/>
    <w:rsid w:val="004358AB"/>
    <w:rsid w:val="00455557"/>
    <w:rsid w:val="00466689"/>
    <w:rsid w:val="0047232F"/>
    <w:rsid w:val="00483CA0"/>
    <w:rsid w:val="00487D93"/>
    <w:rsid w:val="004A7A1A"/>
    <w:rsid w:val="004B6539"/>
    <w:rsid w:val="004F2AE8"/>
    <w:rsid w:val="00522490"/>
    <w:rsid w:val="00542938"/>
    <w:rsid w:val="00560F12"/>
    <w:rsid w:val="005D4AF2"/>
    <w:rsid w:val="005D7D80"/>
    <w:rsid w:val="005F6296"/>
    <w:rsid w:val="006075BC"/>
    <w:rsid w:val="00676E24"/>
    <w:rsid w:val="00681B13"/>
    <w:rsid w:val="00694042"/>
    <w:rsid w:val="006B3A35"/>
    <w:rsid w:val="006C30AF"/>
    <w:rsid w:val="007219F2"/>
    <w:rsid w:val="00776797"/>
    <w:rsid w:val="0081357C"/>
    <w:rsid w:val="00817416"/>
    <w:rsid w:val="0083391F"/>
    <w:rsid w:val="0083744D"/>
    <w:rsid w:val="00843A3C"/>
    <w:rsid w:val="008721A4"/>
    <w:rsid w:val="008B7726"/>
    <w:rsid w:val="008C1910"/>
    <w:rsid w:val="008C6F67"/>
    <w:rsid w:val="0090226F"/>
    <w:rsid w:val="00913743"/>
    <w:rsid w:val="00916565"/>
    <w:rsid w:val="00917A4B"/>
    <w:rsid w:val="00932818"/>
    <w:rsid w:val="00933305"/>
    <w:rsid w:val="009563E7"/>
    <w:rsid w:val="00992DC6"/>
    <w:rsid w:val="009F1F61"/>
    <w:rsid w:val="00A26573"/>
    <w:rsid w:val="00A71302"/>
    <w:rsid w:val="00A941AE"/>
    <w:rsid w:val="00AA187B"/>
    <w:rsid w:val="00AC4616"/>
    <w:rsid w:val="00AC7F1A"/>
    <w:rsid w:val="00AE07B3"/>
    <w:rsid w:val="00B10F83"/>
    <w:rsid w:val="00B209ED"/>
    <w:rsid w:val="00B311CA"/>
    <w:rsid w:val="00BD13C4"/>
    <w:rsid w:val="00BF1D01"/>
    <w:rsid w:val="00C26D4F"/>
    <w:rsid w:val="00C41199"/>
    <w:rsid w:val="00C63947"/>
    <w:rsid w:val="00C87E64"/>
    <w:rsid w:val="00D17A21"/>
    <w:rsid w:val="00D33140"/>
    <w:rsid w:val="00D51DCF"/>
    <w:rsid w:val="00D61D47"/>
    <w:rsid w:val="00D65809"/>
    <w:rsid w:val="00D80315"/>
    <w:rsid w:val="00DF4E8B"/>
    <w:rsid w:val="00E12C95"/>
    <w:rsid w:val="00E579F9"/>
    <w:rsid w:val="00E6189B"/>
    <w:rsid w:val="00E64A73"/>
    <w:rsid w:val="00E75F55"/>
    <w:rsid w:val="00E77D11"/>
    <w:rsid w:val="00EB3A45"/>
    <w:rsid w:val="00EC3360"/>
    <w:rsid w:val="00ED2904"/>
    <w:rsid w:val="00EF125E"/>
    <w:rsid w:val="00F30EC2"/>
    <w:rsid w:val="00F31AE9"/>
    <w:rsid w:val="00F628E6"/>
    <w:rsid w:val="00F76C40"/>
    <w:rsid w:val="00F968AF"/>
    <w:rsid w:val="00FD3777"/>
    <w:rsid w:val="00FE7429"/>
    <w:rsid w:val="00FF4622"/>
    <w:rsid w:val="02685C0C"/>
    <w:rsid w:val="04174D10"/>
    <w:rsid w:val="057B7A05"/>
    <w:rsid w:val="072A7934"/>
    <w:rsid w:val="084C5688"/>
    <w:rsid w:val="08B50A52"/>
    <w:rsid w:val="097C01EF"/>
    <w:rsid w:val="0A9945B1"/>
    <w:rsid w:val="0B967696"/>
    <w:rsid w:val="0BAD4690"/>
    <w:rsid w:val="0C936C67"/>
    <w:rsid w:val="0CE71E24"/>
    <w:rsid w:val="0DA8192D"/>
    <w:rsid w:val="0E96330F"/>
    <w:rsid w:val="0F9B1FB8"/>
    <w:rsid w:val="10E5667A"/>
    <w:rsid w:val="118A53AE"/>
    <w:rsid w:val="129824E8"/>
    <w:rsid w:val="12D01F73"/>
    <w:rsid w:val="13541895"/>
    <w:rsid w:val="14C26AFB"/>
    <w:rsid w:val="157004F9"/>
    <w:rsid w:val="18B232E6"/>
    <w:rsid w:val="18BD41A1"/>
    <w:rsid w:val="19A10135"/>
    <w:rsid w:val="1C336788"/>
    <w:rsid w:val="1DC046F7"/>
    <w:rsid w:val="203E1903"/>
    <w:rsid w:val="20B22565"/>
    <w:rsid w:val="22431452"/>
    <w:rsid w:val="224B4DAF"/>
    <w:rsid w:val="229C5A9D"/>
    <w:rsid w:val="23294AEC"/>
    <w:rsid w:val="288D78CB"/>
    <w:rsid w:val="291122AA"/>
    <w:rsid w:val="2E552C39"/>
    <w:rsid w:val="2FCB5849"/>
    <w:rsid w:val="31AB5969"/>
    <w:rsid w:val="31DB16A7"/>
    <w:rsid w:val="37A20571"/>
    <w:rsid w:val="37A4078E"/>
    <w:rsid w:val="385937DF"/>
    <w:rsid w:val="38705D69"/>
    <w:rsid w:val="398443D3"/>
    <w:rsid w:val="3B4C1590"/>
    <w:rsid w:val="3B512C60"/>
    <w:rsid w:val="41F149BD"/>
    <w:rsid w:val="452C0B58"/>
    <w:rsid w:val="45471D78"/>
    <w:rsid w:val="48DF33D4"/>
    <w:rsid w:val="4A17781B"/>
    <w:rsid w:val="4A4D2C7F"/>
    <w:rsid w:val="4A9744EB"/>
    <w:rsid w:val="4BB46342"/>
    <w:rsid w:val="4DD13E32"/>
    <w:rsid w:val="4DFE42FC"/>
    <w:rsid w:val="4ED432AF"/>
    <w:rsid w:val="505E1B70"/>
    <w:rsid w:val="50E579F5"/>
    <w:rsid w:val="52AA2CA4"/>
    <w:rsid w:val="53760C5F"/>
    <w:rsid w:val="580F5357"/>
    <w:rsid w:val="592C55F9"/>
    <w:rsid w:val="5D79574D"/>
    <w:rsid w:val="5E2A4C99"/>
    <w:rsid w:val="5E7B54F5"/>
    <w:rsid w:val="61D90EB0"/>
    <w:rsid w:val="62CE5D09"/>
    <w:rsid w:val="631B1054"/>
    <w:rsid w:val="669C0862"/>
    <w:rsid w:val="67FA1B80"/>
    <w:rsid w:val="696E0130"/>
    <w:rsid w:val="69CE10E5"/>
    <w:rsid w:val="6AC27B7B"/>
    <w:rsid w:val="6E526272"/>
    <w:rsid w:val="6E5A6ED5"/>
    <w:rsid w:val="722437E6"/>
    <w:rsid w:val="72A11576"/>
    <w:rsid w:val="731C0BFD"/>
    <w:rsid w:val="74C90910"/>
    <w:rsid w:val="75B710B1"/>
    <w:rsid w:val="773C7ABF"/>
    <w:rsid w:val="790C526F"/>
    <w:rsid w:val="79E918F8"/>
    <w:rsid w:val="7D2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5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3"/>
    <w:autoRedefine/>
    <w:qFormat/>
    <w:uiPriority w:val="99"/>
    <w:pPr>
      <w:ind w:firstLine="420" w:firstLineChars="200"/>
    </w:pPr>
  </w:style>
  <w:style w:type="character" w:customStyle="1" w:styleId="12">
    <w:name w:val="批注框文本 字符"/>
    <w:basedOn w:val="11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A8A4C2-B985-4871-98BD-7562A5E9D3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6054</Words>
  <Characters>6666</Characters>
  <Lines>47</Lines>
  <Paragraphs>13</Paragraphs>
  <TotalTime>30</TotalTime>
  <ScaleCrop>false</ScaleCrop>
  <LinksUpToDate>false</LinksUpToDate>
  <CharactersWithSpaces>6673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2023-09-22T08:51:00Z</dcterms:created>
  <dc:creator>XTZJ</dc:creator>
  <cp:lastModifiedBy>W</cp:lastModifiedBy>
  <cp:lastPrinted>2023-09-20T09:00:00Z</cp:lastPrinted>
  <dcterms:modified xsi:type="dcterms:W3CDTF">2024-12-25T01:37:50Z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136B000A13FC499CB6E104AC23DDDEC0_13</vt:lpwstr>
  </property>
</Properties>
</file>