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B244F">
      <w:pPr>
        <w:spacing w:after="105" w:line="500" w:lineRule="auto"/>
        <w:jc w:val="left"/>
        <w:rPr>
          <w:rFonts w:hint="eastAsia" w:ascii="仿宋" w:hAnsi="仿宋" w:eastAsia="仿宋" w:cs="仿宋"/>
          <w:color w:val="333333"/>
          <w:sz w:val="28"/>
          <w:shd w:val="clear" w:color="auto" w:fill="FFFFFF"/>
          <w:lang w:val="en-US" w:eastAsia="zh-CN"/>
        </w:rPr>
      </w:pPr>
      <w:bookmarkStart w:id="0" w:name="_GoBack"/>
      <w:bookmarkEnd w:id="0"/>
      <w:r>
        <w:rPr>
          <w:rFonts w:hint="eastAsia" w:ascii="仿宋" w:hAnsi="仿宋" w:eastAsia="仿宋" w:cs="仿宋"/>
          <w:color w:val="333333"/>
          <w:sz w:val="28"/>
          <w:shd w:val="clear" w:color="auto" w:fill="FFFFFF"/>
          <w:lang w:val="en-US" w:eastAsia="zh-CN"/>
        </w:rPr>
        <w:t>附件：</w:t>
      </w:r>
    </w:p>
    <w:p w14:paraId="3FD4B8CF">
      <w:pPr>
        <w:spacing w:after="105" w:line="500" w:lineRule="auto"/>
        <w:jc w:val="center"/>
        <w:rPr>
          <w:rFonts w:ascii="仿宋" w:hAnsi="仿宋" w:eastAsia="仿宋" w:cs="仿宋"/>
          <w:b/>
          <w:bCs/>
          <w:color w:val="333333"/>
          <w:sz w:val="40"/>
          <w:szCs w:val="32"/>
          <w:shd w:val="clear" w:color="auto" w:fill="FFFFFF"/>
        </w:rPr>
      </w:pPr>
      <w:r>
        <w:rPr>
          <w:rFonts w:hint="eastAsia" w:ascii="仿宋" w:hAnsi="仿宋" w:eastAsia="仿宋" w:cs="仿宋"/>
          <w:b/>
          <w:bCs/>
          <w:color w:val="333333"/>
          <w:sz w:val="40"/>
          <w:szCs w:val="32"/>
          <w:shd w:val="clear" w:color="auto" w:fill="FFFFFF"/>
        </w:rPr>
        <w:t>比选办法</w:t>
      </w:r>
    </w:p>
    <w:tbl>
      <w:tblPr>
        <w:tblStyle w:val="5"/>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426"/>
        <w:gridCol w:w="6555"/>
      </w:tblGrid>
      <w:tr w14:paraId="5F98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47" w:type="dxa"/>
            <w:gridSpan w:val="2"/>
            <w:vAlign w:val="center"/>
          </w:tcPr>
          <w:p w14:paraId="1BBF38D3">
            <w:pPr>
              <w:spacing w:line="360" w:lineRule="auto"/>
              <w:jc w:val="center"/>
              <w:rPr>
                <w:rFonts w:ascii="仿宋" w:hAnsi="仿宋" w:eastAsia="仿宋" w:cs="仿宋"/>
                <w:b/>
                <w:kern w:val="1"/>
                <w:sz w:val="24"/>
                <w:szCs w:val="24"/>
                <w:shd w:val="clear" w:color="auto" w:fill="FFFFFF"/>
              </w:rPr>
            </w:pPr>
            <w:r>
              <w:rPr>
                <w:rFonts w:hint="eastAsia" w:ascii="仿宋" w:hAnsi="仿宋" w:eastAsia="仿宋" w:cs="仿宋"/>
                <w:b/>
                <w:kern w:val="1"/>
                <w:sz w:val="24"/>
                <w:szCs w:val="24"/>
                <w:shd w:val="clear" w:color="auto" w:fill="FFFFFF"/>
              </w:rPr>
              <w:t>评审因素</w:t>
            </w:r>
          </w:p>
        </w:tc>
        <w:tc>
          <w:tcPr>
            <w:tcW w:w="6555" w:type="dxa"/>
            <w:vAlign w:val="center"/>
          </w:tcPr>
          <w:p w14:paraId="33A5DC02">
            <w:pPr>
              <w:spacing w:line="360" w:lineRule="auto"/>
              <w:jc w:val="center"/>
              <w:rPr>
                <w:rFonts w:ascii="仿宋" w:hAnsi="仿宋" w:eastAsia="仿宋" w:cs="仿宋"/>
                <w:b/>
                <w:kern w:val="1"/>
                <w:sz w:val="24"/>
                <w:szCs w:val="24"/>
                <w:shd w:val="clear" w:color="auto" w:fill="FFFFFF"/>
              </w:rPr>
            </w:pPr>
            <w:r>
              <w:rPr>
                <w:rFonts w:hint="eastAsia" w:ascii="仿宋" w:hAnsi="仿宋" w:eastAsia="仿宋" w:cs="仿宋"/>
                <w:b/>
                <w:kern w:val="1"/>
                <w:sz w:val="24"/>
                <w:szCs w:val="24"/>
                <w:shd w:val="clear" w:color="auto" w:fill="FFFFFF"/>
              </w:rPr>
              <w:t>评审标准</w:t>
            </w:r>
          </w:p>
        </w:tc>
      </w:tr>
      <w:tr w14:paraId="2A8F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1" w:type="dxa"/>
            <w:vMerge w:val="restart"/>
            <w:vAlign w:val="center"/>
          </w:tcPr>
          <w:p w14:paraId="7B171486">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初步评审标准</w:t>
            </w:r>
          </w:p>
        </w:tc>
        <w:tc>
          <w:tcPr>
            <w:tcW w:w="1426" w:type="dxa"/>
            <w:vAlign w:val="center"/>
          </w:tcPr>
          <w:p w14:paraId="52099854">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签字盖章</w:t>
            </w:r>
          </w:p>
        </w:tc>
        <w:tc>
          <w:tcPr>
            <w:tcW w:w="6555" w:type="dxa"/>
            <w:vAlign w:val="center"/>
          </w:tcPr>
          <w:p w14:paraId="23004927">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法定代表人身份证明书和法定代表人授权书签字盖章</w:t>
            </w:r>
          </w:p>
        </w:tc>
      </w:tr>
      <w:tr w14:paraId="401B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021" w:type="dxa"/>
            <w:vMerge w:val="continue"/>
            <w:vAlign w:val="center"/>
          </w:tcPr>
          <w:p w14:paraId="089C9457">
            <w:pPr>
              <w:spacing w:line="360" w:lineRule="auto"/>
              <w:jc w:val="left"/>
              <w:rPr>
                <w:rFonts w:ascii="仿宋" w:hAnsi="仿宋" w:eastAsia="仿宋" w:cs="仿宋"/>
                <w:kern w:val="1"/>
                <w:sz w:val="24"/>
                <w:szCs w:val="24"/>
                <w:shd w:val="clear" w:color="auto" w:fill="FFFFFF"/>
              </w:rPr>
            </w:pPr>
          </w:p>
        </w:tc>
        <w:tc>
          <w:tcPr>
            <w:tcW w:w="1426" w:type="dxa"/>
            <w:vAlign w:val="center"/>
          </w:tcPr>
          <w:p w14:paraId="3DE3A2D3">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营业执照</w:t>
            </w:r>
          </w:p>
        </w:tc>
        <w:tc>
          <w:tcPr>
            <w:tcW w:w="6555" w:type="dxa"/>
            <w:vAlign w:val="center"/>
          </w:tcPr>
          <w:p w14:paraId="6664B9B3">
            <w:pPr>
              <w:spacing w:line="360" w:lineRule="auto"/>
              <w:rPr>
                <w:rFonts w:hint="default" w:ascii="仿宋" w:hAnsi="仿宋" w:eastAsia="仿宋" w:cs="仿宋"/>
                <w:kern w:val="1"/>
                <w:sz w:val="24"/>
                <w:szCs w:val="24"/>
                <w:shd w:val="clear" w:color="auto" w:fill="FFFFFF"/>
                <w:lang w:val="en-US" w:eastAsia="zh-CN"/>
              </w:rPr>
            </w:pPr>
            <w:r>
              <w:rPr>
                <w:rFonts w:hint="eastAsia" w:ascii="仿宋" w:hAnsi="仿宋" w:eastAsia="仿宋" w:cs="仿宋"/>
                <w:kern w:val="1"/>
                <w:sz w:val="24"/>
                <w:szCs w:val="24"/>
                <w:shd w:val="clear" w:color="auto" w:fill="FFFFFF"/>
              </w:rPr>
              <w:t>具有独立法人资格，具有有效的“三证合一”的营业执照，提供有效的营业执照复印件并加盖公章</w:t>
            </w:r>
            <w:r>
              <w:rPr>
                <w:rFonts w:hint="eastAsia" w:ascii="仿宋" w:hAnsi="仿宋" w:eastAsia="仿宋" w:cs="仿宋"/>
                <w:kern w:val="1"/>
                <w:sz w:val="24"/>
                <w:szCs w:val="24"/>
                <w:shd w:val="clear" w:color="auto" w:fill="FFFFFF"/>
                <w:lang w:val="en-US" w:eastAsia="zh-CN"/>
              </w:rPr>
              <w:t>(原件备查)</w:t>
            </w:r>
          </w:p>
        </w:tc>
      </w:tr>
      <w:tr w14:paraId="5F43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21" w:type="dxa"/>
            <w:vMerge w:val="continue"/>
            <w:vAlign w:val="center"/>
          </w:tcPr>
          <w:p w14:paraId="26244EAB">
            <w:pPr>
              <w:spacing w:line="360" w:lineRule="auto"/>
              <w:jc w:val="left"/>
              <w:rPr>
                <w:rFonts w:ascii="仿宋" w:hAnsi="仿宋" w:eastAsia="仿宋" w:cs="仿宋"/>
                <w:kern w:val="1"/>
                <w:sz w:val="24"/>
                <w:szCs w:val="24"/>
                <w:shd w:val="clear" w:color="auto" w:fill="FFFFFF"/>
              </w:rPr>
            </w:pPr>
          </w:p>
        </w:tc>
        <w:tc>
          <w:tcPr>
            <w:tcW w:w="1426" w:type="dxa"/>
            <w:vAlign w:val="center"/>
          </w:tcPr>
          <w:p w14:paraId="36664276">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信用综合评定分</w:t>
            </w:r>
          </w:p>
        </w:tc>
        <w:tc>
          <w:tcPr>
            <w:tcW w:w="6555" w:type="dxa"/>
            <w:vAlign w:val="center"/>
          </w:tcPr>
          <w:p w14:paraId="1299B8E5">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在宿州市公共资源交易中心网名录登记中信用综合评定分为100分及以上，提供宿州市公共资源交易中心网名录登记中信用综合评定分查询截图</w:t>
            </w:r>
          </w:p>
        </w:tc>
      </w:tr>
      <w:tr w14:paraId="5A46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021" w:type="dxa"/>
            <w:vMerge w:val="continue"/>
            <w:vAlign w:val="center"/>
          </w:tcPr>
          <w:p w14:paraId="52E98F92">
            <w:pPr>
              <w:spacing w:line="360" w:lineRule="auto"/>
              <w:jc w:val="left"/>
              <w:rPr>
                <w:rFonts w:ascii="仿宋" w:hAnsi="仿宋" w:eastAsia="仿宋" w:cs="仿宋"/>
                <w:kern w:val="1"/>
                <w:sz w:val="24"/>
                <w:szCs w:val="24"/>
                <w:shd w:val="clear" w:color="auto" w:fill="FFFFFF"/>
              </w:rPr>
            </w:pPr>
          </w:p>
        </w:tc>
        <w:tc>
          <w:tcPr>
            <w:tcW w:w="1426" w:type="dxa"/>
            <w:vAlign w:val="center"/>
          </w:tcPr>
          <w:p w14:paraId="7AF80A1A">
            <w:pPr>
              <w:spacing w:line="360" w:lineRule="auto"/>
              <w:rPr>
                <w:rFonts w:ascii="仿宋" w:hAnsi="仿宋" w:eastAsia="仿宋" w:cs="仿宋"/>
                <w:kern w:val="1"/>
                <w:sz w:val="24"/>
                <w:szCs w:val="24"/>
                <w:shd w:val="clear" w:color="auto" w:fill="FFFFFF"/>
              </w:rPr>
            </w:pPr>
            <w:r>
              <w:rPr>
                <w:rFonts w:hint="eastAsia" w:ascii="仿宋" w:hAnsi="仿宋" w:eastAsia="仿宋" w:cs="仿宋"/>
                <w:sz w:val="24"/>
                <w:szCs w:val="24"/>
                <w:shd w:val="clear" w:color="auto" w:fill="FFFFFF"/>
              </w:rPr>
              <w:t>本地化服务能力</w:t>
            </w:r>
          </w:p>
        </w:tc>
        <w:tc>
          <w:tcPr>
            <w:tcW w:w="6555" w:type="dxa"/>
            <w:vAlign w:val="center"/>
          </w:tcPr>
          <w:p w14:paraId="3FA4CAE0">
            <w:pPr>
              <w:spacing w:line="360" w:lineRule="auto"/>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比选申请人注册地在安徽省内或在安徽省内设有分公司且成立时间一年及以上（以营业执照载明的成立时间为准），提供营业执照复印件并加盖公章</w:t>
            </w:r>
          </w:p>
        </w:tc>
      </w:tr>
      <w:tr w14:paraId="35E3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1" w:type="dxa"/>
            <w:vMerge w:val="continue"/>
            <w:vAlign w:val="center"/>
          </w:tcPr>
          <w:p w14:paraId="344B28BC">
            <w:pPr>
              <w:spacing w:line="360" w:lineRule="auto"/>
              <w:jc w:val="left"/>
              <w:rPr>
                <w:rFonts w:ascii="仿宋" w:hAnsi="仿宋" w:eastAsia="仿宋" w:cs="仿宋"/>
                <w:kern w:val="1"/>
                <w:sz w:val="24"/>
                <w:szCs w:val="24"/>
                <w:shd w:val="clear" w:color="auto" w:fill="FFFFFF"/>
              </w:rPr>
            </w:pPr>
          </w:p>
        </w:tc>
        <w:tc>
          <w:tcPr>
            <w:tcW w:w="1426" w:type="dxa"/>
            <w:vAlign w:val="center"/>
          </w:tcPr>
          <w:p w14:paraId="65D1F846">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联合体申请</w:t>
            </w:r>
          </w:p>
        </w:tc>
        <w:tc>
          <w:tcPr>
            <w:tcW w:w="6555" w:type="dxa"/>
            <w:vAlign w:val="center"/>
          </w:tcPr>
          <w:p w14:paraId="1EAC667F">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不允许</w:t>
            </w:r>
          </w:p>
        </w:tc>
      </w:tr>
      <w:tr w14:paraId="28D1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447" w:type="dxa"/>
            <w:gridSpan w:val="2"/>
            <w:vAlign w:val="center"/>
          </w:tcPr>
          <w:p w14:paraId="0AE57E07">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分值构成</w:t>
            </w:r>
          </w:p>
          <w:p w14:paraId="7C0B8E85">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(总分100分)</w:t>
            </w:r>
          </w:p>
        </w:tc>
        <w:tc>
          <w:tcPr>
            <w:tcW w:w="6555" w:type="dxa"/>
            <w:vAlign w:val="center"/>
          </w:tcPr>
          <w:p w14:paraId="2B8F4D1A">
            <w:pPr>
              <w:spacing w:line="360" w:lineRule="auto"/>
              <w:rPr>
                <w:rFonts w:ascii="仿宋" w:hAnsi="仿宋" w:eastAsia="仿宋" w:cs="仿宋"/>
                <w:sz w:val="24"/>
                <w:szCs w:val="24"/>
              </w:rPr>
            </w:pPr>
            <w:r>
              <w:rPr>
                <w:rFonts w:hint="eastAsia" w:ascii="仿宋" w:hAnsi="仿宋" w:eastAsia="仿宋" w:cs="仿宋"/>
                <w:sz w:val="24"/>
                <w:szCs w:val="24"/>
              </w:rPr>
              <w:t xml:space="preserve">企业实力： </w:t>
            </w:r>
            <w:r>
              <w:rPr>
                <w:rFonts w:hint="eastAsia" w:ascii="仿宋" w:hAnsi="仿宋" w:eastAsia="仿宋" w:cs="仿宋"/>
                <w:sz w:val="24"/>
                <w:szCs w:val="24"/>
                <w:lang w:val="en-US" w:eastAsia="zh-CN"/>
              </w:rPr>
              <w:t>5</w:t>
            </w:r>
            <w:r>
              <w:rPr>
                <w:rFonts w:hint="eastAsia" w:ascii="仿宋" w:hAnsi="仿宋" w:eastAsia="仿宋" w:cs="仿宋"/>
                <w:sz w:val="24"/>
                <w:szCs w:val="24"/>
              </w:rPr>
              <w:t>0 分</w:t>
            </w:r>
          </w:p>
          <w:p w14:paraId="61A7E23E">
            <w:pPr>
              <w:spacing w:line="360" w:lineRule="auto"/>
            </w:pPr>
            <w:r>
              <w:rPr>
                <w:rFonts w:hint="eastAsia" w:ascii="仿宋" w:hAnsi="仿宋" w:eastAsia="仿宋" w:cs="仿宋"/>
                <w:sz w:val="24"/>
                <w:szCs w:val="24"/>
              </w:rPr>
              <w:t xml:space="preserve">服务方案： </w:t>
            </w:r>
            <w:r>
              <w:rPr>
                <w:rFonts w:hint="eastAsia" w:ascii="仿宋" w:hAnsi="仿宋" w:eastAsia="仿宋" w:cs="仿宋"/>
                <w:sz w:val="24"/>
                <w:szCs w:val="24"/>
                <w:lang w:val="en-US" w:eastAsia="zh-CN"/>
              </w:rPr>
              <w:t>5</w:t>
            </w:r>
            <w:r>
              <w:rPr>
                <w:rFonts w:hint="eastAsia" w:ascii="仿宋" w:hAnsi="仿宋" w:eastAsia="仿宋" w:cs="仿宋"/>
                <w:sz w:val="24"/>
                <w:szCs w:val="24"/>
              </w:rPr>
              <w:t>0 分</w:t>
            </w:r>
          </w:p>
        </w:tc>
      </w:tr>
      <w:tr w14:paraId="0A26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447" w:type="dxa"/>
            <w:gridSpan w:val="2"/>
            <w:vAlign w:val="center"/>
          </w:tcPr>
          <w:p w14:paraId="4DC90B21">
            <w:pPr>
              <w:spacing w:line="360" w:lineRule="auto"/>
              <w:jc w:val="center"/>
              <w:rPr>
                <w:rFonts w:ascii="仿宋" w:hAnsi="仿宋" w:eastAsia="仿宋" w:cs="仿宋"/>
                <w:kern w:val="1"/>
                <w:sz w:val="24"/>
                <w:szCs w:val="24"/>
                <w:shd w:val="clear" w:color="auto" w:fill="FFFFFF"/>
              </w:rPr>
            </w:pPr>
            <w:r>
              <w:rPr>
                <w:rFonts w:hint="eastAsia" w:ascii="仿宋" w:hAnsi="仿宋" w:eastAsia="仿宋" w:cs="仿宋"/>
                <w:b/>
                <w:kern w:val="1"/>
                <w:sz w:val="24"/>
                <w:szCs w:val="24"/>
                <w:shd w:val="clear" w:color="auto" w:fill="FFFFFF"/>
              </w:rPr>
              <w:t>评分因素</w:t>
            </w:r>
          </w:p>
        </w:tc>
        <w:tc>
          <w:tcPr>
            <w:tcW w:w="6555" w:type="dxa"/>
            <w:vAlign w:val="center"/>
          </w:tcPr>
          <w:p w14:paraId="4C5D11C7">
            <w:pPr>
              <w:spacing w:line="360" w:lineRule="auto"/>
              <w:jc w:val="center"/>
              <w:rPr>
                <w:rFonts w:ascii="仿宋" w:hAnsi="仿宋" w:eastAsia="仿宋" w:cs="仿宋"/>
                <w:kern w:val="1"/>
                <w:sz w:val="24"/>
                <w:szCs w:val="24"/>
                <w:shd w:val="clear" w:color="auto" w:fill="FFFFFF"/>
              </w:rPr>
            </w:pPr>
            <w:r>
              <w:rPr>
                <w:rFonts w:hint="eastAsia" w:ascii="仿宋" w:hAnsi="仿宋" w:eastAsia="仿宋" w:cs="仿宋"/>
                <w:b/>
                <w:kern w:val="1"/>
                <w:sz w:val="24"/>
                <w:szCs w:val="24"/>
                <w:shd w:val="clear" w:color="auto" w:fill="FFFFFF"/>
              </w:rPr>
              <w:t>评分标准</w:t>
            </w:r>
          </w:p>
        </w:tc>
      </w:tr>
      <w:tr w14:paraId="718F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021" w:type="dxa"/>
            <w:vMerge w:val="restart"/>
            <w:vAlign w:val="center"/>
          </w:tcPr>
          <w:p w14:paraId="6E4E6469">
            <w:pPr>
              <w:pStyle w:val="3"/>
              <w:spacing w:line="360" w:lineRule="auto"/>
              <w:rPr>
                <w:rFonts w:ascii="仿宋" w:hAnsi="仿宋" w:eastAsia="仿宋" w:cs="仿宋"/>
                <w:szCs w:val="24"/>
                <w:shd w:val="clear" w:color="auto" w:fill="FFFFFF"/>
                <w:lang w:val="en-US"/>
              </w:rPr>
            </w:pPr>
            <w:r>
              <w:rPr>
                <w:rFonts w:hint="eastAsia" w:ascii="仿宋" w:hAnsi="仿宋" w:eastAsia="仿宋" w:cs="仿宋"/>
                <w:szCs w:val="24"/>
                <w:shd w:val="clear" w:color="auto" w:fill="FFFFFF"/>
                <w:lang w:val="en-US"/>
              </w:rPr>
              <w:t>评分标准（100分）</w:t>
            </w:r>
          </w:p>
        </w:tc>
        <w:tc>
          <w:tcPr>
            <w:tcW w:w="1426" w:type="dxa"/>
            <w:vAlign w:val="center"/>
          </w:tcPr>
          <w:p w14:paraId="6D008B05">
            <w:pPr>
              <w:pStyle w:val="3"/>
              <w:spacing w:line="360" w:lineRule="auto"/>
              <w:rPr>
                <w:rFonts w:ascii="仿宋" w:hAnsi="仿宋" w:eastAsia="仿宋" w:cs="仿宋"/>
                <w:color w:val="auto"/>
                <w:szCs w:val="24"/>
                <w:shd w:val="clear" w:color="auto" w:fill="FFFFFF"/>
                <w:lang w:val="en-US"/>
              </w:rPr>
            </w:pPr>
            <w:r>
              <w:rPr>
                <w:rFonts w:hint="eastAsia" w:ascii="仿宋" w:hAnsi="仿宋" w:eastAsia="仿宋" w:cs="仿宋"/>
                <w:color w:val="auto"/>
                <w:szCs w:val="24"/>
                <w:shd w:val="clear" w:color="auto" w:fill="FFFFFF"/>
                <w:lang w:val="en-US"/>
              </w:rPr>
              <w:t>企业实力（</w:t>
            </w:r>
            <w:r>
              <w:rPr>
                <w:rFonts w:hint="eastAsia" w:ascii="仿宋" w:hAnsi="仿宋" w:eastAsia="仿宋" w:cs="仿宋"/>
                <w:color w:val="auto"/>
                <w:szCs w:val="24"/>
                <w:shd w:val="clear" w:color="auto" w:fill="FFFFFF"/>
                <w:lang w:val="en-US" w:eastAsia="zh-CN"/>
              </w:rPr>
              <w:t>5</w:t>
            </w:r>
            <w:r>
              <w:rPr>
                <w:rFonts w:hint="eastAsia" w:ascii="仿宋" w:hAnsi="仿宋" w:eastAsia="仿宋" w:cs="仿宋"/>
                <w:color w:val="auto"/>
                <w:szCs w:val="24"/>
                <w:shd w:val="clear" w:color="auto" w:fill="FFFFFF"/>
                <w:lang w:val="en-US"/>
              </w:rPr>
              <w:t>0分）</w:t>
            </w:r>
          </w:p>
        </w:tc>
        <w:tc>
          <w:tcPr>
            <w:tcW w:w="6555" w:type="dxa"/>
            <w:vAlign w:val="center"/>
          </w:tcPr>
          <w:p w14:paraId="0B760F07">
            <w:pPr>
              <w:pStyle w:val="3"/>
              <w:spacing w:line="360" w:lineRule="auto"/>
              <w:rPr>
                <w:rFonts w:ascii="仿宋" w:hAnsi="仿宋" w:eastAsia="仿宋" w:cs="仿宋"/>
                <w:color w:val="auto"/>
                <w:szCs w:val="24"/>
                <w:shd w:val="clear" w:color="auto" w:fill="FFFFFF"/>
                <w:lang w:val="en-US"/>
              </w:rPr>
            </w:pPr>
            <w:r>
              <w:rPr>
                <w:rFonts w:hint="eastAsia" w:ascii="仿宋" w:hAnsi="仿宋" w:eastAsia="仿宋" w:cs="仿宋"/>
                <w:color w:val="auto"/>
                <w:szCs w:val="24"/>
                <w:shd w:val="clear" w:color="auto" w:fill="FFFFFF"/>
                <w:lang w:val="en-US"/>
              </w:rPr>
              <w:t>1、拟派项目负责人具有专业注册证书（一级建造师或一级造价师或咨询工程师）的且同时具有工程类高级及以上职称的，得</w:t>
            </w:r>
            <w:r>
              <w:rPr>
                <w:rFonts w:hint="eastAsia" w:ascii="仿宋" w:hAnsi="仿宋" w:eastAsia="仿宋" w:cs="仿宋"/>
                <w:color w:val="auto"/>
                <w:szCs w:val="24"/>
                <w:shd w:val="clear" w:color="auto" w:fill="FFFFFF"/>
                <w:lang w:val="en-US" w:eastAsia="zh-CN"/>
              </w:rPr>
              <w:t>20</w:t>
            </w:r>
            <w:r>
              <w:rPr>
                <w:rFonts w:hint="eastAsia" w:ascii="仿宋" w:hAnsi="仿宋" w:eastAsia="仿宋" w:cs="仿宋"/>
                <w:color w:val="auto"/>
                <w:szCs w:val="24"/>
                <w:shd w:val="clear" w:color="auto" w:fill="FFFFFF"/>
                <w:lang w:val="en-US"/>
              </w:rPr>
              <w:t>分。</w:t>
            </w:r>
          </w:p>
          <w:p w14:paraId="3248911B">
            <w:pPr>
              <w:pStyle w:val="3"/>
              <w:spacing w:line="360" w:lineRule="auto"/>
              <w:rPr>
                <w:rFonts w:ascii="仿宋" w:hAnsi="仿宋" w:eastAsia="仿宋" w:cs="仿宋"/>
                <w:color w:val="auto"/>
                <w:szCs w:val="24"/>
                <w:shd w:val="clear" w:color="auto" w:fill="FFFFFF"/>
                <w:lang w:val="en-US"/>
              </w:rPr>
            </w:pPr>
            <w:r>
              <w:rPr>
                <w:rFonts w:hint="eastAsia" w:ascii="仿宋" w:hAnsi="仿宋" w:eastAsia="仿宋" w:cs="仿宋"/>
                <w:color w:val="auto"/>
                <w:szCs w:val="24"/>
                <w:shd w:val="clear" w:color="auto" w:fill="FFFFFF"/>
                <w:lang w:val="en-US"/>
              </w:rPr>
              <w:t>2、项目组成员具有专业注册证书（一级建造师或一级造价师或</w:t>
            </w:r>
            <w:r>
              <w:rPr>
                <w:rFonts w:hint="eastAsia" w:ascii="仿宋" w:hAnsi="仿宋" w:eastAsia="仿宋" w:cs="仿宋"/>
                <w:color w:val="auto"/>
                <w:szCs w:val="24"/>
                <w:shd w:val="clear" w:color="auto" w:fill="FFFFFF"/>
                <w:lang w:val="en-US" w:eastAsia="zh-CN"/>
              </w:rPr>
              <w:t>监理</w:t>
            </w:r>
            <w:r>
              <w:rPr>
                <w:rFonts w:hint="eastAsia" w:ascii="仿宋" w:hAnsi="仿宋" w:eastAsia="仿宋" w:cs="仿宋"/>
                <w:color w:val="auto"/>
                <w:szCs w:val="24"/>
                <w:shd w:val="clear" w:color="auto" w:fill="FFFFFF"/>
                <w:lang w:val="en-US"/>
              </w:rPr>
              <w:t>工程师的）或工程类中级及以上职称的，每提供一个证书得</w:t>
            </w:r>
            <w:r>
              <w:rPr>
                <w:rFonts w:hint="eastAsia" w:ascii="仿宋" w:hAnsi="仿宋" w:eastAsia="仿宋" w:cs="仿宋"/>
                <w:color w:val="auto"/>
                <w:szCs w:val="24"/>
                <w:shd w:val="clear" w:color="auto" w:fill="FFFFFF"/>
                <w:lang w:val="en-US" w:eastAsia="zh-CN"/>
              </w:rPr>
              <w:t>15</w:t>
            </w:r>
            <w:r>
              <w:rPr>
                <w:rFonts w:hint="eastAsia" w:ascii="仿宋" w:hAnsi="仿宋" w:eastAsia="仿宋" w:cs="仿宋"/>
                <w:color w:val="auto"/>
                <w:szCs w:val="24"/>
                <w:shd w:val="clear" w:color="auto" w:fill="FFFFFF"/>
                <w:lang w:val="en-US"/>
              </w:rPr>
              <w:t>分，满分</w:t>
            </w:r>
            <w:r>
              <w:rPr>
                <w:rFonts w:hint="eastAsia" w:ascii="仿宋" w:hAnsi="仿宋" w:eastAsia="仿宋" w:cs="仿宋"/>
                <w:color w:val="auto"/>
                <w:szCs w:val="24"/>
                <w:shd w:val="clear" w:color="auto" w:fill="FFFFFF"/>
                <w:lang w:val="en-US" w:eastAsia="zh-CN"/>
              </w:rPr>
              <w:t>30</w:t>
            </w:r>
            <w:r>
              <w:rPr>
                <w:rFonts w:hint="eastAsia" w:ascii="仿宋" w:hAnsi="仿宋" w:eastAsia="仿宋" w:cs="仿宋"/>
                <w:color w:val="auto"/>
                <w:szCs w:val="24"/>
                <w:shd w:val="clear" w:color="auto" w:fill="FFFFFF"/>
                <w:lang w:val="en-US"/>
              </w:rPr>
              <w:t>分。</w:t>
            </w:r>
          </w:p>
          <w:p w14:paraId="26CD5C4D">
            <w:pPr>
              <w:pStyle w:val="3"/>
              <w:spacing w:line="360" w:lineRule="auto"/>
              <w:rPr>
                <w:rFonts w:ascii="仿宋" w:hAnsi="仿宋" w:eastAsia="仿宋" w:cs="仿宋"/>
                <w:color w:val="auto"/>
                <w:szCs w:val="24"/>
                <w:shd w:val="clear" w:color="auto" w:fill="FFFFFF"/>
                <w:lang w:val="en-US"/>
              </w:rPr>
            </w:pPr>
            <w:r>
              <w:rPr>
                <w:rFonts w:hint="eastAsia" w:ascii="仿宋" w:hAnsi="仿宋" w:eastAsia="仿宋" w:cs="仿宋"/>
                <w:color w:val="auto"/>
                <w:szCs w:val="24"/>
                <w:shd w:val="clear" w:color="auto" w:fill="FFFFFF"/>
                <w:lang w:val="en-US"/>
              </w:rPr>
              <w:t>注：提供注册证书或职称证书复印件加盖公章并提供自2024年1月1日起至少连续6个月的社保缴纳证明。</w:t>
            </w:r>
          </w:p>
        </w:tc>
      </w:tr>
      <w:tr w14:paraId="38F3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1" w:type="dxa"/>
            <w:vMerge w:val="continue"/>
            <w:vAlign w:val="center"/>
          </w:tcPr>
          <w:p w14:paraId="11FDBCF4">
            <w:pPr>
              <w:spacing w:line="360" w:lineRule="auto"/>
              <w:jc w:val="left"/>
              <w:rPr>
                <w:rFonts w:ascii="仿宋" w:hAnsi="仿宋" w:eastAsia="仿宋" w:cs="仿宋"/>
                <w:kern w:val="1"/>
                <w:sz w:val="24"/>
                <w:szCs w:val="24"/>
                <w:shd w:val="clear" w:color="auto" w:fill="FFFFFF"/>
              </w:rPr>
            </w:pPr>
          </w:p>
        </w:tc>
        <w:tc>
          <w:tcPr>
            <w:tcW w:w="1426" w:type="dxa"/>
            <w:vAlign w:val="center"/>
          </w:tcPr>
          <w:p w14:paraId="2676EE5B">
            <w:pPr>
              <w:spacing w:line="360" w:lineRule="auto"/>
              <w:jc w:val="center"/>
              <w:rPr>
                <w:rFonts w:ascii="仿宋" w:hAnsi="仿宋" w:eastAsia="仿宋" w:cs="仿宋"/>
                <w:kern w:val="1"/>
                <w:sz w:val="24"/>
                <w:szCs w:val="24"/>
                <w:shd w:val="clear" w:color="auto" w:fill="FFFFFF"/>
              </w:rPr>
            </w:pPr>
            <w:r>
              <w:rPr>
                <w:rFonts w:hint="eastAsia" w:ascii="仿宋" w:hAnsi="仿宋" w:eastAsia="仿宋" w:cs="仿宋"/>
                <w:sz w:val="24"/>
                <w:szCs w:val="24"/>
              </w:rPr>
              <w:t>服务方案（</w:t>
            </w:r>
            <w:r>
              <w:rPr>
                <w:rFonts w:hint="eastAsia" w:ascii="仿宋" w:hAnsi="仿宋" w:eastAsia="仿宋" w:cs="仿宋"/>
                <w:sz w:val="24"/>
                <w:szCs w:val="24"/>
                <w:lang w:val="en-US" w:eastAsia="zh-CN"/>
              </w:rPr>
              <w:t>5</w:t>
            </w:r>
            <w:r>
              <w:rPr>
                <w:rFonts w:hint="eastAsia" w:ascii="仿宋" w:hAnsi="仿宋" w:eastAsia="仿宋" w:cs="仿宋"/>
                <w:sz w:val="24"/>
                <w:szCs w:val="24"/>
              </w:rPr>
              <w:t>0分）</w:t>
            </w:r>
          </w:p>
        </w:tc>
        <w:tc>
          <w:tcPr>
            <w:tcW w:w="6555" w:type="dxa"/>
          </w:tcPr>
          <w:p w14:paraId="57C856E5">
            <w:pPr>
              <w:pStyle w:val="3"/>
              <w:spacing w:line="360" w:lineRule="auto"/>
              <w:rPr>
                <w:rFonts w:ascii="仿宋" w:hAnsi="仿宋" w:eastAsia="仿宋" w:cs="仿宋"/>
                <w:szCs w:val="24"/>
                <w:shd w:val="clear" w:color="auto" w:fill="FFFFFF"/>
                <w:lang w:val="en-US"/>
              </w:rPr>
            </w:pPr>
            <w:r>
              <w:rPr>
                <w:rFonts w:hint="eastAsia" w:ascii="仿宋" w:hAnsi="仿宋" w:eastAsia="仿宋" w:cs="仿宋"/>
                <w:szCs w:val="24"/>
                <w:shd w:val="clear" w:color="auto" w:fill="FFFFFF"/>
                <w:lang w:val="en-US"/>
              </w:rPr>
              <w:t>1.对项目的认知度，评委进行横向对比评分（0-</w:t>
            </w:r>
            <w:r>
              <w:rPr>
                <w:rFonts w:hint="eastAsia" w:ascii="仿宋" w:hAnsi="仿宋" w:eastAsia="仿宋" w:cs="仿宋"/>
                <w:szCs w:val="24"/>
                <w:shd w:val="clear" w:color="auto" w:fill="FFFFFF"/>
                <w:lang w:val="en-US" w:eastAsia="zh-CN"/>
              </w:rPr>
              <w:t>10</w:t>
            </w:r>
            <w:r>
              <w:rPr>
                <w:rFonts w:hint="eastAsia" w:ascii="仿宋" w:hAnsi="仿宋" w:eastAsia="仿宋" w:cs="仿宋"/>
                <w:szCs w:val="24"/>
                <w:shd w:val="clear" w:color="auto" w:fill="FFFFFF"/>
                <w:lang w:val="en-US"/>
              </w:rPr>
              <w:t>分）</w:t>
            </w:r>
          </w:p>
          <w:p w14:paraId="501861E6">
            <w:pPr>
              <w:pStyle w:val="3"/>
              <w:spacing w:line="360" w:lineRule="auto"/>
              <w:rPr>
                <w:rFonts w:ascii="仿宋" w:hAnsi="仿宋" w:eastAsia="仿宋" w:cs="仿宋"/>
                <w:szCs w:val="24"/>
                <w:shd w:val="clear" w:color="auto" w:fill="FFFFFF"/>
                <w:lang w:val="en-US"/>
              </w:rPr>
            </w:pPr>
            <w:r>
              <w:rPr>
                <w:rFonts w:hint="eastAsia" w:ascii="仿宋" w:hAnsi="仿宋" w:eastAsia="仿宋" w:cs="仿宋"/>
                <w:szCs w:val="24"/>
                <w:shd w:val="clear" w:color="auto" w:fill="FFFFFF"/>
                <w:lang w:val="en-US"/>
              </w:rPr>
              <w:t>2招标代理工作的内容、方法，评委进行横向对比评分（0-</w:t>
            </w:r>
            <w:r>
              <w:rPr>
                <w:rFonts w:hint="eastAsia" w:ascii="仿宋" w:hAnsi="仿宋" w:eastAsia="仿宋" w:cs="仿宋"/>
                <w:szCs w:val="24"/>
                <w:shd w:val="clear" w:color="auto" w:fill="FFFFFF"/>
                <w:lang w:val="en-US" w:eastAsia="zh-CN"/>
              </w:rPr>
              <w:t>10</w:t>
            </w:r>
            <w:r>
              <w:rPr>
                <w:rFonts w:hint="eastAsia" w:ascii="仿宋" w:hAnsi="仿宋" w:eastAsia="仿宋" w:cs="仿宋"/>
                <w:szCs w:val="24"/>
                <w:shd w:val="clear" w:color="auto" w:fill="FFFFFF"/>
                <w:lang w:val="en-US"/>
              </w:rPr>
              <w:t>分）</w:t>
            </w:r>
          </w:p>
          <w:p w14:paraId="0C3C890A">
            <w:pPr>
              <w:pStyle w:val="3"/>
              <w:spacing w:line="360" w:lineRule="auto"/>
              <w:rPr>
                <w:rFonts w:ascii="仿宋" w:hAnsi="仿宋" w:eastAsia="仿宋" w:cs="仿宋"/>
                <w:szCs w:val="32"/>
              </w:rPr>
            </w:pPr>
            <w:r>
              <w:rPr>
                <w:rFonts w:hint="eastAsia" w:ascii="仿宋" w:hAnsi="仿宋" w:eastAsia="仿宋" w:cs="仿宋"/>
                <w:szCs w:val="32"/>
                <w:lang w:val="en-US"/>
              </w:rPr>
              <w:t>3.</w:t>
            </w:r>
            <w:r>
              <w:rPr>
                <w:rFonts w:hint="eastAsia" w:ascii="仿宋" w:hAnsi="仿宋" w:eastAsia="仿宋" w:cs="仿宋"/>
                <w:szCs w:val="32"/>
              </w:rPr>
              <w:t>招标代理工作制度，评委进行横向对比评分（</w:t>
            </w:r>
            <w:r>
              <w:rPr>
                <w:rFonts w:hint="eastAsia" w:ascii="仿宋" w:hAnsi="仿宋" w:eastAsia="仿宋" w:cs="仿宋"/>
                <w:szCs w:val="24"/>
                <w:shd w:val="clear" w:color="auto" w:fill="FFFFFF"/>
                <w:lang w:val="en-US"/>
              </w:rPr>
              <w:t>（0</w:t>
            </w:r>
            <w:r>
              <w:rPr>
                <w:rFonts w:hint="eastAsia" w:ascii="仿宋" w:hAnsi="仿宋" w:eastAsia="仿宋" w:cs="仿宋"/>
                <w:szCs w:val="24"/>
                <w:shd w:val="clear" w:color="auto" w:fill="FFFFFF"/>
                <w:lang w:val="en-US" w:eastAsia="zh-CN"/>
              </w:rPr>
              <w:t>-10</w:t>
            </w:r>
            <w:r>
              <w:rPr>
                <w:rFonts w:hint="eastAsia" w:ascii="仿宋" w:hAnsi="仿宋" w:eastAsia="仿宋" w:cs="仿宋"/>
                <w:szCs w:val="24"/>
                <w:shd w:val="clear" w:color="auto" w:fill="FFFFFF"/>
                <w:lang w:val="en-US"/>
              </w:rPr>
              <w:t>分</w:t>
            </w:r>
            <w:r>
              <w:rPr>
                <w:rFonts w:hint="eastAsia" w:ascii="仿宋" w:hAnsi="仿宋" w:eastAsia="仿宋" w:cs="仿宋"/>
                <w:szCs w:val="32"/>
              </w:rPr>
              <w:t>）</w:t>
            </w:r>
          </w:p>
          <w:p w14:paraId="2B67BAF7">
            <w:pPr>
              <w:pStyle w:val="3"/>
              <w:spacing w:line="360" w:lineRule="auto"/>
              <w:rPr>
                <w:rFonts w:ascii="仿宋" w:hAnsi="仿宋" w:eastAsia="仿宋" w:cs="仿宋"/>
                <w:szCs w:val="32"/>
              </w:rPr>
            </w:pPr>
            <w:r>
              <w:rPr>
                <w:rFonts w:hint="eastAsia" w:ascii="仿宋" w:hAnsi="仿宋" w:eastAsia="仿宋" w:cs="仿宋"/>
                <w:szCs w:val="32"/>
                <w:lang w:val="en-US"/>
              </w:rPr>
              <w:t>4.</w:t>
            </w:r>
            <w:r>
              <w:rPr>
                <w:rFonts w:hint="eastAsia" w:ascii="仿宋" w:hAnsi="仿宋" w:eastAsia="仿宋" w:cs="仿宋"/>
                <w:szCs w:val="32"/>
              </w:rPr>
              <w:t>招标代理进度计划，评委进行横向对比评分（</w:t>
            </w:r>
            <w:r>
              <w:rPr>
                <w:rFonts w:hint="eastAsia" w:ascii="仿宋" w:hAnsi="仿宋" w:eastAsia="仿宋" w:cs="仿宋"/>
                <w:szCs w:val="24"/>
                <w:shd w:val="clear" w:color="auto" w:fill="FFFFFF"/>
                <w:lang w:val="en-US"/>
              </w:rPr>
              <w:t>（0-</w:t>
            </w:r>
            <w:r>
              <w:rPr>
                <w:rFonts w:hint="eastAsia" w:ascii="仿宋" w:hAnsi="仿宋" w:eastAsia="仿宋" w:cs="仿宋"/>
                <w:szCs w:val="24"/>
                <w:shd w:val="clear" w:color="auto" w:fill="FFFFFF"/>
                <w:lang w:val="en-US" w:eastAsia="zh-CN"/>
              </w:rPr>
              <w:t>10</w:t>
            </w:r>
            <w:r>
              <w:rPr>
                <w:rFonts w:hint="eastAsia" w:ascii="仿宋" w:hAnsi="仿宋" w:eastAsia="仿宋" w:cs="仿宋"/>
                <w:szCs w:val="24"/>
                <w:shd w:val="clear" w:color="auto" w:fill="FFFFFF"/>
                <w:lang w:val="en-US"/>
              </w:rPr>
              <w:t>分</w:t>
            </w:r>
            <w:r>
              <w:rPr>
                <w:rFonts w:hint="eastAsia" w:ascii="仿宋" w:hAnsi="仿宋" w:eastAsia="仿宋" w:cs="仿宋"/>
                <w:szCs w:val="32"/>
              </w:rPr>
              <w:t>）</w:t>
            </w:r>
          </w:p>
          <w:p w14:paraId="28251FB7">
            <w:pPr>
              <w:pStyle w:val="3"/>
              <w:spacing w:line="360" w:lineRule="auto"/>
            </w:pPr>
            <w:r>
              <w:rPr>
                <w:rFonts w:hint="eastAsia" w:ascii="仿宋" w:hAnsi="仿宋" w:eastAsia="仿宋" w:cs="仿宋"/>
                <w:szCs w:val="32"/>
                <w:lang w:val="en-US"/>
              </w:rPr>
              <w:t>5.</w:t>
            </w:r>
            <w:r>
              <w:rPr>
                <w:rFonts w:hint="eastAsia" w:ascii="仿宋" w:hAnsi="仿宋" w:eastAsia="仿宋" w:cs="仿宋"/>
                <w:szCs w:val="32"/>
              </w:rPr>
              <w:t>招标代理服务承诺，评委进行横向对比评分（</w:t>
            </w:r>
            <w:r>
              <w:rPr>
                <w:rFonts w:hint="eastAsia" w:ascii="仿宋" w:hAnsi="仿宋" w:eastAsia="仿宋" w:cs="仿宋"/>
                <w:szCs w:val="24"/>
                <w:shd w:val="clear" w:color="auto" w:fill="FFFFFF"/>
                <w:lang w:val="en-US"/>
              </w:rPr>
              <w:t>（0-</w:t>
            </w:r>
            <w:r>
              <w:rPr>
                <w:rFonts w:hint="eastAsia" w:ascii="仿宋" w:hAnsi="仿宋" w:eastAsia="仿宋" w:cs="仿宋"/>
                <w:szCs w:val="24"/>
                <w:shd w:val="clear" w:color="auto" w:fill="FFFFFF"/>
                <w:lang w:val="en-US" w:eastAsia="zh-CN"/>
              </w:rPr>
              <w:t>10</w:t>
            </w:r>
            <w:r>
              <w:rPr>
                <w:rFonts w:hint="eastAsia" w:ascii="仿宋" w:hAnsi="仿宋" w:eastAsia="仿宋" w:cs="仿宋"/>
                <w:szCs w:val="24"/>
                <w:shd w:val="clear" w:color="auto" w:fill="FFFFFF"/>
                <w:lang w:val="en-US"/>
              </w:rPr>
              <w:t>分）</w:t>
            </w:r>
            <w:r>
              <w:rPr>
                <w:rFonts w:hint="eastAsia" w:ascii="仿宋" w:hAnsi="仿宋" w:eastAsia="仿宋" w:cs="仿宋"/>
                <w:szCs w:val="32"/>
              </w:rPr>
              <w:t>）</w:t>
            </w:r>
          </w:p>
        </w:tc>
      </w:tr>
    </w:tbl>
    <w:p w14:paraId="5E3E907E"/>
    <w:p w14:paraId="26EC067C"/>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Calisto MT">
    <w:panose1 w:val="02040603050505030304"/>
    <w:charset w:val="00"/>
    <w:family w:val="auto"/>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DI2OWUxNjA1MWNlZTQ3NjJiYjk3OGE5ZTc2MWMifQ=="/>
  </w:docVars>
  <w:rsids>
    <w:rsidRoot w:val="0F143EA3"/>
    <w:rsid w:val="05CA44E8"/>
    <w:rsid w:val="0D043D23"/>
    <w:rsid w:val="0F143EA3"/>
    <w:rsid w:val="10B41CDF"/>
    <w:rsid w:val="12794AAC"/>
    <w:rsid w:val="13247EFA"/>
    <w:rsid w:val="305331A8"/>
    <w:rsid w:val="354D76FA"/>
    <w:rsid w:val="36C219BC"/>
    <w:rsid w:val="37445ABA"/>
    <w:rsid w:val="41A17341"/>
    <w:rsid w:val="41D933E3"/>
    <w:rsid w:val="4FF473FA"/>
    <w:rsid w:val="5DD5376D"/>
    <w:rsid w:val="6C6A7252"/>
    <w:rsid w:val="75461F61"/>
    <w:rsid w:val="75C612F4"/>
    <w:rsid w:val="76854CD8"/>
    <w:rsid w:val="79DB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szCs w:val="20"/>
    </w:rPr>
  </w:style>
  <w:style w:type="paragraph" w:styleId="3">
    <w:name w:val="Body Text 3"/>
    <w:basedOn w:val="1"/>
    <w:qFormat/>
    <w:uiPriority w:val="0"/>
    <w:rPr>
      <w:rFonts w:ascii="宋体" w:hAnsi="宋体"/>
      <w:kern w:val="1"/>
      <w:sz w:val="24"/>
      <w:szCs w:val="20"/>
      <w:lang w:val="zh-CN"/>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qFormat/>
    <w:uiPriority w:val="0"/>
    <w:rPr>
      <w:color w:val="666666"/>
      <w:u w:val="none"/>
    </w:rPr>
  </w:style>
  <w:style w:type="character" w:styleId="9">
    <w:name w:val="Hyperlink"/>
    <w:basedOn w:val="6"/>
    <w:qFormat/>
    <w:uiPriority w:val="0"/>
    <w:rPr>
      <w:color w:val="666666"/>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601</Words>
  <Characters>636</Characters>
  <Lines>0</Lines>
  <Paragraphs>0</Paragraphs>
  <TotalTime>39</TotalTime>
  <ScaleCrop>false</ScaleCrop>
  <LinksUpToDate>false</LinksUpToDate>
  <CharactersWithSpaces>640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2024-01-23T09:52:00Z</dcterms:created>
  <dc:creator>刘钦志</dc:creator>
  <cp:lastModifiedBy>韭菜盒子</cp:lastModifiedBy>
  <dcterms:modified xsi:type="dcterms:W3CDTF">2024-12-26T07:32:51Z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7FEDFD849CEC4E099BDEA47000639340_13</vt:lpwstr>
  </property>
</Properties>
</file>