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关于行政事业性国有资产年度报告审议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意见落实情况的报告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萧县财政局（国资委）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萧县十八届人大常委会十四次会议上，县人大常委会听取了刘学东局长代表县政府所作的《关于萧县2022年度行政事业性国有资产管理情况的专项报告》，书面听取了《关于萧县2022年度国有资产管理情况的综合报告》，并进行了审议，提出了审议意见。现将审议意见落实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一、夯实基础工作，提高行政事业性国有资产管理水平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，按照省市财政部门要求，组织了本辖区行政事业单位严格执行政府会计准则制度、资产管理等相关规章制度，结合财务账、资产账、资产卡片信息、资产报告及资产实物情况等，围绕单位基础信息管理、会计核算、资产日常管理等方面全面梳理摸清问题，分类建立台账、形成问题清单。对梳理出来的问题实行清单化销号管理，切实抓好问题解决，夯实资产管理基础工作。行政事业性国有资产管理工作将以此次问题清理为契机，进一步完善涵盖国有资产配置、使用、处置等各环节的管理办法，常态长效推进资产规范管理，加强日常监督、定期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二、大力开展国有资产清查，理清产权关系，建立低效闲置资产处置办法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按照上级要求，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2023年5月，组织开展了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行政事业单位房屋资产清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经县政府同意，</w:t>
      </w:r>
      <w:r>
        <w:rPr>
          <w:rFonts w:hint="eastAsia" w:ascii="仿宋" w:hAnsi="仿宋" w:eastAsia="仿宋"/>
          <w:sz w:val="32"/>
          <w:szCs w:val="32"/>
        </w:rPr>
        <w:t>制定了《萧县行政事业单位房屋资产清查及处置专项行动方案》（萧政办秘[2023]7号），明确了工作目标和要求，规定了清查内容，提出了实施步骤。据不完全统计：全县行政事业单位房屋资产账面价值1963.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3万元，整体面积22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6.10</w:t>
      </w:r>
      <w:r>
        <w:rPr>
          <w:rFonts w:hint="eastAsia" w:ascii="仿宋" w:hAnsi="仿宋" w:eastAsia="仿宋"/>
          <w:sz w:val="32"/>
          <w:szCs w:val="32"/>
        </w:rPr>
        <w:t>万平方米，其中：自用17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万平方米、出租22.31万平方米、出借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2.02</w:t>
      </w:r>
      <w:r>
        <w:rPr>
          <w:rFonts w:hint="eastAsia" w:ascii="仿宋" w:hAnsi="仿宋" w:eastAsia="仿宋"/>
          <w:sz w:val="32"/>
          <w:szCs w:val="32"/>
        </w:rPr>
        <w:t>万平方米、闲置1.48万平方米、其他3.76万平方米。</w:t>
      </w:r>
      <w:r>
        <w:rPr>
          <w:rFonts w:hint="eastAsia" w:ascii="仿宋" w:hAnsi="仿宋" w:eastAsia="仿宋"/>
          <w:sz w:val="32"/>
          <w:szCs w:val="32"/>
          <w:lang w:eastAsia="zh-CN"/>
        </w:rPr>
        <w:t>融资平台公司</w:t>
      </w:r>
      <w:r>
        <w:rPr>
          <w:rFonts w:hint="eastAsia" w:ascii="仿宋" w:hAnsi="仿宋" w:eastAsia="仿宋"/>
          <w:sz w:val="32"/>
          <w:szCs w:val="32"/>
        </w:rPr>
        <w:t>房屋资产账面价值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29.95</w:t>
      </w:r>
      <w:r>
        <w:rPr>
          <w:rFonts w:hint="eastAsia" w:ascii="仿宋" w:hAnsi="仿宋" w:eastAsia="仿宋"/>
          <w:sz w:val="32"/>
          <w:szCs w:val="32"/>
        </w:rPr>
        <w:t>万元，整体面积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128.12</w:t>
      </w:r>
      <w:r>
        <w:rPr>
          <w:rFonts w:hint="eastAsia" w:ascii="仿宋" w:hAnsi="仿宋" w:eastAsia="仿宋"/>
          <w:sz w:val="32"/>
          <w:szCs w:val="32"/>
        </w:rPr>
        <w:t>万平方米，其中：自用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1.68</w:t>
      </w:r>
      <w:r>
        <w:rPr>
          <w:rFonts w:hint="eastAsia" w:ascii="仿宋" w:hAnsi="仿宋" w:eastAsia="仿宋"/>
          <w:sz w:val="32"/>
          <w:szCs w:val="32"/>
        </w:rPr>
        <w:t>万平方米、出租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69.10</w:t>
      </w:r>
      <w:r>
        <w:rPr>
          <w:rFonts w:hint="eastAsia" w:ascii="仿宋" w:hAnsi="仿宋" w:eastAsia="仿宋"/>
          <w:sz w:val="32"/>
          <w:szCs w:val="32"/>
        </w:rPr>
        <w:t>万平方米、闲置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16.80</w:t>
      </w:r>
      <w:r>
        <w:rPr>
          <w:rFonts w:hint="eastAsia" w:ascii="仿宋" w:hAnsi="仿宋" w:eastAsia="仿宋"/>
          <w:sz w:val="32"/>
          <w:szCs w:val="32"/>
        </w:rPr>
        <w:t>万平方米、其他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9.42</w:t>
      </w:r>
      <w:r>
        <w:rPr>
          <w:rFonts w:hint="eastAsia" w:ascii="仿宋" w:hAnsi="仿宋" w:eastAsia="仿宋"/>
          <w:sz w:val="32"/>
          <w:szCs w:val="32"/>
        </w:rPr>
        <w:t>万平方米。下一步将进入抽查核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阶段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分类及处置阶段和总结报告阶段。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pacing w:val="5"/>
          <w:kern w:val="0"/>
          <w:sz w:val="32"/>
          <w:szCs w:val="32"/>
        </w:rPr>
        <w:t>加强和规范往来款项管理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出台萧县行政事业单位往来款管理办法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针对全县行政事业单位</w:t>
      </w:r>
      <w:r>
        <w:rPr>
          <w:rFonts w:hint="eastAsia" w:ascii="仿宋" w:hAnsi="仿宋" w:eastAsia="仿宋" w:cs="宋体"/>
          <w:b w:val="0"/>
          <w:bCs w:val="0"/>
          <w:color w:val="auto"/>
          <w:spacing w:val="5"/>
          <w:kern w:val="0"/>
          <w:sz w:val="32"/>
          <w:szCs w:val="32"/>
          <w:lang w:eastAsia="zh-CN"/>
        </w:rPr>
        <w:t>往来款项管理混乱、长期不清理等现象，县财政局党委会研究制定了</w:t>
      </w:r>
      <w:r>
        <w:rPr>
          <w:rFonts w:hint="eastAsia" w:ascii="仿宋" w:hAnsi="仿宋" w:eastAsia="仿宋"/>
          <w:bCs/>
          <w:sz w:val="32"/>
          <w:szCs w:val="32"/>
        </w:rPr>
        <w:t>《</w:t>
      </w:r>
      <w:r>
        <w:rPr>
          <w:rFonts w:hint="eastAsia" w:ascii="仿宋" w:hAnsi="仿宋" w:eastAsia="仿宋"/>
          <w:spacing w:val="5"/>
          <w:kern w:val="0"/>
          <w:sz w:val="32"/>
          <w:szCs w:val="32"/>
        </w:rPr>
        <w:t>萧县行政事业单位往来款项管理办法</w:t>
      </w:r>
      <w:r>
        <w:rPr>
          <w:rFonts w:hint="eastAsia" w:ascii="仿宋" w:hAnsi="仿宋" w:eastAsia="仿宋"/>
          <w:bCs/>
          <w:sz w:val="32"/>
          <w:szCs w:val="32"/>
        </w:rPr>
        <w:t>》（萧财资[2023]29号），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明确规定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各单位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对预付、垫付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、借出等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各类应收款项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实行“终身负责制”，按照“谁签批、谁负责”的原则，纳入单位领导离职审计范畴。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“谁经手业务谁负责催收”的管理制度，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  <w:lang w:eastAsia="zh-CN"/>
        </w:rPr>
        <w:t>压实审批人、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经办人员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责任，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及时清理结算，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避免长期挂账。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对各类应付款项，应及时清理，有明确归还期限或支付时间的，应按时办理结算；没有明确时间的，原则上在事项发生当年年底前全部结清。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单位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干部职工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离职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val="en-US" w:eastAsia="zh-CN"/>
        </w:rPr>
        <w:t>、调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、退休前应当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及时结清个人的各项借支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预支款项；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对其经办的各项应收款项业务应办理交接手续，落实催收、结报责任。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各单位要加强往来款项管理，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在及时做好日常结算工作的同时，要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定期开展全面清理，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原则上每半年一次。对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挂账时间超过一年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的往来款项，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要列入重点清理范围。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各单位要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强化责任意识和风险意识，健全完善管理制度，建立常态化动态清理机制，进一步规范会计核算，确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保会计信息真实、准确和资金安全，并于每年2月底前向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财政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</w:rPr>
        <w:t>报送上一年度往来款项清理处置情况</w:t>
      </w:r>
      <w:r>
        <w:rPr>
          <w:rFonts w:hint="eastAsia" w:ascii="仿宋" w:hAnsi="仿宋" w:eastAsia="仿宋" w:cs="Times New Roman"/>
          <w:b w:val="0"/>
          <w:bCs w:val="0"/>
          <w:color w:val="auto"/>
          <w:spacing w:val="5"/>
          <w:kern w:val="0"/>
          <w:sz w:val="32"/>
          <w:szCs w:val="32"/>
          <w:lang w:eastAsia="zh-CN"/>
        </w:rPr>
        <w:t>，大力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推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往来款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</w:rPr>
        <w:t>清理工作常态化、规范化、制度化</w:t>
      </w:r>
      <w:r>
        <w:rPr>
          <w:rFonts w:hint="eastAsia" w:ascii="仿宋" w:hAnsi="仿宋" w:eastAsia="仿宋" w:cs="Times New Roman"/>
          <w:color w:val="auto"/>
          <w:spacing w:val="5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四、加快政府公物仓建设，创新国有资产管理模式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我县于2022年11月1日召开了“全县政府公物仓建设动员大会”</w:t>
      </w:r>
      <w:r>
        <w:rPr>
          <w:rFonts w:hint="eastAsia" w:ascii="仿宋" w:hAnsi="仿宋" w:eastAsia="仿宋"/>
          <w:sz w:val="32"/>
          <w:szCs w:val="32"/>
          <w:lang w:eastAsia="zh-CN"/>
        </w:rPr>
        <w:t>，并为公物仓揭牌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选择政务新区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A座1楼原公共资源交易中心招标大厅作为政府公物仓1号仓址，</w:t>
      </w:r>
      <w:r>
        <w:rPr>
          <w:rFonts w:hint="eastAsia" w:ascii="仿宋" w:hAnsi="仿宋" w:eastAsia="仿宋"/>
          <w:sz w:val="32"/>
          <w:szCs w:val="32"/>
        </w:rPr>
        <w:t>从此我县政府公物仓建设进入运行阶段。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公物仓运行之后，</w:t>
      </w:r>
      <w:r>
        <w:rPr>
          <w:rFonts w:hint="eastAsia" w:ascii="仿宋" w:hAnsi="仿宋" w:eastAsia="仿宋"/>
          <w:sz w:val="32"/>
          <w:szCs w:val="32"/>
          <w:lang w:eastAsia="zh-CN"/>
        </w:rPr>
        <w:t>充分借鉴省内外先进做法，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并结合各单位实际情况，依据</w:t>
      </w:r>
      <w:r>
        <w:rPr>
          <w:rFonts w:hint="eastAsia" w:ascii="仿宋" w:hAnsi="仿宋" w:eastAsia="仿宋"/>
          <w:sz w:val="32"/>
          <w:szCs w:val="32"/>
        </w:rPr>
        <w:t>《行政事业性国有资产管理条例》、《党政机关厉行节约反对浪费条例》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《安徽省省级政府公物仓管理暂行办法》</w:t>
      </w:r>
      <w:r>
        <w:rPr>
          <w:rFonts w:hint="eastAsia" w:ascii="仿宋" w:hAnsi="仿宋" w:eastAsia="仿宋"/>
          <w:sz w:val="32"/>
          <w:szCs w:val="32"/>
        </w:rPr>
        <w:t>等有关法规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，经县</w:t>
      </w:r>
      <w:r>
        <w:rPr>
          <w:rFonts w:hint="eastAsia" w:ascii="仿宋" w:hAnsi="仿宋" w:eastAsia="仿宋"/>
          <w:sz w:val="32"/>
          <w:szCs w:val="32"/>
          <w:lang w:eastAsia="zh-CN"/>
        </w:rPr>
        <w:t>政府第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16次常务会议研究通过了《萧县县级政府公物仓管理暂行办法》，县财政局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制定了公物仓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工作流程、业务指南等各项规章制度；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2023年5月印发了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《萧县政府公物仓业务审批流程》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23〕49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)，规范了全县行政事业单位申请入库、出库、借用、归还的审批流程及相关表格。根据省市财政部门要求，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制定了萧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县政府公务仓安全管理规范。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2023年8月县编委批准成立萧县政府公物仓管理中心，股级建制，编制7人。我县政府公物仓建设刚刚起步，各项规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章制度将在实践中不断规范和完善，同时要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加强业务培训和廉洁教育，建设一支业务精、能力强、干净干事的公物仓管理干部队伍。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mNmMzI0YjA0MzAyOTJlNDBjODE1ZTdhNWEyNmQifQ=="/>
  </w:docVars>
  <w:rsids>
    <w:rsidRoot w:val="7C98743E"/>
    <w:rsid w:val="000E0194"/>
    <w:rsid w:val="02076A76"/>
    <w:rsid w:val="120E6782"/>
    <w:rsid w:val="1F077495"/>
    <w:rsid w:val="27A15F33"/>
    <w:rsid w:val="2AA31E8F"/>
    <w:rsid w:val="4ADB7FE1"/>
    <w:rsid w:val="4B29623D"/>
    <w:rsid w:val="56257429"/>
    <w:rsid w:val="6312641A"/>
    <w:rsid w:val="6E204C26"/>
    <w:rsid w:val="6E2673E6"/>
    <w:rsid w:val="797004B7"/>
    <w:rsid w:val="7C9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qFormat/>
    <w:uiPriority w:val="99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2023-11-02T01:27:00Z</dcterms:created>
  <dc:creator>W</dc:creator>
  <cp:lastModifiedBy>W</cp:lastModifiedBy>
  <dcterms:modified xsi:type="dcterms:W3CDTF">2024-01-15T06:10:08Z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71F3E7B4D91A4B7B9A4F1A13BDF89A1B_13</vt:lpwstr>
  </property>
</Properties>
</file>