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7"/>
        <w:gridCol w:w="803"/>
        <w:gridCol w:w="573"/>
        <w:gridCol w:w="1830"/>
        <w:gridCol w:w="1872"/>
        <w:gridCol w:w="2409"/>
        <w:gridCol w:w="566"/>
        <w:gridCol w:w="526"/>
        <w:gridCol w:w="893"/>
        <w:gridCol w:w="3000"/>
        <w:gridCol w:w="2041"/>
      </w:tblGrid>
      <w:tr w14:paraId="544B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 w:hRule="atLeast"/>
        </w:trPr>
        <w:tc>
          <w:tcPr>
            <w:tcW w:w="34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C6A8E1">
            <w:pPr>
              <w:keepNext w:val="0"/>
              <w:keepLines w:val="0"/>
              <w:widowControl/>
              <w:suppressLineNumbers w:val="0"/>
              <w:spacing w:before="0" w:beforeAutospacing="0" w:after="0" w:afterAutospacing="0"/>
              <w:ind w:left="0" w:right="0" w:firstLine="0"/>
              <w:jc w:val="center"/>
              <w:textAlignment w:val="center"/>
              <w:rPr>
                <w:rFonts w:ascii="方正黑体_GBK" w:hAnsi="方正黑体_GBK" w:eastAsia="方正黑体_GBK" w:cs="方正黑体_GBK"/>
                <w:i w:val="0"/>
                <w:iCs w:val="0"/>
                <w:caps w:val="0"/>
                <w:color w:val="000000"/>
                <w:spacing w:val="0"/>
                <w:sz w:val="20"/>
                <w:szCs w:val="20"/>
                <w:u w:val="none"/>
              </w:rPr>
            </w:pPr>
            <w:bookmarkStart w:id="0" w:name="_GoBack"/>
            <w:bookmarkEnd w:id="0"/>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序</w:t>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br w:type="textWrapping"/>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号</w:t>
            </w:r>
          </w:p>
        </w:tc>
        <w:tc>
          <w:tcPr>
            <w:tcW w:w="9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F21350">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公开领域（编码）</w:t>
            </w:r>
          </w:p>
        </w:tc>
        <w:tc>
          <w:tcPr>
            <w:tcW w:w="142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1B891B">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公开事项</w:t>
            </w:r>
          </w:p>
        </w:tc>
        <w:tc>
          <w:tcPr>
            <w:tcW w:w="259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14A18F">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公开内容</w:t>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br w:type="textWrapping"/>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（要素）</w:t>
            </w:r>
          </w:p>
        </w:tc>
        <w:tc>
          <w:tcPr>
            <w:tcW w:w="330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6D743D">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w:t>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br w:type="textWrapping"/>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依据</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59DB80">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w:t>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br w:type="textWrapping"/>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时限</w:t>
            </w: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029A5E">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w:t>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br w:type="textWrapping"/>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主体</w:t>
            </w: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FF06C4">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公开</w:t>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br w:type="textWrapping"/>
            </w: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渠道和载体</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FA184C">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18"/>
                <w:szCs w:val="18"/>
                <w:u w:val="none"/>
              </w:rPr>
            </w:pPr>
            <w:r>
              <w:rPr>
                <w:rFonts w:hint="eastAsia" w:ascii="方正黑体_GBK" w:hAnsi="方正黑体_GBK" w:eastAsia="方正黑体_GBK" w:cs="方正黑体_GBK"/>
                <w:i w:val="0"/>
                <w:iCs w:val="0"/>
                <w:caps w:val="0"/>
                <w:color w:val="000000"/>
                <w:spacing w:val="0"/>
                <w:kern w:val="0"/>
                <w:sz w:val="18"/>
                <w:szCs w:val="18"/>
                <w:u w:val="none"/>
                <w:lang w:val="en-US" w:eastAsia="zh-CN" w:bidi="ar"/>
              </w:rPr>
              <w:t>咨询电话</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1274524">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18"/>
                <w:szCs w:val="18"/>
                <w:u w:val="none"/>
              </w:rPr>
            </w:pPr>
            <w:r>
              <w:rPr>
                <w:rFonts w:hint="eastAsia" w:ascii="方正黑体_GBK" w:hAnsi="方正黑体_GBK" w:eastAsia="方正黑体_GBK" w:cs="方正黑体_GBK"/>
                <w:i w:val="0"/>
                <w:iCs w:val="0"/>
                <w:caps w:val="0"/>
                <w:color w:val="000000"/>
                <w:spacing w:val="0"/>
                <w:kern w:val="0"/>
                <w:sz w:val="18"/>
                <w:szCs w:val="18"/>
                <w:u w:val="none"/>
                <w:lang w:val="en-US" w:eastAsia="zh-CN" w:bidi="ar"/>
              </w:rPr>
              <w:t>网上咨询方式</w:t>
            </w:r>
          </w:p>
        </w:tc>
      </w:tr>
      <w:tr w14:paraId="0BC3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A0D040B">
            <w:pPr>
              <w:jc w:val="center"/>
              <w:rPr>
                <w:rFonts w:hint="eastAsia" w:ascii="方正黑体_GBK" w:hAnsi="方正黑体_GBK" w:eastAsia="方正黑体_GBK" w:cs="方正黑体_GBK"/>
                <w:i w:val="0"/>
                <w:iCs w:val="0"/>
                <w:caps w:val="0"/>
                <w:color w:val="000000"/>
                <w:spacing w:val="0"/>
                <w:sz w:val="20"/>
                <w:szCs w:val="20"/>
                <w:u w:val="none"/>
              </w:rPr>
            </w:pPr>
          </w:p>
        </w:tc>
        <w:tc>
          <w:tcPr>
            <w:tcW w:w="9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D70E21">
            <w:pPr>
              <w:jc w:val="center"/>
              <w:rPr>
                <w:rFonts w:hint="eastAsia" w:ascii="方正黑体_GBK" w:hAnsi="方正黑体_GBK" w:eastAsia="方正黑体_GBK" w:cs="方正黑体_GBK"/>
                <w:i w:val="0"/>
                <w:iCs w:val="0"/>
                <w:caps w:val="0"/>
                <w:color w:val="000000"/>
                <w:spacing w:val="0"/>
                <w:sz w:val="20"/>
                <w:szCs w:val="20"/>
                <w:u w:val="none"/>
              </w:rPr>
            </w:pPr>
          </w:p>
        </w:tc>
        <w:tc>
          <w:tcPr>
            <w:tcW w:w="63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D0081E">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一级事项（编码）</w:t>
            </w:r>
          </w:p>
        </w:tc>
        <w:tc>
          <w:tcPr>
            <w:tcW w:w="7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22D979">
            <w:pPr>
              <w:keepNext w:val="0"/>
              <w:keepLines w:val="0"/>
              <w:widowControl/>
              <w:suppressLineNumbers w:val="0"/>
              <w:spacing w:before="0" w:beforeAutospacing="0" w:after="0" w:afterAutospacing="0"/>
              <w:ind w:left="0" w:right="0" w:firstLine="0"/>
              <w:jc w:val="center"/>
              <w:textAlignment w:val="center"/>
              <w:rPr>
                <w:rFonts w:hint="eastAsia" w:ascii="方正黑体_GBK" w:hAnsi="方正黑体_GBK" w:eastAsia="方正黑体_GBK" w:cs="方正黑体_GBK"/>
                <w:i w:val="0"/>
                <w:iCs w:val="0"/>
                <w:caps w:val="0"/>
                <w:color w:val="000000"/>
                <w:spacing w:val="0"/>
                <w:sz w:val="20"/>
                <w:szCs w:val="20"/>
                <w:u w:val="none"/>
              </w:rPr>
            </w:pPr>
            <w:r>
              <w:rPr>
                <w:rFonts w:hint="eastAsia" w:ascii="方正黑体_GBK" w:hAnsi="方正黑体_GBK" w:eastAsia="方正黑体_GBK" w:cs="方正黑体_GBK"/>
                <w:i w:val="0"/>
                <w:iCs w:val="0"/>
                <w:caps w:val="0"/>
                <w:color w:val="000000"/>
                <w:spacing w:val="0"/>
                <w:kern w:val="0"/>
                <w:sz w:val="20"/>
                <w:szCs w:val="20"/>
                <w:u w:val="none"/>
                <w:lang w:val="en-US" w:eastAsia="zh-CN" w:bidi="ar"/>
              </w:rPr>
              <w:t>二级事项                （编码）</w:t>
            </w:r>
          </w:p>
        </w:tc>
        <w:tc>
          <w:tcPr>
            <w:tcW w:w="259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0AFD95E">
            <w:pPr>
              <w:jc w:val="center"/>
              <w:rPr>
                <w:rFonts w:hint="eastAsia" w:ascii="方正黑体_GBK" w:hAnsi="方正黑体_GBK" w:eastAsia="方正黑体_GBK" w:cs="方正黑体_GBK"/>
                <w:i w:val="0"/>
                <w:iCs w:val="0"/>
                <w:caps w:val="0"/>
                <w:color w:val="000000"/>
                <w:spacing w:val="0"/>
                <w:sz w:val="20"/>
                <w:szCs w:val="20"/>
                <w:u w:val="none"/>
              </w:rPr>
            </w:pPr>
          </w:p>
        </w:tc>
        <w:tc>
          <w:tcPr>
            <w:tcW w:w="330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F8EF5D">
            <w:pPr>
              <w:jc w:val="center"/>
              <w:rPr>
                <w:rFonts w:hint="eastAsia" w:ascii="方正黑体_GBK" w:hAnsi="方正黑体_GBK" w:eastAsia="方正黑体_GBK" w:cs="方正黑体_GBK"/>
                <w:i w:val="0"/>
                <w:iCs w:val="0"/>
                <w:caps w:val="0"/>
                <w:color w:val="000000"/>
                <w:spacing w:val="0"/>
                <w:sz w:val="20"/>
                <w:szCs w:val="20"/>
                <w:u w:val="none"/>
              </w:rPr>
            </w:pP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391392">
            <w:pPr>
              <w:jc w:val="center"/>
              <w:rPr>
                <w:rFonts w:hint="eastAsia" w:ascii="方正黑体_GBK" w:hAnsi="方正黑体_GBK" w:eastAsia="方正黑体_GBK" w:cs="方正黑体_GBK"/>
                <w:i w:val="0"/>
                <w:iCs w:val="0"/>
                <w:caps w:val="0"/>
                <w:color w:val="000000"/>
                <w:spacing w:val="0"/>
                <w:sz w:val="20"/>
                <w:szCs w:val="20"/>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3119A4">
            <w:pPr>
              <w:jc w:val="center"/>
              <w:rPr>
                <w:rFonts w:hint="eastAsia" w:ascii="方正黑体_GBK" w:hAnsi="方正黑体_GBK" w:eastAsia="方正黑体_GBK" w:cs="方正黑体_GBK"/>
                <w:i w:val="0"/>
                <w:iCs w:val="0"/>
                <w:caps w:val="0"/>
                <w:color w:val="000000"/>
                <w:spacing w:val="0"/>
                <w:sz w:val="20"/>
                <w:szCs w:val="20"/>
                <w:u w:val="none"/>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283F97">
            <w:pPr>
              <w:jc w:val="center"/>
              <w:rPr>
                <w:rFonts w:hint="eastAsia" w:ascii="方正黑体_GBK" w:hAnsi="方正黑体_GBK" w:eastAsia="方正黑体_GBK" w:cs="方正黑体_GBK"/>
                <w:i w:val="0"/>
                <w:iCs w:val="0"/>
                <w:caps w:val="0"/>
                <w:color w:val="000000"/>
                <w:spacing w:val="0"/>
                <w:sz w:val="20"/>
                <w:szCs w:val="20"/>
                <w:u w:val="none"/>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824604">
            <w:pPr>
              <w:jc w:val="center"/>
              <w:rPr>
                <w:rFonts w:hint="eastAsia" w:ascii="方正黑体_GBK" w:hAnsi="方正黑体_GBK" w:eastAsia="方正黑体_GBK" w:cs="方正黑体_GBK"/>
                <w:i w:val="0"/>
                <w:iCs w:val="0"/>
                <w:caps w:val="0"/>
                <w:color w:val="000000"/>
                <w:spacing w:val="0"/>
                <w:sz w:val="18"/>
                <w:szCs w:val="18"/>
                <w:u w:val="none"/>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3A7720">
            <w:pPr>
              <w:jc w:val="center"/>
              <w:rPr>
                <w:rFonts w:hint="eastAsia" w:ascii="方正黑体_GBK" w:hAnsi="方正黑体_GBK" w:eastAsia="方正黑体_GBK" w:cs="方正黑体_GBK"/>
                <w:i w:val="0"/>
                <w:iCs w:val="0"/>
                <w:caps w:val="0"/>
                <w:color w:val="000000"/>
                <w:spacing w:val="0"/>
                <w:sz w:val="18"/>
                <w:szCs w:val="18"/>
                <w:u w:val="none"/>
              </w:rPr>
            </w:pPr>
          </w:p>
        </w:tc>
      </w:tr>
      <w:tr w14:paraId="42C1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90"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49BD64">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w:t>
            </w:r>
          </w:p>
        </w:tc>
        <w:tc>
          <w:tcPr>
            <w:tcW w:w="9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16A92E">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卫生健康</w:t>
            </w:r>
          </w:p>
        </w:tc>
        <w:tc>
          <w:tcPr>
            <w:tcW w:w="64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29EC0A">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行政强制类事项</w:t>
            </w:r>
          </w:p>
        </w:tc>
        <w:tc>
          <w:tcPr>
            <w:tcW w:w="7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6DA56AC">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法律法规和政策文件</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3BED4F">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1.对消毒剂和消毒器械及生产经营单位监管过程中涉及的行政强制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2.对涉及饮用水卫生安全产品和饮用水供水单位监管过程中涉及的行政强制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3.对采供血机构监管过程中涉及的行政强制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4.对医师及医疗机构的监管过程中涉及的行政强制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5.对突发公共卫生事件应急处理中医疗机构的监管过程中涉及的行政强制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6.对医疗废物收集、运送、贮存、处置活动中的疾病防治工作的监管过程中涉及的行政强制</w:t>
            </w:r>
          </w:p>
        </w:tc>
        <w:tc>
          <w:tcPr>
            <w:tcW w:w="32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25F913">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【法律】《中华人民共和国行政强制法》（中华人民共和国主席令第四十九号）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【法律】《中华人民共和国传染病防治法》（2013年6月29日修正）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【法律】《中华人民共和国献血法》（中华人民共和国主席令第93号）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【法律】《中华人民共和国医师法》（中华人民共和国主席令第5号 2009年8月27日修正）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【法律】《中华人民共和国中医药法》（中华人民共和国主席令第59号）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【行政法规】《中华人民共和国传染病防治法实施办法》（中华人民共和国卫生部令第17号）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【行政法规】《血液制品管理条例》（中华人民共和国国务院令第208号 2016年2月6日）</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【行政法规】《艾滋病防治条例》（中华人民共和国国务院令第457号）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【行政法规】《乡村医生从业管理条例》（中华人民共和国国务院令第386号）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【行政法规】《人体器官移植条例》（中华人民共和国国务院令第491号）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【行政法规】《医疗机构管理条例》（中华人民共和国国务院令第149号 2016年2月6日修改）</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【行政法规】《突发公共卫生事件应急条例》（中华人民共和国国务院令第376号 2011年1月8日修订）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【行政法规】《医疗废物管理条例》（中华人民共和国国务院令第380号）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【部门规章及规范性文件】《消毒管理办法》（中华人民共和国卫生部令第27号 2017年12月26日修订）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【部门规章及规范性文件】《血站管理办法》（中华人民共和国卫生部令第44号发布 2017年12月26日修订）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【部门规章及规范性文件】《单采血浆站管理办法》 （中华人民共和国卫生部令第58号发布 2016年1月19日修正）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【部门规章及规范性文件】《医师执业注册管理办法》（中华人民共和国国家卫生和计划生育委员会令第13号）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【部门规章及规范性文件】《外国医师来华短期行医暂行管理办法》（1992年10月7日卫生部令第24号 2016年1月19日修改）</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【部门规章及规范性文件】《香港、澳门特别行政区医师在内地短期行医管理规定》（中华人民共和国卫生部令第62号）</w:t>
            </w:r>
          </w:p>
        </w:tc>
        <w:tc>
          <w:tcPr>
            <w:tcW w:w="7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66E4636">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自信息形成或者变更之日起20个工作日内予以公开</w:t>
            </w:r>
          </w:p>
        </w:tc>
        <w:tc>
          <w:tcPr>
            <w:tcW w:w="6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C75F528">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萧县卫生健康委员会</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3FE7E7">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政府网站 </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2977C9">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综合监督股：电话0557-5016560            卫生健康监督执法大队：电话0557-5020230</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医政股电话：0557-5021910</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E24DD9">
            <w:pPr>
              <w:keepNext w:val="0"/>
              <w:keepLines w:val="0"/>
              <w:widowControl/>
              <w:suppressLineNumbers w:val="0"/>
              <w:spacing w:before="0" w:beforeAutospacing="0" w:after="180" w:afterAutospacing="0"/>
              <w:ind w:left="0" w:right="0" w:firstLine="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邮箱：</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xxwsjkwbgs@163.com</w:t>
            </w:r>
          </w:p>
        </w:tc>
      </w:tr>
      <w:tr w14:paraId="25AB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90"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86F236">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2</w:t>
            </w:r>
          </w:p>
        </w:tc>
        <w:tc>
          <w:tcPr>
            <w:tcW w:w="9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DE1062">
            <w:pPr>
              <w:jc w:val="center"/>
              <w:rPr>
                <w:rFonts w:hint="eastAsia" w:ascii="宋体" w:hAnsi="宋体" w:eastAsia="宋体" w:cs="宋体"/>
                <w:i w:val="0"/>
                <w:iCs w:val="0"/>
                <w:caps w:val="0"/>
                <w:color w:val="000000"/>
                <w:spacing w:val="0"/>
                <w:sz w:val="20"/>
                <w:szCs w:val="20"/>
                <w:u w:val="none"/>
              </w:rPr>
            </w:pPr>
          </w:p>
        </w:tc>
        <w:tc>
          <w:tcPr>
            <w:tcW w:w="6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766F31">
            <w:pPr>
              <w:jc w:val="center"/>
              <w:rPr>
                <w:rFonts w:hint="eastAsia" w:ascii="宋体" w:hAnsi="宋体" w:eastAsia="宋体" w:cs="宋体"/>
                <w:i w:val="0"/>
                <w:iCs w:val="0"/>
                <w:caps w:val="0"/>
                <w:color w:val="000000"/>
                <w:spacing w:val="0"/>
                <w:sz w:val="20"/>
                <w:szCs w:val="20"/>
                <w:u w:val="none"/>
              </w:rPr>
            </w:pPr>
          </w:p>
        </w:tc>
        <w:tc>
          <w:tcPr>
            <w:tcW w:w="7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2E1271">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结果信息        </w:t>
            </w:r>
          </w:p>
        </w:tc>
        <w:tc>
          <w:tcPr>
            <w:tcW w:w="25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DD78F5">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1.对消毒剂和消毒器械及生产经营单位监管过程中涉及的行政强制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2.对涉及饮用水卫生安全产品和饮用水供水单位监管过程中涉及的行政强制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3.对采供血机构监管过程中涉及的行政强制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4.对医师及医疗机构的监管过程中涉及的行政强制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5.对突发公共卫生事件应急处理中医疗机构的监管过程中涉及的行政强制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6.对医疗废物收集、运送、贮存、处置活动中的疾病防治工作的监管过程中涉及的行政强制</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004DA1">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【法律】《中华人民共和国行政强制法》（中华人民共和国主席令第四十九号）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【法律】《中华人民共和国传染病防治法》（2013年6月29日修正）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【法律】《中华人民共和国献血法》（中华人民共和国主席令第93号）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【法律】《中华人民共和国医师法》（中华人民共和国主席令第5号 2009年8月27日修正）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【法律】《中华人民共和国中医药法》（中华人民共和国主席令第59号）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【行政法规】《中华人民共和国传染病防治法实施办法》（中华人民共和国卫生部令第17号）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【行政法规】《血液制品管理条例》（中华人民共和国国务院令第208号 2016年2月6日）</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【行政法规】《艾滋病防治条例》（中华人民共和国国务院令第457号）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【行政法规】《乡村医生从业管理条例》（中华人民共和国国务院令第386号）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【行政法规】《人体器官移植条例》（中华人民共和国国务院令第491号）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【行政法规】《医疗机构管理条例》（中华人民共和国国务院令第149号 2016年2月6日修改）</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【行政法规】《突发公共卫生事件应急条例》（中华人民共和国国务院令第376号 2011年1月8日修订）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【行政法规】《医疗废物管理条例》（中华人民共和国国务院令第380号）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【部门规章及规范性文件】《消毒管理办法》（中华人民共和国卫生部令第27号 2017年12月26日修订）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【部门规章及规范性文件】《血站管理办法》（中华人民共和国卫生部令第44号发布 2017年12月26日修订）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【部门规章及规范性文件】《单采血浆站管理办法》 （中华人民共和国卫生部令第58号发布 2016年1月19日修正）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【部门规章及规范性文件】《医师执业注册管理办法》（中华人民共和国国家卫生和计划生育委员会令第13号）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【部门规章及规范性文件】《外国医师来华短期行医暂行管理办法》（1992年10月7日卫生部令第24号 2016年1月19日修改）</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【部门规章及规范性文件】《香港、澳门特别行政区医师在内地短期行医管理规定》（中华人民共和国卫生部令第62号）</w:t>
            </w:r>
          </w:p>
        </w:tc>
        <w:tc>
          <w:tcPr>
            <w:tcW w:w="7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FC85AFD">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自信息形成或者变更之日起20个工作日内予以公开</w:t>
            </w:r>
          </w:p>
        </w:tc>
        <w:tc>
          <w:tcPr>
            <w:tcW w:w="6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9EC639C">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萧县卫生健康委员会</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6DC1FF">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政府网站 </w:t>
            </w: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D2D4CE">
            <w:pPr>
              <w:jc w:val="center"/>
              <w:rPr>
                <w:rFonts w:hint="eastAsia" w:ascii="宋体" w:hAnsi="宋体" w:eastAsia="宋体" w:cs="宋体"/>
                <w:i w:val="0"/>
                <w:iCs w:val="0"/>
                <w:caps w:val="0"/>
                <w:color w:val="000000"/>
                <w:spacing w:val="0"/>
                <w:sz w:val="18"/>
                <w:szCs w:val="18"/>
                <w:u w:val="none"/>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A5A277">
            <w:pPr>
              <w:jc w:val="center"/>
              <w:rPr>
                <w:rFonts w:hint="eastAsia" w:ascii="宋体" w:hAnsi="宋体" w:eastAsia="宋体" w:cs="宋体"/>
                <w:i w:val="0"/>
                <w:iCs w:val="0"/>
                <w:caps w:val="0"/>
                <w:color w:val="000000"/>
                <w:spacing w:val="0"/>
                <w:sz w:val="18"/>
                <w:szCs w:val="18"/>
                <w:u w:val="none"/>
              </w:rPr>
            </w:pPr>
          </w:p>
        </w:tc>
      </w:tr>
      <w:tr w14:paraId="10E4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90" w:hRule="atLeast"/>
        </w:trPr>
        <w:tc>
          <w:tcPr>
            <w:tcW w:w="34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042081">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3</w:t>
            </w:r>
          </w:p>
        </w:tc>
        <w:tc>
          <w:tcPr>
            <w:tcW w:w="9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C7511A">
            <w:pPr>
              <w:jc w:val="center"/>
              <w:rPr>
                <w:rFonts w:hint="eastAsia" w:ascii="宋体" w:hAnsi="宋体" w:eastAsia="宋体" w:cs="宋体"/>
                <w:i w:val="0"/>
                <w:iCs w:val="0"/>
                <w:caps w:val="0"/>
                <w:color w:val="000000"/>
                <w:spacing w:val="0"/>
                <w:sz w:val="20"/>
                <w:szCs w:val="20"/>
                <w:u w:val="none"/>
              </w:rPr>
            </w:pPr>
          </w:p>
        </w:tc>
        <w:tc>
          <w:tcPr>
            <w:tcW w:w="64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9518B5">
            <w:pPr>
              <w:jc w:val="center"/>
              <w:rPr>
                <w:rFonts w:hint="eastAsia" w:ascii="宋体" w:hAnsi="宋体" w:eastAsia="宋体" w:cs="宋体"/>
                <w:i w:val="0"/>
                <w:iCs w:val="0"/>
                <w:caps w:val="0"/>
                <w:color w:val="000000"/>
                <w:spacing w:val="0"/>
                <w:sz w:val="20"/>
                <w:szCs w:val="20"/>
                <w:u w:val="none"/>
              </w:rPr>
            </w:pPr>
          </w:p>
        </w:tc>
        <w:tc>
          <w:tcPr>
            <w:tcW w:w="7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C43E479">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投诉举报电话以及网上投诉渠道</w:t>
            </w:r>
          </w:p>
        </w:tc>
        <w:tc>
          <w:tcPr>
            <w:tcW w:w="25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742F6D">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1.对消毒剂和消毒器械及生产经营单位监管过程中涉及的行政强制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2.对涉及饮用水卫生安全产品和饮用水供水单位监管过程中涉及的行政强制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3.对采供血机构监管过程中涉及的行政强制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4.对医师及医疗机构的监管过程中涉及的行政强制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5.对突发公共卫生事件应急处理中医疗机构的监管过程中涉及的行政强制</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6.对医疗废物收集、运送、贮存、处置活动中的疾病防治工作的监管过程中涉及的行政强制</w:t>
            </w:r>
          </w:p>
        </w:tc>
        <w:tc>
          <w:tcPr>
            <w:tcW w:w="32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ECDF1D">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【法律】《中华人民共和国行政强制法》（中华人民共和国主席令第四十九号）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【法律】《中华人民共和国传染病防治法》（2013年6月29日修正）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【法律】《中华人民共和国献血法》（中华人民共和国主席令第93号）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【法律】《中华人民共和国医师法》（中华人民共和国主席令第5号 2009年8月27日修正）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【法律】《中华人民共和国中医药法》（中华人民共和国主席令第59号）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【行政法规】《中华人民共和国传染病防治法实施办法》（中华人民共和国卫生部令第17号）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【行政法规】《血液制品管理条例》（中华人民共和国国务院令第208号 2016年2月6日）</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【行政法规】《艾滋病防治条例》（中华人民共和国国务院令第457号）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【行政法规】《乡村医生从业管理条例》（中华人民共和国国务院令第386号）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【行政法规】《人体器官移植条例》（中华人民共和国国务院令第491号）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【行政法规】《医疗机构管理条例》（中华人民共和国国务院令第149号 2016年2月6日修改）</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【行政法规】《突发公共卫生事件应急条例》（中华人民共和国国务院令第376号 2011年1月8日修订）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【行政法规】《医疗废物管理条例》（中华人民共和国国务院令第380号）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【部门规章及规范性文件】《消毒管理办法》（中华人民共和国卫生部令第27号 2017年12月26日修订）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【部门规章及规范性文件】《血站管理办法》（中华人民共和国卫生部令第44号发布 2017年12月26日修订）</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【部门规章及规范性文件】《单采血浆站管理办法》 （中华人民共和国卫生部令第58号发布 2016年1月19日修正）</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【部门规章及规范性文件】《医师执业注册管理办法》（中华人民共和国国家卫生和计划生育委员会令第13号）</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【部门规章及规范性文件】《外国医师来华短期行医暂行管理办法》（1992年10月7日卫生部令第24号 2016年1月19日修改）</w:t>
            </w:r>
            <w:r>
              <w:rPr>
                <w:rFonts w:hint="eastAsia" w:ascii="宋体" w:hAnsi="宋体" w:eastAsia="宋体" w:cs="宋体"/>
                <w:i w:val="0"/>
                <w:iCs w:val="0"/>
                <w:caps w:val="0"/>
                <w:color w:val="000000"/>
                <w:spacing w:val="0"/>
                <w:kern w:val="0"/>
                <w:sz w:val="20"/>
                <w:szCs w:val="20"/>
                <w:u w:val="none"/>
                <w:lang w:val="en-US" w:eastAsia="zh-CN" w:bidi="ar"/>
              </w:rPr>
              <w:br w:type="textWrapping"/>
            </w:r>
            <w:r>
              <w:rPr>
                <w:rFonts w:hint="eastAsia" w:ascii="宋体" w:hAnsi="宋体" w:eastAsia="宋体" w:cs="宋体"/>
                <w:i w:val="0"/>
                <w:iCs w:val="0"/>
                <w:caps w:val="0"/>
                <w:color w:val="000000"/>
                <w:spacing w:val="0"/>
                <w:kern w:val="0"/>
                <w:sz w:val="20"/>
                <w:szCs w:val="20"/>
                <w:u w:val="none"/>
                <w:lang w:val="en-US" w:eastAsia="zh-CN" w:bidi="ar"/>
              </w:rPr>
              <w:t>【部门规章及规范性文件】《香港、澳门特别行政区医师在内地短期行医管理规定》（中华人民共和国卫生部令第62号）</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DB7803">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自信息形成或者变更之日起20个工作日内予以公开</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DA818A">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萧县卫生健康委员会</w:t>
            </w:r>
          </w:p>
        </w:tc>
        <w:tc>
          <w:tcPr>
            <w:tcW w:w="1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B3AD8B">
            <w:pPr>
              <w:keepNext w:val="0"/>
              <w:keepLines w:val="0"/>
              <w:widowControl/>
              <w:suppressLineNumbers w:val="0"/>
              <w:spacing w:before="0" w:beforeAutospacing="0" w:after="0" w:afterAutospacing="0"/>
              <w:ind w:left="0" w:right="0" w:firstLine="0"/>
              <w:jc w:val="both"/>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lang w:val="en-US" w:eastAsia="zh-CN" w:bidi="ar"/>
              </w:rPr>
              <w:t>政府网站 </w:t>
            </w: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9D1FA3">
            <w:pPr>
              <w:jc w:val="center"/>
              <w:rPr>
                <w:rFonts w:hint="eastAsia" w:ascii="宋体" w:hAnsi="宋体" w:eastAsia="宋体" w:cs="宋体"/>
                <w:i w:val="0"/>
                <w:iCs w:val="0"/>
                <w:caps w:val="0"/>
                <w:color w:val="000000"/>
                <w:spacing w:val="0"/>
                <w:sz w:val="18"/>
                <w:szCs w:val="18"/>
                <w:u w:val="none"/>
              </w:rPr>
            </w:pP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84EE61">
            <w:pPr>
              <w:jc w:val="center"/>
              <w:rPr>
                <w:rFonts w:hint="eastAsia" w:ascii="宋体" w:hAnsi="宋体" w:eastAsia="宋体" w:cs="宋体"/>
                <w:i w:val="0"/>
                <w:iCs w:val="0"/>
                <w:caps w:val="0"/>
                <w:color w:val="000000"/>
                <w:spacing w:val="0"/>
                <w:sz w:val="18"/>
                <w:szCs w:val="18"/>
                <w:u w:val="none"/>
              </w:rPr>
            </w:pPr>
          </w:p>
        </w:tc>
      </w:tr>
    </w:tbl>
    <w:p w14:paraId="0FD3424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GI0ZTBlZTQ1NWFmM2FmMWM4MzMyOWI0OTAzZGYifQ=="/>
  </w:docVars>
  <w:rsids>
    <w:rsidRoot w:val="00000000"/>
    <w:rsid w:val="2B0862DB"/>
    <w:rsid w:val="75E0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3034</Words>
  <Characters>3291</Characters>
  <Lines>0</Lines>
  <Paragraphs>0</Paragraphs>
  <TotalTime>0</TotalTime>
  <ScaleCrop>false</ScaleCrop>
  <LinksUpToDate>false</LinksUpToDate>
  <CharactersWithSpaces>3357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2023-01-06T03:32:00Z</dcterms:created>
  <dc:creator>Administrator</dc:creator>
  <cp:lastModifiedBy>FY</cp:lastModifiedBy>
  <dcterms:modified xsi:type="dcterms:W3CDTF">2025-04-14T06:55:15Z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B7C4F53F10A6405D8D05802AE5B4A548</vt:lpwstr>
  </property>
  <property fmtid="{D5CDD505-2E9C-101B-9397-08002B2CF9AE}" pid="4" name="KSOTemplateDocerSaveRecord">
    <vt:lpwstr>eyJoZGlkIjoiN2ZjNTI1MDEyZjlhNjMwN2RkOWYxNTI0NDRjMzFkNDkiLCJ1c2VySWQiOiI4Mjg0ODQyMTIifQ==</vt:lpwstr>
  </property>
</Properties>
</file>