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5E79">
      <w:pPr>
        <w:ind w:firstLine="660" w:firstLineChars="150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萧县地方金融组织监督检查报告</w:t>
      </w:r>
    </w:p>
    <w:p w14:paraId="01B14891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</w:p>
    <w:p w14:paraId="5B7B6D5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宿州市财政局：</w:t>
      </w:r>
    </w:p>
    <w:p w14:paraId="2C963E1B"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根据《关于做好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年宿州市地方金融组织监督检查工作的通知》</w:t>
      </w:r>
      <w:r>
        <w:rPr>
          <w:rFonts w:hint="eastAsia" w:ascii="仿宋" w:hAnsi="仿宋" w:eastAsia="仿宋" w:cs="Times New Roman"/>
          <w:sz w:val="32"/>
          <w:szCs w:val="32"/>
        </w:rPr>
        <w:t>，我局根据市、县</w:t>
      </w:r>
      <w:r>
        <w:rPr>
          <w:rFonts w:hint="eastAsia" w:ascii="仿宋" w:hAnsi="仿宋" w:eastAsia="仿宋" w:cs="Times New Roman"/>
          <w:bCs/>
          <w:sz w:val="32"/>
          <w:szCs w:val="32"/>
        </w:rPr>
        <w:t>“双随机、一公开”的工作监管要求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对萧县融资担保公司202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年1月1日至202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年12月31日的经营和管理进行了现场检查，主要检查了</w:t>
      </w:r>
      <w:r>
        <w:rPr>
          <w:rFonts w:hint="eastAsia" w:ascii="仿宋" w:hAnsi="仿宋" w:eastAsia="仿宋"/>
          <w:sz w:val="32"/>
          <w:szCs w:val="32"/>
        </w:rPr>
        <w:t>机构管理、公司治理、融资担保和投资业务、资金运用及管理、财务管理、风险防控、经营管理等方面的内容，</w:t>
      </w:r>
      <w:r>
        <w:rPr>
          <w:rFonts w:hint="eastAsia" w:ascii="仿宋" w:hAnsi="仿宋" w:eastAsia="仿宋" w:cs="Times New Roman"/>
          <w:sz w:val="32"/>
          <w:szCs w:val="32"/>
        </w:rPr>
        <w:t>现将检查情况报告如下：</w:t>
      </w:r>
    </w:p>
    <w:p w14:paraId="0F0741D0"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现场检查情况</w:t>
      </w:r>
    </w:p>
    <w:p w14:paraId="46FA3161">
      <w:pPr>
        <w:pStyle w:val="8"/>
        <w:numPr>
          <w:ilvl w:val="0"/>
          <w:numId w:val="2"/>
        </w:numPr>
        <w:ind w:firstLineChars="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担保公司检查情况</w:t>
      </w:r>
    </w:p>
    <w:p w14:paraId="040212D7">
      <w:pPr>
        <w:ind w:left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1、机构管理情况。</w:t>
      </w:r>
    </w:p>
    <w:p w14:paraId="52617F8A"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萧县融资担保公司现状与行政许可事项一致，业务经营许可证有效，市场监管部门登记事项与监管部门批复一致，董事、监事、高级管理人员任职在规定时限内向监管部门备案，营业场所与备案场所一致，统一标识牌在营业场所醒目位置公开悬挂。</w:t>
      </w:r>
    </w:p>
    <w:p w14:paraId="0D341C1B">
      <w:pPr>
        <w:pStyle w:val="8"/>
        <w:numPr>
          <w:numId w:val="0"/>
        </w:numPr>
        <w:spacing w:line="580" w:lineRule="exact"/>
        <w:ind w:left="645" w:left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Times New Roman"/>
          <w:sz w:val="32"/>
          <w:szCs w:val="32"/>
        </w:rPr>
        <w:t>融资担保业务合规情况。</w:t>
      </w:r>
    </w:p>
    <w:p w14:paraId="53376955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截至202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年12月底，萧县担保公司当年担保贷款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22.24</w:t>
      </w:r>
      <w:r>
        <w:rPr>
          <w:rFonts w:hint="eastAsia" w:ascii="仿宋" w:hAnsi="仿宋" w:eastAsia="仿宋" w:cs="宋体"/>
          <w:sz w:val="32"/>
          <w:szCs w:val="32"/>
        </w:rPr>
        <w:t>元，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491</w:t>
      </w:r>
      <w:r>
        <w:rPr>
          <w:rFonts w:hint="eastAsia" w:ascii="仿宋" w:hAnsi="仿宋" w:eastAsia="仿宋" w:cs="宋体"/>
          <w:sz w:val="32"/>
          <w:szCs w:val="32"/>
        </w:rPr>
        <w:t>笔，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377</w:t>
      </w:r>
      <w:r>
        <w:rPr>
          <w:rFonts w:hint="eastAsia" w:ascii="仿宋" w:hAnsi="仿宋" w:eastAsia="仿宋" w:cs="宋体"/>
          <w:sz w:val="32"/>
          <w:szCs w:val="32"/>
        </w:rPr>
        <w:t>户，担保费收入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宋体"/>
          <w:sz w:val="32"/>
          <w:szCs w:val="32"/>
        </w:rPr>
        <w:t>万元。在保余额2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3.06</w:t>
      </w:r>
      <w:r>
        <w:rPr>
          <w:rFonts w:hint="eastAsia" w:ascii="仿宋" w:hAnsi="仿宋" w:eastAsia="仿宋" w:cs="宋体"/>
          <w:sz w:val="32"/>
          <w:szCs w:val="32"/>
        </w:rPr>
        <w:t>亿元，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491</w:t>
      </w:r>
      <w:r>
        <w:rPr>
          <w:rFonts w:hint="eastAsia" w:ascii="仿宋" w:hAnsi="仿宋" w:eastAsia="仿宋" w:cs="宋体"/>
          <w:sz w:val="32"/>
          <w:szCs w:val="32"/>
        </w:rPr>
        <w:t>笔，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377</w:t>
      </w:r>
      <w:r>
        <w:rPr>
          <w:rFonts w:hint="eastAsia" w:ascii="仿宋" w:hAnsi="仿宋" w:eastAsia="仿宋" w:cs="宋体"/>
          <w:sz w:val="32"/>
          <w:szCs w:val="32"/>
        </w:rPr>
        <w:t>户，放大倍数6.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巡视整改代偿企业共计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sz w:val="32"/>
          <w:szCs w:val="32"/>
        </w:rPr>
        <w:t>家，代偿余额9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531</w:t>
      </w:r>
      <w:r>
        <w:rPr>
          <w:rFonts w:hint="eastAsia" w:ascii="仿宋" w:hAnsi="仿宋" w:eastAsia="仿宋" w:cs="宋体"/>
          <w:sz w:val="32"/>
          <w:szCs w:val="32"/>
        </w:rPr>
        <w:t>万元。截至202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年12月底，已收回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</w:rPr>
        <w:t>1321</w:t>
      </w:r>
      <w:r>
        <w:rPr>
          <w:rFonts w:hint="eastAsia" w:ascii="仿宋" w:hAnsi="仿宋" w:eastAsia="仿宋" w:cs="宋体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未发现公司存在超范围经营行为，也未发现开展禁止性业务行为。通过抽查部分业务档案，未发现为关联方提供融资担保是否备案等问题。</w:t>
      </w:r>
    </w:p>
    <w:p w14:paraId="1934A51B">
      <w:pPr>
        <w:pStyle w:val="8"/>
        <w:numPr>
          <w:numId w:val="0"/>
        </w:numPr>
        <w:spacing w:line="580" w:lineRule="exact"/>
        <w:ind w:left="645" w:left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Times New Roman"/>
          <w:sz w:val="32"/>
          <w:szCs w:val="32"/>
        </w:rPr>
        <w:t>风险防控情况。</w:t>
      </w:r>
    </w:p>
    <w:p w14:paraId="6997FAFB">
      <w:pPr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萧县融资担保有限公司制定了风险防控制度与担保业务流程、</w:t>
      </w:r>
      <w:r>
        <w:rPr>
          <w:rFonts w:hint="eastAsia" w:ascii="仿宋" w:hAnsi="仿宋" w:eastAsia="仿宋" w:cs="Times New Roman"/>
          <w:bCs/>
          <w:sz w:val="32"/>
          <w:szCs w:val="32"/>
        </w:rPr>
        <w:t>岗位责任制</w:t>
      </w:r>
      <w:r>
        <w:rPr>
          <w:rFonts w:hint="eastAsia" w:ascii="仿宋" w:hAnsi="仿宋" w:eastAsia="仿宋" w:cs="仿宋_GB2312"/>
          <w:sz w:val="32"/>
          <w:szCs w:val="32"/>
        </w:rPr>
        <w:t>、担保项目保后管理规定、业务档案管理等制度。其中业务档案管理中提到归档资料范围以及立卷归档要求。现场随机检查了业务档案，对业务发生的流程及审批情况进行了核查。</w:t>
      </w:r>
    </w:p>
    <w:p w14:paraId="4EE910A3">
      <w:pPr>
        <w:pStyle w:val="2"/>
        <w:spacing w:line="579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2024年发生代偿17户，代偿金额9531万元，当年收回1321万元，实际代偿8210万元，当年代偿率3.68%（萧县担保公司代偿率上限6%）。代偿余额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1.31</w:t>
      </w:r>
      <w:r>
        <w:rPr>
          <w:rFonts w:hint="eastAsia" w:ascii="仿宋" w:hAnsi="仿宋" w:eastAsia="仿宋" w:cs="宋体"/>
          <w:sz w:val="32"/>
          <w:szCs w:val="32"/>
        </w:rPr>
        <w:t>亿元，累计代偿率0.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宋体"/>
          <w:sz w:val="32"/>
          <w:szCs w:val="32"/>
        </w:rPr>
        <w:t>%。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公司制定了</w:t>
      </w:r>
      <w:r>
        <w:rPr>
          <w:rFonts w:hint="eastAsia" w:ascii="仿宋" w:hAnsi="仿宋" w:eastAsia="仿宋" w:cs="Times New Roman"/>
          <w:sz w:val="32"/>
          <w:szCs w:val="32"/>
        </w:rPr>
        <w:t>《萧县融资担保有限公司追偿挽损专项行动工作作方案》，按照</w:t>
      </w:r>
      <w:r>
        <w:rPr>
          <w:rFonts w:hint="eastAsia" w:ascii="仿宋" w:hAnsi="仿宋" w:eastAsia="仿宋" w:cs="宋体"/>
          <w:sz w:val="32"/>
          <w:szCs w:val="32"/>
        </w:rPr>
        <w:t>“一企一策”的要求，</w:t>
      </w:r>
      <w:r>
        <w:rPr>
          <w:rFonts w:hint="eastAsia" w:ascii="仿宋" w:hAnsi="仿宋" w:eastAsia="仿宋" w:cs="Times New Roman"/>
          <w:sz w:val="32"/>
          <w:szCs w:val="32"/>
        </w:rPr>
        <w:t>通过法律途径和专门清收小组进行清收。</w:t>
      </w:r>
    </w:p>
    <w:p w14:paraId="010FE1A3">
      <w:pPr>
        <w:pStyle w:val="2"/>
        <w:spacing w:line="579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公司设有业务部、财务部、法务部、风控部、办公室。各部门职责明确，关键岗位设置健全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建立了业务操作流程、稽核审计制度、财务会计制度、风险管理制度、信息披露制度以及尽职调查和保后管理等重要环节风险控制制度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19905AE3">
      <w:pPr>
        <w:ind w:firstLine="645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4、资金运用及管理情况</w:t>
      </w:r>
    </w:p>
    <w:p w14:paraId="68441E37">
      <w:pPr>
        <w:pStyle w:val="2"/>
        <w:spacing w:line="579" w:lineRule="exact"/>
        <w:ind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zh-CN" w:eastAsia="zh-CN" w:bidi="ar-SA"/>
        </w:rPr>
        <w:t>萧县融资担保有限公司，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注册资本34698万元，账面资产总额61345万元，负债总额21341万元，所有者权益40004万元。货币资金24581万元，一般风险及准备1737万元，2024年公司营业收入合计2225.48万元。其中：融资担保业务收入2024.18万元，利息收入186.39万元，其他业务收入14.86万元。营业税金及附加15.31万元，营业支出（再担保支出）51.31万元，担保业务成本（提取准备金）2498.76万元，业务及管理费用438.83万元，担保业务利润-778.73万元，净利润-867.60万元。</w:t>
      </w:r>
    </w:p>
    <w:p w14:paraId="5F98FD6F">
      <w:pPr>
        <w:pStyle w:val="2"/>
        <w:spacing w:line="579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5、监管系统信息报送情况。</w:t>
      </w:r>
    </w:p>
    <w:p w14:paraId="06E8B7A0"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融资担保公司监管系统信息报送及时，根据《融资担保非现场监管规程》指标解释填报数据，数据填报真实、完整、准确；未发现系统上报数据与实际数据不符情况。</w:t>
      </w:r>
    </w:p>
    <w:p w14:paraId="007BDD24"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小贷公司检查情况</w:t>
      </w:r>
    </w:p>
    <w:p w14:paraId="2214B7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小额贷款公司2家，其中1家认定为空壳企业，即萧县信德小额贷款有限责任公司；萧县下岗职工小额贷款担保有限公司为内资企业，经请示有关领导，已同意予以注销，相关注销手续正在按程序推进中。</w:t>
      </w:r>
    </w:p>
    <w:p w14:paraId="086BB501"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典当公司检查情况。</w:t>
      </w:r>
    </w:p>
    <w:p w14:paraId="0A5EDA1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本次检查了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典当行及相关机构7家，其中：两次列入经营异常名录1家：萧县通货典当铺；未开展实际业务的有4家：安徽鸿盛典当有限责任公司、安徽鸿泰典当有限责任公司、朱亚军（个体工商户）、萧县智典寄卖行。空壳企业1家：安徽万宝赢舜典当有限责任公司；经营范围与实际不符的1家：萧县惠盈商行。</w:t>
      </w:r>
    </w:p>
    <w:p w14:paraId="652ABDE6">
      <w:pPr>
        <w:ind w:left="645"/>
        <w:rPr>
          <w:rFonts w:hint="eastAsia" w:ascii="仿宋" w:hAnsi="仿宋" w:eastAsia="仿宋"/>
          <w:sz w:val="32"/>
          <w:szCs w:val="32"/>
        </w:rPr>
      </w:pPr>
    </w:p>
    <w:p w14:paraId="19D82362">
      <w:pPr>
        <w:ind w:firstLine="645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二、检查中发现的问题</w:t>
      </w:r>
    </w:p>
    <w:p w14:paraId="004EBBEB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萧县下岗职工小额贷款担保有限公司属内资企业，注销流程涉及多个环节，所需资料较多，办理周期长、协调难度大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24B5DB13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职能部门职责压实不到位，建议统一协调，压实职能部门责任。部分主体不积极配合整改要求，特别是名称及经营范围变更，存在不理解、不配合等情况，影响整治工作进度</w:t>
      </w:r>
    </w:p>
    <w:p w14:paraId="42A3B4F3">
      <w:pPr>
        <w:ind w:left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三、处理意见和建议</w:t>
      </w:r>
    </w:p>
    <w:p w14:paraId="0848A91D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（一）健全监管协作机制</w:t>
      </w:r>
    </w:p>
    <w:p w14:paraId="5096A1FC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建议进一步完善金融监管协调机制，推动财政、公安、市监等部门信息共享，提升风险防控和处置效率。</w:t>
      </w:r>
    </w:p>
    <w:p w14:paraId="2EE3882A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（二）强化排查深度</w:t>
      </w:r>
    </w:p>
    <w:p w14:paraId="370DA422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健全工作机制，发挥成员单位和金融机构作用，形成多部门协同推进的工作格局。对城乡结合部、农村等薄弱区域开展“回头看”</w:t>
      </w:r>
    </w:p>
    <w:p w14:paraId="5026548D"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萧县财政局</w:t>
      </w:r>
    </w:p>
    <w:p w14:paraId="35C2148A">
      <w:pPr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</w:p>
    <w:p w14:paraId="6422ADF3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A20E0"/>
    <w:multiLevelType w:val="multilevel"/>
    <w:tmpl w:val="12BA20E0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2347692"/>
    <w:multiLevelType w:val="multilevel"/>
    <w:tmpl w:val="72347692"/>
    <w:lvl w:ilvl="0" w:tentative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B1A5D"/>
    <w:rsid w:val="00045082"/>
    <w:rsid w:val="000936FF"/>
    <w:rsid w:val="000A1F26"/>
    <w:rsid w:val="00112F9C"/>
    <w:rsid w:val="00162184"/>
    <w:rsid w:val="001A73B9"/>
    <w:rsid w:val="00241339"/>
    <w:rsid w:val="00394A74"/>
    <w:rsid w:val="00395605"/>
    <w:rsid w:val="003B0502"/>
    <w:rsid w:val="004931C7"/>
    <w:rsid w:val="004C5CC4"/>
    <w:rsid w:val="00501295"/>
    <w:rsid w:val="00566716"/>
    <w:rsid w:val="005802E3"/>
    <w:rsid w:val="005A59A6"/>
    <w:rsid w:val="006E2321"/>
    <w:rsid w:val="006E69DD"/>
    <w:rsid w:val="007B1A5D"/>
    <w:rsid w:val="007B37A6"/>
    <w:rsid w:val="008100A3"/>
    <w:rsid w:val="008D0757"/>
    <w:rsid w:val="00934F5F"/>
    <w:rsid w:val="00970068"/>
    <w:rsid w:val="009862A8"/>
    <w:rsid w:val="009E312D"/>
    <w:rsid w:val="00A1613F"/>
    <w:rsid w:val="00AC2328"/>
    <w:rsid w:val="00AE6F80"/>
    <w:rsid w:val="00B7429C"/>
    <w:rsid w:val="00B80EFD"/>
    <w:rsid w:val="00B83FEC"/>
    <w:rsid w:val="00D14111"/>
    <w:rsid w:val="00DC4D11"/>
    <w:rsid w:val="00E52212"/>
    <w:rsid w:val="00E568DF"/>
    <w:rsid w:val="00E77058"/>
    <w:rsid w:val="00EC5B54"/>
    <w:rsid w:val="00EE7B04"/>
    <w:rsid w:val="00FC7560"/>
    <w:rsid w:val="24B419EA"/>
    <w:rsid w:val="32B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脚注文本 Char"/>
    <w:basedOn w:val="5"/>
    <w:link w:val="2"/>
    <w:semiHidden/>
    <w:qFormat/>
    <w:uiPriority w:val="0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2072</Words>
  <Characters>2339</Characters>
  <Lines>16</Lines>
  <Paragraphs>4</Paragraphs>
  <TotalTime>3</TotalTime>
  <ScaleCrop>false</ScaleCrop>
  <LinksUpToDate>false</LinksUpToDate>
  <CharactersWithSpaces>2342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2024-09-29T01:04:00Z</dcterms:created>
  <dc:creator>Administrator</dc:creator>
  <cp:lastModifiedBy>WPS_1661597535</cp:lastModifiedBy>
  <dcterms:modified xsi:type="dcterms:W3CDTF">2025-07-18T07:19:25Z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eyJoZGlkIjoiMzc3OGQ3ZDg3Mzg4NmZiN2FhNDhmYzhmNjZkZDE2ZTQiLCJ1c2VySWQiOiIxMzk4NzkyNTA1In0=</vt:lpwstr>
  </property>
  <property fmtid="{D5CDD505-2E9C-101B-9397-08002B2CF9AE}" pid="3" name="KSOProductBuildVer">
    <vt:lpwstr>2052-12.1.0.21915</vt:lpwstr>
  </property>
  <property fmtid="{D5CDD505-2E9C-101B-9397-08002B2CF9AE}" pid="4" name="ICV">
    <vt:lpwstr>9F90BBF8E8E84DEFB8185CB3C8F6BA24_12</vt:lpwstr>
  </property>
</Properties>
</file>